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50"/>
        <w:jc w:val="center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Questões da Reunião + Estado da Arte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2E74B5"/>
          <w:sz w:val="23"/>
          <w:szCs w:val="23"/>
        </w:rPr>
        <w:t xml:space="preserve">Destrinchamento das questões do orientador, acréscimos da literatura e complemento de metodologia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PIBIC — Tutoria inteligente no CodeBench (análise dinâmica + LLM local)</w:t>
      </w:r>
    </w:p>
    <w:p>
      <w:pPr>
        <w:spacing w:after="0" w:before="5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Guilherme da Silva Pereira · UFAM · Instituto de Computação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Papers levantados por busca na web (links na seção de Referências). Verifique autoria/venue exatos antes de citar formalmente.</w:t>
      </w:r>
    </w:p>
    <w:p>
      <w:pPr>
        <w:pStyle w:val="Heading1"/>
        <w:spacing w:after="14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Como ler e enquadramento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O orientador observou, com razão, que </w:t>
      </w:r>
      <w:r>
        <w:rPr>
          <w:rFonts w:ascii="Calibri" w:cs="Calibri" w:eastAsia="Calibri" w:hAnsi="Calibri"/>
          <w:b/>
          <w:bCs/>
        </w:rPr>
        <w:t xml:space="preserve">a tabela de módulos já é uma espécie de metodologia</w:t>
      </w:r>
      <w:r>
        <w:rPr>
          <w:rFonts w:ascii="Calibri" w:cs="Calibri" w:eastAsia="Calibri" w:hAnsi="Calibri"/>
        </w:rPr>
        <w:t xml:space="preserve"> — ela descreve O QUE será testado. O que falta é o </w:t>
      </w:r>
      <w:r>
        <w:rPr>
          <w:rFonts w:ascii="Calibri" w:cs="Calibri" w:eastAsia="Calibri" w:hAnsi="Calibri"/>
          <w:b/>
          <w:bCs/>
        </w:rPr>
        <w:t xml:space="preserve">como</w:t>
      </w:r>
      <w:r>
        <w:rPr>
          <w:rFonts w:ascii="Calibri" w:cs="Calibri" w:eastAsia="Calibri" w:hAnsi="Calibri"/>
        </w:rPr>
        <w:t xml:space="preserve">: o desenho de cada avaliação, quantas submissões, como analisar, e o embasamento na literatura. Este documento destrincha cada questão levantada na reunião, acrescenta pontos que considero importantes segundo o estado da arte, e fecha com o complemento de metodologia (amostra, análise) e as referências encontradas.</w:t>
      </w:r>
    </w:p>
    <w:p>
      <w:pPr>
        <w:spacing w:after="80" w:line="272"/>
        <w:jc w:val="both"/>
      </w:pPr>
      <w:r>
        <w:rPr>
          <w:rFonts w:ascii="Calibri" w:cs="Calibri" w:eastAsia="Calibri" w:hAnsi="Calibri"/>
        </w:rPr>
        <w:t xml:space="preserve">Um enquadramento útil: as questões se agrupam em </w:t>
      </w:r>
      <w:r>
        <w:rPr>
          <w:rFonts w:ascii="Calibri" w:cs="Calibri" w:eastAsia="Calibri" w:hAnsi="Calibri"/>
          <w:b/>
          <w:bCs/>
        </w:rPr>
        <w:t xml:space="preserve">três camadas de avaliação</w:t>
      </w:r>
      <w:r>
        <w:rPr>
          <w:rFonts w:ascii="Calibri" w:cs="Calibri" w:eastAsia="Calibri" w:hAnsi="Calibri"/>
        </w:rPr>
        <w:t xml:space="preserve">, e é bom mantê-las separadas porque usam métodos diferentes: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Camada técnica (dos módulos):</w:t>
      </w:r>
      <w:r>
        <w:rPr>
          <w:rFonts w:ascii="Calibri" w:cs="Calibri" w:eastAsia="Calibri" w:hAnsi="Calibri"/>
        </w:rPr>
        <w:t xml:space="preserve"> o pipeline acerta o erro, a linha, o tipo? — já coberta pela tabela de módulos (testes de igualdade + rubrica).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Camada pedagógica (do feedback):</w:t>
      </w:r>
      <w:r>
        <w:rPr>
          <w:rFonts w:ascii="Calibri" w:cs="Calibri" w:eastAsia="Calibri" w:hAnsi="Calibri"/>
        </w:rPr>
        <w:t xml:space="preserve"> o feedback ajuda o aluno a aprender? — questões 1–4 do orientador (grupo controle, alinhamento edição↔feedback, questionários de utilidade e de carga cognitiva).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Camada de integração/operação:</w:t>
      </w:r>
      <w:r>
        <w:rPr>
          <w:rFonts w:ascii="Calibri" w:cs="Calibri" w:eastAsia="Calibri" w:hAnsi="Calibri"/>
        </w:rPr>
        <w:t xml:space="preserve"> quando e como o pipeline é acionado e conectado ao CodeBench — questões 6 e 9 (gatilho e orquestração), e a extensão por fuzzing (10).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Camada pedagógica — utilidade do feedback (questões 1 a 4)</w:t>
      </w:r>
    </w:p>
    <w:p>
      <w:pPr>
        <w:pStyle w:val="Heading2"/>
        <w:spacing w:after="84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1.1. Experimento com grupo de controle e experimental (questão 1)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O desenho padrão-ouro para "quão útil foi o feedback" é o </w:t>
      </w:r>
      <w:r>
        <w:rPr>
          <w:rFonts w:ascii="Calibri" w:cs="Calibri" w:eastAsia="Calibri" w:hAnsi="Calibri"/>
          <w:b/>
          <w:bCs/>
        </w:rPr>
        <w:t xml:space="preserve">experimento controlado</w:t>
      </w:r>
      <w:r>
        <w:rPr>
          <w:rFonts w:ascii="Calibri" w:cs="Calibri" w:eastAsia="Calibri" w:hAnsi="Calibri"/>
        </w:rPr>
        <w:t xml:space="preserve">: um grupo recebe o seu feedback (experimental) e outro recebe o feedback atual do CodeBench (controle, o veredito binário), resolvendo os mesmos exercícios. Compara-se o </w:t>
      </w:r>
      <w:r>
        <w:rPr>
          <w:rFonts w:ascii="Calibri" w:cs="Calibri" w:eastAsia="Calibri" w:hAnsi="Calibri"/>
          <w:b/>
          <w:bCs/>
        </w:rPr>
        <w:t xml:space="preserve">ganho</w:t>
      </w:r>
      <w:r>
        <w:rPr>
          <w:rFonts w:ascii="Calibri" w:cs="Calibri" w:eastAsia="Calibri" w:hAnsi="Calibri"/>
        </w:rPr>
        <w:t xml:space="preserve"> entre os grupos.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O que medir como "código melhor" — use medidas objetivas, não só percepção: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Taxa de resolução / tentativas até acertar:</w:t>
      </w:r>
      <w:r>
        <w:rPr>
          <w:rFonts w:ascii="Calibri" w:cs="Calibri" w:eastAsia="Calibri" w:hAnsi="Calibri"/>
        </w:rPr>
        <w:t xml:space="preserve"> o grupo experimental precisa de menos submissões para chegar ao correto?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Tempo até a correção</w:t>
      </w:r>
      <w:r>
        <w:rPr>
          <w:rFonts w:ascii="Calibri" w:cs="Calibri" w:eastAsia="Calibri" w:hAnsi="Calibri"/>
        </w:rPr>
        <w:t xml:space="preserve"> (o CodeBench registra timestamps): quanto tempo do erro até o acerto.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Persistência / desistência:</w:t>
      </w:r>
      <w:r>
        <w:rPr>
          <w:rFonts w:ascii="Calibri" w:cs="Calibri" w:eastAsia="Calibri" w:hAnsi="Calibri"/>
        </w:rPr>
        <w:t xml:space="preserve"> quantos abandonam o exercício (proxy de evasão — central na sua motivação).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Qualidade do código final</w:t>
      </w:r>
      <w:r>
        <w:rPr>
          <w:rFonts w:ascii="Calibri" w:cs="Calibri" w:eastAsia="Calibri" w:hAnsi="Calibri"/>
        </w:rPr>
        <w:t xml:space="preserve"> (além de passar): presença de leaks/UB residuais no código aceito — que só o seu pipeline enxerga.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Literatura. A referência mais próxima e citável é </w:t>
      </w:r>
      <w:r>
        <w:rPr>
          <w:rFonts w:ascii="Calibri" w:cs="Calibri" w:eastAsia="Calibri" w:hAnsi="Calibri"/>
          <w:b/>
          <w:bCs/>
        </w:rPr>
        <w:t xml:space="preserve">Marwan et al., "Adaptive Immediate Feedback Can Improve Novice Programming Engagement and Intention to Persist in CS" (ICER 2020)</w:t>
      </w:r>
      <w:r>
        <w:rPr>
          <w:rFonts w:ascii="Calibri" w:cs="Calibri" w:eastAsia="Calibri" w:hAnsi="Calibri"/>
        </w:rPr>
        <w:t xml:space="preserve">: estudo controlado com iniciantes mostrando que feedback adaptativo aumentou engajamento e intenção de persistir vs. grupo controle. Use o desenho deles (métricas de engajamento + tempo ocioso + intenção de persistir) como molde. Kazemitabaar et al. (2023) também compara grupo com/sem apoio de IA em tarefas de codificação.</w:t>
      </w:r>
    </w:p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Crítico. Um experimento com alunos reais exige coorte, semestre e aprovação ética — pode não caber no PIBIC de 12 meses. Duas saídas: (a) um </w:t>
      </w:r>
      <w:r>
        <w:rPr>
          <w:rFonts w:ascii="Calibri" w:cs="Calibri" w:eastAsia="Calibri" w:hAnsi="Calibri"/>
          <w:b/>
          <w:bCs/>
        </w:rPr>
        <w:t xml:space="preserve">piloto pequeno</w:t>
      </w:r>
      <w:r>
        <w:rPr>
          <w:rFonts w:ascii="Calibri" w:cs="Calibri" w:eastAsia="Calibri" w:hAnsi="Calibri"/>
        </w:rPr>
        <w:t xml:space="preserve"> (uma turma, um subconjunto de exercícios) declarado como preliminar; (b) usar </w:t>
      </w:r>
      <w:r>
        <w:rPr>
          <w:rFonts w:ascii="Calibri" w:cs="Calibri" w:eastAsia="Calibri" w:hAnsi="Calibri"/>
          <w:b/>
          <w:bCs/>
        </w:rPr>
        <w:t xml:space="preserve">alunos simulados por LLM</w:t>
      </w:r>
      <w:r>
        <w:rPr>
          <w:rFonts w:ascii="Calibri" w:cs="Calibri" w:eastAsia="Calibri" w:hAnsi="Calibri"/>
        </w:rPr>
        <w:t xml:space="preserve"> (como o SP-TeachLLM faz na avaliação dele) para um estudo proxy antes do humano. Deixe o estudo com humanos como etapa final/opcional e seja honesto sobre o escopo temporal.</w:t>
      </w:r>
    </w:p>
    <w:p>
      <w:pPr>
        <w:pStyle w:val="Heading2"/>
        <w:spacing w:after="84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1.2. As alterações do aluno correspondem ao que o feedback indicou? (questão 2)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Esta é uma medida </w:t>
      </w:r>
      <w:r>
        <w:rPr>
          <w:rFonts w:ascii="Calibri" w:cs="Calibri" w:eastAsia="Calibri" w:hAnsi="Calibri"/>
          <w:b/>
          <w:bCs/>
        </w:rPr>
        <w:t xml:space="preserve">comportamental</w:t>
      </w:r>
      <w:r>
        <w:rPr>
          <w:rFonts w:ascii="Calibri" w:cs="Calibri" w:eastAsia="Calibri" w:hAnsi="Calibri"/>
        </w:rPr>
        <w:t xml:space="preserve"> e — o melhor — </w:t>
      </w:r>
      <w:r>
        <w:rPr>
          <w:rFonts w:ascii="Calibri" w:cs="Calibri" w:eastAsia="Calibri" w:hAnsi="Calibri"/>
          <w:b/>
          <w:bCs/>
        </w:rPr>
        <w:t xml:space="preserve">automatizável</w:t>
      </w:r>
      <w:r>
        <w:rPr>
          <w:rFonts w:ascii="Calibri" w:cs="Calibri" w:eastAsia="Calibri" w:hAnsi="Calibri"/>
        </w:rPr>
        <w:t xml:space="preserve">, mais forte que auto-relato. Você tem a submissão com erro e a próxima submissão do mesmo aluno; compare as duas: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Sobreposição edição↔feedback:</w:t>
      </w:r>
      <w:r>
        <w:rPr>
          <w:rFonts w:ascii="Calibri" w:cs="Calibri" w:eastAsia="Calibri" w:hAnsi="Calibri"/>
        </w:rPr>
        <w:t xml:space="preserve"> as linhas que o aluno alterou coincidem com as linhas que o feedback apontou (sintoma/causa)? Se sim, o feedback "acertou o alvo".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Resolveu o erro apontado?</w:t>
      </w:r>
      <w:r>
        <w:rPr>
          <w:rFonts w:ascii="Calibri" w:cs="Calibri" w:eastAsia="Calibri" w:hAnsi="Calibri"/>
        </w:rPr>
        <w:t xml:space="preserve"> Rode o seu pipeline na submissão seguinte: o erro que o feedback descreveu sumiu? (o pipeline vira o próprio verificador).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Introduziu erro novo?</w:t>
      </w:r>
      <w:r>
        <w:rPr>
          <w:rFonts w:ascii="Calibri" w:cs="Calibri" w:eastAsia="Calibri" w:hAnsi="Calibri"/>
        </w:rPr>
        <w:t xml:space="preserve"> A correção guiada pelo feedback criou outro problema? (mede se o feedback foi seguro).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Recomendação. Defina uma métrica simples: </w:t>
      </w:r>
      <w:r>
        <w:rPr>
          <w:rFonts w:ascii="Calibri" w:cs="Calibri" w:eastAsia="Calibri" w:hAnsi="Calibri"/>
          <w:b/>
          <w:bCs/>
        </w:rPr>
        <w:t xml:space="preserve">"taxa de edição alinhada ao feedback"</w:t>
      </w:r>
      <w:r>
        <w:rPr>
          <w:rFonts w:ascii="Calibri" w:cs="Calibri" w:eastAsia="Calibri" w:hAnsi="Calibri"/>
        </w:rPr>
        <w:t xml:space="preserve"> = fração de re-submissões em que a alteração tocou a região apontada E o erro descrito desapareceu. É determinística, automática (você já tem as duas submissões), e é um resultado original — poucos trabalhos medem se o aluno agiu sobre o feedback, em vez de só perguntar se ele gostou.</w:t>
      </w:r>
    </w:p>
    <w:p>
      <w:pPr>
        <w:pStyle w:val="Heading2"/>
        <w:spacing w:after="84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1.3. Questionário de utilidade (questão 3)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Complementa as medidas objetivas com a percepção do aluno. Use uma escala Likert (1–5) com poucos itens focados, por exemplo: o feedback me ajudou a entender o erro; me ajudou a corrigir sem entregar a resposta; foi claro; foi no nível certo; eu usaria de novo. Some 1–2 perguntas abertas curtas.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Literatura. Instrumentos consagrados para "utilidade/usabilidade": a </w:t>
      </w:r>
      <w:r>
        <w:rPr>
          <w:rFonts w:ascii="Calibri" w:cs="Calibri" w:eastAsia="Calibri" w:hAnsi="Calibri"/>
          <w:b/>
          <w:bCs/>
        </w:rPr>
        <w:t xml:space="preserve">System Usability Scale (SUS)</w:t>
      </w:r>
      <w:r>
        <w:rPr>
          <w:rFonts w:ascii="Calibri" w:cs="Calibri" w:eastAsia="Calibri" w:hAnsi="Calibri"/>
        </w:rPr>
        <w:t xml:space="preserve"> é amplamente usada em estudos de ferramentas de programação e dá um número comparável (0–100). Para "o feedback foi bom pedagogicamente", adapte as </w:t>
      </w:r>
      <w:r>
        <w:rPr>
          <w:rFonts w:ascii="Calibri" w:cs="Calibri" w:eastAsia="Calibri" w:hAnsi="Calibri"/>
          <w:b/>
          <w:bCs/>
        </w:rPr>
        <w:t xml:space="preserve">7 dimensões do Hellas et al.</w:t>
      </w:r>
      <w:r>
        <w:rPr>
          <w:rFonts w:ascii="Calibri" w:cs="Calibri" w:eastAsia="Calibri" w:hAnsi="Calibri"/>
        </w:rPr>
        <w:t xml:space="preserve"> (o paper que você já leu) para a ótica do aluno. Cuidado com o viés de aquiescência (aluno tende a concordar) — inclua itens invertidos.</w:t>
      </w:r>
    </w:p>
    <w:p>
      <w:pPr>
        <w:pStyle w:val="Heading2"/>
        <w:spacing w:after="84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1.4. Carga cognitiva do feedback (questão 4)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Faz muito sentido medir: um feedback bom não pode sobrecarregar o iniciante. Há dois instrumentos validados e amplamente aceitos: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Escala de Paas (Subjective Cognitive Load):</w:t>
      </w:r>
      <w:r>
        <w:rPr>
          <w:rFonts w:ascii="Calibri" w:cs="Calibri" w:eastAsia="Calibri" w:hAnsi="Calibri"/>
        </w:rPr>
        <w:t xml:space="preserve"> um único item ("quanto esforço mental você investiu?", 1–9). Simples, rápida, muito usada em pesquisa de aprendizagem multimídia; boa quando você quer só a carga total, sem cansar o aluno.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NASA-TLX:</w:t>
      </w:r>
      <w:r>
        <w:rPr>
          <w:rFonts w:ascii="Calibri" w:cs="Calibri" w:eastAsia="Calibri" w:hAnsi="Calibri"/>
        </w:rPr>
        <w:t xml:space="preserve"> 6 dimensões (demanda mental, temporal, esforço, frustração, desempenho, demanda física). Mais rica, capta nuances (ex.: frustração), mas mais longa. Estudos mostram que o NASA-TLX é sensível a mudanças de carga intrínseca.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Recomendação. Para o seu caso, sugiro a </w:t>
      </w:r>
      <w:r>
        <w:rPr>
          <w:rFonts w:ascii="Calibri" w:cs="Calibri" w:eastAsia="Calibri" w:hAnsi="Calibri"/>
          <w:b/>
          <w:bCs/>
        </w:rPr>
        <w:t xml:space="preserve">escala de Paas (1 item)</w:t>
      </w:r>
      <w:r>
        <w:rPr>
          <w:rFonts w:ascii="Calibri" w:cs="Calibri" w:eastAsia="Calibri" w:hAnsi="Calibri"/>
        </w:rPr>
        <w:t xml:space="preserve"> como padrão — barata e suficiente para comparar "feedback binário do CodeBench" vs "seu feedback" em termos de esforço. Reserve o NASA-TLX se quiser decompor a fonte da carga (ex.: mostrar que o seu feedback reduz a frustração). Aplique logo após o aluno ler o feedback e tentar corrigir. Fundamentação teórica: Teoria da Carga Cognitiva (Sweller) — que o SP-TeachLLM também adota.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Adotar a anotação inline de forma fixa — fundamentação (questão 5, sem testes)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Você pode fixar a anotação inline como decisão de projeto e fundamentá-la na escrita, sem rodar o experimento agora. Os argumentos, em ordem de força: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Evidência de ablação na literatura:</w:t>
      </w:r>
      <w:r>
        <w:rPr>
          <w:rFonts w:ascii="Calibri" w:cs="Calibri" w:eastAsia="Calibri" w:hAnsi="Calibri"/>
        </w:rPr>
        <w:t xml:space="preserve"> o FLAME mostra que pedir o número da linha derruba a localização de 62,7% para 15,8% (top-1) — a maior queda entre todos os componentes — por limitação de "numerical understanding" das LLMs. Anotar no código evita essa etapa frágil.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Resolução de referência em contexto longo:</w:t>
      </w:r>
      <w:r>
        <w:rPr>
          <w:rFonts w:ascii="Calibri" w:cs="Calibri" w:eastAsia="Calibri" w:hAnsi="Calibri"/>
        </w:rPr>
        <w:t xml:space="preserve"> no prompt final (código + log + JSON + documento da KB), resolver "linha 118" no meio de todo o material é justamente onde modelos pequenos degradam; a marca inline viaja junto do código e não depende disso.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Determinismo e coerência com a arquitetura:</w:t>
      </w:r>
      <w:r>
        <w:rPr>
          <w:rFonts w:ascii="Calibri" w:cs="Calibri" w:eastAsia="Calibri" w:hAnsi="Calibri"/>
        </w:rPr>
        <w:t xml:space="preserve"> a localização vem da ferramenta (ASan/Valgrind), não da LLM — logo, você ancora o comentário na linha exata, sem o "fuzzy matching" que o FLAME precisa. É mais simples e mais confiável.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A anotação é o carregador da localização por todas as fases:</w:t>
      </w:r>
      <w:r>
        <w:rPr>
          <w:rFonts w:ascii="Calibri" w:cs="Calibri" w:eastAsia="Calibri" w:hAnsi="Calibri"/>
        </w:rPr>
        <w:t xml:space="preserve"> classificação → KB → feedback → (futuro) auto-revisão leem o mesmo código anotado; o número nunca precisa trafegar como texto solto.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Recomendação. Padronize UM formato de marcador único (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// @@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//@ERRO</w:t>
      </w:r>
      <w:r>
        <w:rPr>
          <w:rFonts w:ascii="Calibri" w:cs="Calibri" w:eastAsia="Calibri" w:hAnsi="Calibri"/>
        </w:rPr>
        <w:t xml:space="preserve">) em todo o pipeline e cite os quatro argumentos acima. Deixe o experimento de ablação (inline × numérica × sem) mencionado como validação futura/opcional, já que a infraestrutura (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ANOTACAO_MODO</w:t>
      </w:r>
      <w:r>
        <w:rPr>
          <w:rFonts w:ascii="Calibri" w:cs="Calibri" w:eastAsia="Calibri" w:hAnsi="Calibri"/>
        </w:rPr>
        <w:t xml:space="preserve">) existe — mas a decisão em si dispensa o teste para ir em frente.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Quando acionar o pipeline (questão 6) — o gatilho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O ponto do orientador é agudo: rodar ASan+Valgrind é caro, e alunos submetem por vários motivos (inclusive só para ver se compilou). Acionar em TODA submissão desperdiça recurso. Sua ideia — acionar só após o código estar aceito — captura a classe invisível (leaks/UB que não mudam a saída), mas </w:t>
      </w:r>
      <w:r>
        <w:rPr>
          <w:rFonts w:ascii="Calibri" w:cs="Calibri" w:eastAsia="Calibri" w:hAnsi="Calibri"/>
          <w:b/>
          <w:bCs/>
        </w:rPr>
        <w:t xml:space="preserve">deixa escapar</w:t>
      </w:r>
      <w:r>
        <w:rPr>
          <w:rFonts w:ascii="Calibri" w:cs="Calibri" w:eastAsia="Calibri" w:hAnsi="Calibri"/>
        </w:rPr>
        <w:t xml:space="preserve"> os casos em que um erro de memória CAUSOU a reprovação (segfault, saída errada por UB). Proponho um </w:t>
      </w:r>
      <w:r>
        <w:rPr>
          <w:rFonts w:ascii="Calibri" w:cs="Calibri" w:eastAsia="Calibri" w:hAnsi="Calibri"/>
          <w:b/>
          <w:bCs/>
        </w:rPr>
        <w:t xml:space="preserve">gatilho em duas frentes</w:t>
      </w:r>
      <w:r>
        <w:rPr>
          <w:rFonts w:ascii="Calibri" w:cs="Calibri" w:eastAsia="Calibri" w:hAnsi="Calibri"/>
        </w:rPr>
        <w:t xml:space="preserve">, seletivo e assíncrono: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 no CodeBench</w:t>
            </w:r>
          </w:p>
        </w:tc>
        <w:tc>
          <w:tcPr>
            <w:tcW w:type="dxa" w:w="320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Acionar o pipeline?</w:t>
            </w:r>
          </w:p>
        </w:tc>
        <w:tc>
          <w:tcPr>
            <w:tcW w:type="dxa" w:w="346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quê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Reprovado com Runtime Error / crash / timeout</w:t>
            </w:r>
          </w:p>
        </w:tc>
        <w:tc>
          <w:tcPr>
            <w:tcW w:type="dxa" w:w="32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 (modo diagnóstico)</w:t>
            </w:r>
          </w:p>
        </w:tc>
        <w:tc>
          <w:tcPr>
            <w:tcW w:type="dxa" w:w="34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 onde o erro de memória mais aparece — segfault, UAF, estouro. Alto valor.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Aceito (passou nos testes)</w:t>
            </w:r>
          </w:p>
        </w:tc>
        <w:tc>
          <w:tcPr>
            <w:tcW w:type="dxa" w:w="32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 (modo auditoria de leak/UB)</w:t>
            </w:r>
          </w:p>
        </w:tc>
        <w:tc>
          <w:tcPr>
            <w:tcW w:type="dxa" w:w="34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Captura a classe invisível ao juiz — leaks, não-inicializado que não mudou a saída. É o seu diferencial.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Reprovado com Wrong Answer, mas memória limpa</w:t>
            </w:r>
          </w:p>
        </w:tc>
        <w:tc>
          <w:tcPr>
            <w:tcW w:type="dxa" w:w="32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(ou best-effort)</w:t>
            </w:r>
          </w:p>
        </w:tc>
        <w:tc>
          <w:tcPr>
            <w:tcW w:type="dxa" w:w="34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 erro de lógica — fora do escopo determinístico; encaminhar/segundo nível tentativo.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Submissão só para checar compilação / reenvio trivial</w:t>
            </w:r>
          </w:p>
        </w:tc>
        <w:tc>
          <w:tcPr>
            <w:tcW w:type="dxa" w:w="32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</w:t>
            </w:r>
          </w:p>
        </w:tc>
        <w:tc>
          <w:tcPr>
            <w:tcW w:type="dxa" w:w="34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 execução real ou sem mudança relevante — não gasta o pipeline.</w:t>
            </w:r>
          </w:p>
        </w:tc>
      </w:tr>
    </w:tbl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Recomendação. Rode o pipeline como </w:t>
      </w:r>
      <w:r>
        <w:rPr>
          <w:rFonts w:ascii="Calibri" w:cs="Calibri" w:eastAsia="Calibri" w:hAnsi="Calibri"/>
          <w:b/>
          <w:bCs/>
        </w:rPr>
        <w:t xml:space="preserve">trabalho assíncrono</w:t>
      </w:r>
      <w:r>
        <w:rPr>
          <w:rFonts w:ascii="Calibri" w:cs="Calibri" w:eastAsia="Calibri" w:hAnsi="Calibri"/>
        </w:rPr>
        <w:t xml:space="preserve"> (fila + worker), não bloqueando o veredito rápido do juiz: o aluno recebe o "certo/errado" na hora e o feedback rico chega em seguida. Detecte a submissão "só-compilar" (não usou execução / código idêntico ao anterior) para não disparar à toa. Isso resolve o custo e ainda cobre as duas fatias que importam: o erro que reprovou (RE) e o erro invisível (leak no aceito).</w:t>
      </w:r>
    </w:p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Crítico. Sua observação de que "após aceito sobra só leak" está quase certa, mas incompleta: além de leak, sobram </w:t>
      </w:r>
      <w:r>
        <w:rPr>
          <w:rFonts w:ascii="Calibri" w:cs="Calibri" w:eastAsia="Calibri" w:hAnsi="Calibri"/>
          <w:b/>
          <w:bCs/>
        </w:rPr>
        <w:t xml:space="preserve">valores não inicializados que não afetaram aquela saída específica</w:t>
      </w:r>
      <w:r>
        <w:rPr>
          <w:rFonts w:ascii="Calibri" w:cs="Calibri" w:eastAsia="Calibri" w:hAnsi="Calibri"/>
        </w:rPr>
        <w:t xml:space="preserve"> e UB latente — que podem quebrar em outra entrada. Por isso o modo auditoria no aceito ainda vale, e conecta com o fuzzing (seção 6).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Levantamento de erros em Estruturas de Dados I/II (questão 7)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Você está certo: o paper do Hellas et al. é CS1 em </w:t>
      </w:r>
      <w:r>
        <w:rPr>
          <w:rFonts w:ascii="Calibri" w:cs="Calibri" w:eastAsia="Calibri" w:hAnsi="Calibri"/>
          <w:b/>
          <w:bCs/>
        </w:rPr>
        <w:t xml:space="preserve">Dart</w:t>
      </w:r>
      <w:r>
        <w:rPr>
          <w:rFonts w:ascii="Calibri" w:cs="Calibri" w:eastAsia="Calibri" w:hAnsi="Calibri"/>
        </w:rPr>
        <w:t xml:space="preserve"> (com coletor de lixo), então erros de memória praticamente não aparecem lá — não serve de baseline para o seu escopo. Nos EUA/Europa, o análogo de AED I/II costuma se chamar </w:t>
      </w:r>
      <w:r>
        <w:rPr>
          <w:rFonts w:ascii="Calibri" w:cs="Calibri" w:eastAsia="Calibri" w:hAnsi="Calibri"/>
          <w:b/>
          <w:bCs/>
        </w:rPr>
        <w:t xml:space="preserve">CS1 (introdutório) e CS2 (estruturas de dados)</w:t>
      </w:r>
      <w:r>
        <w:rPr>
          <w:rFonts w:ascii="Calibri" w:cs="Calibri" w:eastAsia="Calibri" w:hAnsi="Calibri"/>
        </w:rPr>
        <w:t xml:space="preserve">. A busca encontrou trabalhos mais próximos do seu domínio: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"From Bugs to Breakthroughs: Novice Errors in CS2" (Just, Schantong, Siegmund, 2025)</w:t>
      </w:r>
      <w:r>
        <w:rPr>
          <w:rFonts w:ascii="Calibri" w:cs="Calibri" w:eastAsia="Calibri" w:hAnsi="Calibri"/>
        </w:rPr>
        <w:t xml:space="preserve"> — estudo longitudinal de CS2, 710 erros categorizados à mão. Achado central: erros de sintaxe e semânticos somem com o tempo, mas </w:t>
      </w:r>
      <w:r>
        <w:rPr>
          <w:rFonts w:ascii="Calibri" w:cs="Calibri" w:eastAsia="Calibri" w:hAnsi="Calibri"/>
          <w:b/>
          <w:bCs/>
        </w:rPr>
        <w:t xml:space="preserve">erros de lógica permanecem constantes</w:t>
      </w:r>
      <w:r>
        <w:rPr>
          <w:rFonts w:ascii="Calibri" w:cs="Calibri" w:eastAsia="Calibri" w:hAnsi="Calibri"/>
        </w:rPr>
        <w:t xml:space="preserve">. É a referência mais alinhada e recente.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"Identifying Student Difficulties with Basic Data Structures" (ICER 2018)</w:t>
      </w:r>
      <w:r>
        <w:rPr>
          <w:rFonts w:ascii="Calibri" w:cs="Calibri" w:eastAsia="Calibri" w:hAnsi="Calibri"/>
        </w:rPr>
        <w:t xml:space="preserve"> — venue de altíssimo nível (ICER); mapeia dificuldades com estruturas de dados básicas.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McCall &amp; Kölling, "A New Look at Novice Programmer Errors" (ACM TOCE 2019)</w:t>
      </w:r>
      <w:r>
        <w:rPr>
          <w:rFonts w:ascii="Calibri" w:cs="Calibri" w:eastAsia="Calibri" w:hAnsi="Calibri"/>
        </w:rPr>
        <w:t xml:space="preserve"> — o framework de categorização de erros (o mesmo que o CS2 acima adapta). Bom para você padronizar sua própria taxonomia.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"Analysis of typical programming mistakes made by first and second year IT students"</w:t>
      </w:r>
      <w:r>
        <w:rPr>
          <w:rFonts w:ascii="Calibri" w:cs="Calibri" w:eastAsia="Calibri" w:hAnsi="Calibri"/>
        </w:rPr>
        <w:t xml:space="preserve"> — em cursos de Algoritmos e Estruturas de Dados em C++, aponta </w:t>
      </w:r>
      <w:r>
        <w:rPr>
          <w:rFonts w:ascii="Calibri" w:cs="Calibri" w:eastAsia="Calibri" w:hAnsi="Calibri"/>
          <w:b/>
          <w:bCs/>
        </w:rPr>
        <w:t xml:space="preserve">gerenciamento de memória</w:t>
      </w:r>
      <w:r>
        <w:rPr>
          <w:rFonts w:ascii="Calibri" w:cs="Calibri" w:eastAsia="Calibri" w:hAnsi="Calibri"/>
        </w:rPr>
        <w:t xml:space="preserve"> (fora de limites, acesso a memória não alocada, leak) como a classe mais problemática — exatamente o seu escopo.</w:t>
      </w:r>
    </w:p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Crítico. Nuance que você deve declarar no artigo: mesmo em CS2, </w:t>
      </w:r>
      <w:r>
        <w:rPr>
          <w:rFonts w:ascii="Calibri" w:cs="Calibri" w:eastAsia="Calibri" w:hAnsi="Calibri"/>
          <w:b/>
          <w:bCs/>
        </w:rPr>
        <w:t xml:space="preserve">a lógica domina em frequência</w:t>
      </w:r>
      <w:r>
        <w:rPr>
          <w:rFonts w:ascii="Calibri" w:cs="Calibri" w:eastAsia="Calibri" w:hAnsi="Calibri"/>
        </w:rPr>
        <w:t xml:space="preserve"> (o "From Bugs to Breakthroughs" confirma). Ou seja, os erros de memória que o seu pipeline pega com garantia são uma </w:t>
      </w:r>
      <w:r>
        <w:rPr>
          <w:rFonts w:ascii="Calibri" w:cs="Calibri" w:eastAsia="Calibri" w:hAnsi="Calibri"/>
          <w:b/>
          <w:bCs/>
        </w:rPr>
        <w:t xml:space="preserve">fatia menor porém crítica e difícil de diagnosticar</w:t>
      </w:r>
      <w:r>
        <w:rPr>
          <w:rFonts w:ascii="Calibri" w:cs="Calibri" w:eastAsia="Calibri" w:hAnsi="Calibri"/>
        </w:rPr>
        <w:t xml:space="preserve"> — e invisível ao juiz binário. Sua contribuição não é cobrir a maioria dos erros, e sim cobrir com </w:t>
      </w:r>
      <w:r>
        <w:rPr>
          <w:rFonts w:ascii="Calibri" w:cs="Calibri" w:eastAsia="Calibri" w:hAnsi="Calibri"/>
          <w:b/>
          <w:bCs/>
        </w:rPr>
        <w:t xml:space="preserve">precisão determinística</w:t>
      </w:r>
      <w:r>
        <w:rPr>
          <w:rFonts w:ascii="Calibri" w:cs="Calibri" w:eastAsia="Calibri" w:hAnsi="Calibri"/>
        </w:rPr>
        <w:t xml:space="preserve"> a classe que mais precisa de raciocínio sobre estado de execução. E a distribuição real do SEU público (CodeBench/UFAM, C) você mede com seus próprios dados — é a contribuição de dataset.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Avaliação de feedback gerado para estudantes em juízes online (questão 8)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Buscando por trabalhos revisados por pares em domínio próximo (feedback automático/LLM para programação, idealmente com juiz online), os mais fortes e relevantes: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"Open Source Language Models Can Provide Feedback: Evaluating LLMs' Ability to Help Students Using GPT-4-As-A-Judge" (2024)</w:t>
      </w:r>
      <w:r>
        <w:rPr>
          <w:rFonts w:ascii="Calibri" w:cs="Calibri" w:eastAsia="Calibri" w:hAnsi="Calibri"/>
        </w:rPr>
        <w:t xml:space="preserve"> — o mais próximo do seu setup: avalia </w:t>
      </w:r>
      <w:r>
        <w:rPr>
          <w:rFonts w:ascii="Calibri" w:cs="Calibri" w:eastAsia="Calibri" w:hAnsi="Calibri"/>
          <w:b/>
          <w:bCs/>
        </w:rPr>
        <w:t xml:space="preserve">modelos open-source</w:t>
      </w:r>
      <w:r>
        <w:rPr>
          <w:rFonts w:ascii="Calibri" w:cs="Calibri" w:eastAsia="Calibri" w:hAnsi="Calibri"/>
        </w:rPr>
        <w:t xml:space="preserve"> gerando feedback de programação e usa </w:t>
      </w:r>
      <w:r>
        <w:rPr>
          <w:rFonts w:ascii="Calibri" w:cs="Calibri" w:eastAsia="Calibri" w:hAnsi="Calibri"/>
          <w:b/>
          <w:bCs/>
        </w:rPr>
        <w:t xml:space="preserve">GPT-4 como juiz</w:t>
      </w:r>
      <w:r>
        <w:rPr>
          <w:rFonts w:ascii="Calibri" w:cs="Calibri" w:eastAsia="Calibri" w:hAnsi="Calibri"/>
        </w:rPr>
        <w:t xml:space="preserve">. Do mesmo grupo do paper que você já leu (Hellas/Leinonen/Denny). Praticamente um espelho da sua metodologia (LLM local + LLM-as-judge).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"Context-Aware Feedback Compression in Online Judge Programming with LLMs" (FSE 2025)</w:t>
      </w:r>
      <w:r>
        <w:rPr>
          <w:rFonts w:ascii="Calibri" w:cs="Calibri" w:eastAsia="Calibri" w:hAnsi="Calibri"/>
        </w:rPr>
        <w:t xml:space="preserve"> — feedback com LLM </w:t>
      </w:r>
      <w:r>
        <w:rPr>
          <w:rFonts w:ascii="Calibri" w:cs="Calibri" w:eastAsia="Calibri" w:hAnsi="Calibri"/>
          <w:b/>
          <w:bCs/>
        </w:rPr>
        <w:t xml:space="preserve">em juiz online</w:t>
      </w:r>
      <w:r>
        <w:rPr>
          <w:rFonts w:ascii="Calibri" w:cs="Calibri" w:eastAsia="Calibri" w:hAnsi="Calibri"/>
        </w:rPr>
        <w:t xml:space="preserve">, com iteração ancorada em execução (melhora depuração de 83,9% para 93,2% em submissões reais do Codeforces). Fortíssimo pela ligação juiz-online + execução, e venue de topo (FSE).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"Evaluating Language Models for Generating and Judging Programming Feedback" (2024)</w:t>
      </w:r>
      <w:r>
        <w:rPr>
          <w:rFonts w:ascii="Calibri" w:cs="Calibri" w:eastAsia="Calibri" w:hAnsi="Calibri"/>
        </w:rPr>
        <w:t xml:space="preserve"> — avalia geração E julgamento de feedback de programação; base metodológica para o seu LLM-as-judge.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"Automated Grading and Feedback Tools for Programming Education: A Systematic Review" (ACM TOCE 2024)</w:t>
      </w:r>
      <w:r>
        <w:rPr>
          <w:rFonts w:ascii="Calibri" w:cs="Calibri" w:eastAsia="Calibri" w:hAnsi="Calibri"/>
        </w:rPr>
        <w:t xml:space="preserve"> — a revisão sistemática (121 trabalhos, 2017–2021); use para posicionar sua lacuna e citar o estado da arte de avaliação.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"Feedback-Generation for Programming Exercises With GPT-4" (2024)</w:t>
      </w:r>
      <w:r>
        <w:rPr>
          <w:rFonts w:ascii="Calibri" w:cs="Calibri" w:eastAsia="Calibri" w:hAnsi="Calibri"/>
        </w:rPr>
        <w:t xml:space="preserve"> — geração de feedback com GPT-4 em exercícios de programação; comparável ao seu baseline pago.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"Automatic feedback in online learning environments: A systematic literature review" (Computers &amp; Education: AI, 2021)</w:t>
      </w:r>
      <w:r>
        <w:rPr>
          <w:rFonts w:ascii="Calibri" w:cs="Calibri" w:eastAsia="Calibri" w:hAnsi="Calibri"/>
        </w:rPr>
        <w:t xml:space="preserve"> — revisão do campo de feedback automático em ambientes online.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Literatura. Os dois primeiros (open-source LLM + GPT-4-as-judge; e feedback em juiz online no FSE 2025) são os que eu citaria como "trabalhos mais próximos" e como fonte de método de avaliação. O FLAME e o SP-TeachLLM continuam válidos como vizinhos (localização explicável e tutoria personalizada), mas não são de juiz online nem focados no seu tipo de erro — os dois novos preenchem exatamente esse vão.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Orquestração remota: n8n e alternativas (questão 9)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O objetivo é conectar o CodeBench ao seu pipeline (que rodará remoto, com LLMs pagas que o orientador banca). Duas famílias de design:</w:t>
      </w:r>
    </w:p>
    <w:p>
      <w:pPr>
        <w:pStyle w:val="Heading3"/>
        <w:spacing w:after="56" w:before="13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n8n (e similares: Node-RED, Zapier, Make)</w:t>
      </w:r>
    </w:p>
    <w:p>
      <w:pPr>
        <w:spacing w:after="128" w:line="272"/>
        <w:jc w:val="both"/>
      </w:pPr>
      <w:r>
        <w:rPr>
          <w:rFonts w:ascii="Calibri" w:cs="Calibri" w:eastAsia="Calibri" w:hAnsi="Calibri"/>
          <w:b/>
          <w:bCs/>
        </w:rPr>
        <w:t xml:space="preserve">Prós:</w:t>
      </w:r>
      <w:r>
        <w:rPr>
          <w:rFonts w:ascii="Calibri" w:cs="Calibri" w:eastAsia="Calibri" w:hAnsi="Calibri"/>
        </w:rPr>
        <w:t xml:space="preserve"> open-source, self-hosted (dados sob seu controle), aciona por </w:t>
      </w:r>
      <w:r>
        <w:rPr>
          <w:rFonts w:ascii="Calibri" w:cs="Calibri" w:eastAsia="Calibri" w:hAnsi="Calibri"/>
          <w:b/>
          <w:bCs/>
        </w:rPr>
        <w:t xml:space="preserve">webhook/cron</w:t>
      </w:r>
      <w:r>
        <w:rPr>
          <w:rFonts w:ascii="Calibri" w:cs="Calibri" w:eastAsia="Calibri" w:hAnsi="Calibri"/>
        </w:rPr>
        <w:t xml:space="preserve">, 400+ nós prontos, interface visual, e faz </w:t>
      </w:r>
      <w:r>
        <w:rPr>
          <w:rFonts w:ascii="Calibri" w:cs="Calibri" w:eastAsia="Calibri" w:hAnsi="Calibri"/>
          <w:b/>
          <w:bCs/>
        </w:rPr>
        <w:t xml:space="preserve">gestão de estado</w:t>
      </w:r>
      <w:r>
        <w:rPr>
          <w:rFonts w:ascii="Calibri" w:cs="Calibri" w:eastAsia="Calibri" w:hAnsi="Calibri"/>
        </w:rPr>
        <w:t xml:space="preserve"> do fluxo (retries, rollback, rastro de execução). Ótimo para </w:t>
      </w:r>
      <w:r>
        <w:rPr>
          <w:rFonts w:ascii="Calibri" w:cs="Calibri" w:eastAsia="Calibri" w:hAnsi="Calibri"/>
          <w:b/>
          <w:bCs/>
        </w:rPr>
        <w:t xml:space="preserve">prototipar rápido</w:t>
      </w:r>
      <w:r>
        <w:rPr>
          <w:rFonts w:ascii="Calibri" w:cs="Calibri" w:eastAsia="Calibri" w:hAnsi="Calibri"/>
        </w:rPr>
        <w:t xml:space="preserve"> a ponte CodeBench → pipeline → resposta.</w:t>
      </w:r>
    </w:p>
    <w:p>
      <w:pPr>
        <w:spacing w:after="128" w:line="272"/>
        <w:jc w:val="both"/>
      </w:pPr>
      <w:r>
        <w:rPr>
          <w:rFonts w:ascii="Calibri" w:cs="Calibri" w:eastAsia="Calibri" w:hAnsi="Calibri"/>
          <w:b/>
          <w:bCs/>
        </w:rPr>
        <w:t xml:space="preserve">Contras:</w:t>
      </w:r>
      <w:r>
        <w:rPr>
          <w:rFonts w:ascii="Calibri" w:cs="Calibri" w:eastAsia="Calibri" w:hAnsi="Calibri"/>
        </w:rPr>
        <w:t xml:space="preserve"> não é feito para lógica de backend complexa em tempo real; governança/auditoria limitadas; pode virar gargalo se você embutir processamento pesado dentro do fluxo.</w:t>
      </w:r>
    </w:p>
    <w:p>
      <w:pPr>
        <w:pStyle w:val="Heading3"/>
        <w:spacing w:after="56" w:before="13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Arquitetura de fila + workers (o padrão dos grandes juízes online)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Os grandes juízes (LeetCode, Codeforces e OJs acadêmicos) usam o mesmo padrão para trabalho pesado: </w:t>
      </w:r>
      <w:r>
        <w:rPr>
          <w:rFonts w:ascii="Calibri" w:cs="Calibri" w:eastAsia="Calibri" w:hAnsi="Calibri"/>
          <w:b/>
          <w:bCs/>
        </w:rPr>
        <w:t xml:space="preserve">a submissão vira um job numa fila</w:t>
      </w:r>
      <w:r>
        <w:rPr>
          <w:rFonts w:ascii="Calibri" w:cs="Calibri" w:eastAsia="Calibri" w:hAnsi="Calibri"/>
        </w:rPr>
        <w:t xml:space="preserve"> (RabbitMQ / Kafka / BullMQ+Redis), a API responde "recebido" na hora, e um </w:t>
      </w:r>
      <w:r>
        <w:rPr>
          <w:rFonts w:ascii="Calibri" w:cs="Calibri" w:eastAsia="Calibri" w:hAnsi="Calibri"/>
          <w:b/>
          <w:bCs/>
        </w:rPr>
        <w:t xml:space="preserve">pool de workers isolados (sandbox)</w:t>
      </w:r>
      <w:r>
        <w:rPr>
          <w:rFonts w:ascii="Calibri" w:cs="Calibri" w:eastAsia="Calibri" w:hAnsi="Calibri"/>
        </w:rPr>
        <w:t xml:space="preserve"> puxa os jobs e processa de forma </w:t>
      </w:r>
      <w:r>
        <w:rPr>
          <w:rFonts w:ascii="Calibri" w:cs="Calibri" w:eastAsia="Calibri" w:hAnsi="Calibri"/>
          <w:b/>
          <w:bCs/>
        </w:rPr>
        <w:t xml:space="preserve">assíncrona</w:t>
      </w:r>
      <w:r>
        <w:rPr>
          <w:rFonts w:ascii="Calibri" w:cs="Calibri" w:eastAsia="Calibri" w:hAnsi="Calibri"/>
        </w:rPr>
        <w:t xml:space="preserve">, autoescalando conforme o acúmulo. É exatamente o formato do seu caso: ASan/Valgrind são lentos e devem rodar como job de fundo.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Recomendação. Design sugerido (dois níveis): </w:t>
      </w:r>
      <w:r>
        <w:rPr>
          <w:rFonts w:ascii="Calibri" w:cs="Calibri" w:eastAsia="Calibri" w:hAnsi="Calibri"/>
          <w:b/>
          <w:bCs/>
        </w:rPr>
        <w:t xml:space="preserve">use o n8n (ou um webhook simples) como a COLA leve</w:t>
      </w:r>
      <w:r>
        <w:rPr>
          <w:rFonts w:ascii="Calibri" w:cs="Calibri" w:eastAsia="Calibri" w:hAnsi="Calibri"/>
        </w:rPr>
        <w:t xml:space="preserve"> que o CodeBench chama ao decidir acionar o pipeline (conforme os gatilhos da seção 3); e </w:t>
      </w:r>
      <w:r>
        <w:rPr>
          <w:rFonts w:ascii="Calibri" w:cs="Calibri" w:eastAsia="Calibri" w:hAnsi="Calibri"/>
          <w:b/>
          <w:bCs/>
        </w:rPr>
        <w:t xml:space="preserve">coloque o processamento pesado atrás de uma fila com worker sandbox</w:t>
      </w:r>
      <w:r>
        <w:rPr>
          <w:rFonts w:ascii="Calibri" w:cs="Calibri" w:eastAsia="Calibri" w:hAnsi="Calibri"/>
        </w:rPr>
        <w:t xml:space="preserve"> que roda a análise dinâmica e chama a LLM. Assim você combina a facilidade do n8n para integrar com a robustez do padrão fila+worker para o trabalho caro. Para um protótipo de PIBIC, começar só com o webhook + um worker já basta; a fila entra quando houver volume/concorrência. Isole a execução do código do aluno em contêiner/sandbox — requisito de segurança inegociável ao rodar código não confiável.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Fuzzing das entradas — estimativa de complexidade (questão 10)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Ideia: em vez de uma entrada só, gerar várias para exercitar caminhos diferentes do código e revelar erros que a entrada oficial não dispara. Estimativa honesta: </w:t>
      </w:r>
      <w:r>
        <w:rPr>
          <w:rFonts w:ascii="Calibri" w:cs="Calibri" w:eastAsia="Calibri" w:hAnsi="Calibri"/>
          <w:b/>
          <w:bCs/>
        </w:rPr>
        <w:t xml:space="preserve">complexidade média-alta</w:t>
      </w:r>
      <w:r>
        <w:rPr>
          <w:rFonts w:ascii="Calibri" w:cs="Calibri" w:eastAsia="Calibri" w:hAnsi="Calibri"/>
        </w:rPr>
        <w:t xml:space="preserve">, por quatro frentes: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Gerador de entradas com ESTRUTURA (o maior desafio):</w:t>
      </w:r>
      <w:r>
        <w:rPr>
          <w:rFonts w:ascii="Calibri" w:cs="Calibri" w:eastAsia="Calibri" w:hAnsi="Calibri"/>
        </w:rPr>
        <w:t xml:space="preserve"> fuzzing aleatório de bytes é inútil aqui, porque o stdin tem formato (ex.: "N e depois N inteiros"). Você precisa de um gerador que respeite o formato do exercício — o que reaproveita e estende o seu módulo de detecção de entrada (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deteccao_entrada.py</w:t>
      </w:r>
      <w:r>
        <w:rPr>
          <w:rFonts w:ascii="Calibri" w:cs="Calibri" w:eastAsia="Calibri" w:hAnsi="Calibri"/>
        </w:rPr>
        <w:t xml:space="preserve">), que passaria de "detectar" para "gerar". Fuzzing baseado em gramática/estrutura é o caminho.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Custo multiplicado:</w:t>
      </w:r>
      <w:r>
        <w:rPr>
          <w:rFonts w:ascii="Calibri" w:cs="Calibri" w:eastAsia="Calibri" w:hAnsi="Calibri"/>
        </w:rPr>
        <w:t xml:space="preserve"> cada entrada = uma execução completa sob ASan/Valgrind. N entradas = N vezes o custo. Reforça a necessidade do design assíncrono (seção 6) e de acionamento seletivo (seção 3).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Triagem/deduplicação de erros:</w:t>
      </w:r>
      <w:r>
        <w:rPr>
          <w:rFonts w:ascii="Calibri" w:cs="Calibri" w:eastAsia="Calibri" w:hAnsi="Calibri"/>
        </w:rPr>
        <w:t xml:space="preserve"> entradas diferentes podem disparar o MESMO erro (mesma linha/causa) — é preciso agrupar ("bucketing" de crash) para não repetir; problema clássico de fuzzing.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Priorização (a sua pergunta):</w:t>
      </w:r>
      <w:r>
        <w:rPr>
          <w:rFonts w:ascii="Calibri" w:cs="Calibri" w:eastAsia="Calibri" w:hAnsi="Calibri"/>
        </w:rPr>
        <w:t xml:space="preserve"> se entradas diferentes revelam erros diferentes, qual explicar primeiro?</w:t>
      </w:r>
    </w:p>
    <w:p>
      <w:pPr>
        <w:pStyle w:val="Heading3"/>
        <w:spacing w:after="56" w:before="13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Priorização quando há múltiplos erros — proposta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Uma ordem determinística de prioridade, coerente com sua filosofia fail-fast e com scaffolding (um erro por vez):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Severidade primeiro:</w:t>
      </w:r>
      <w:r>
        <w:rPr>
          <w:rFonts w:ascii="Calibri" w:cs="Calibri" w:eastAsia="Calibri" w:hAnsi="Calibri"/>
        </w:rPr>
        <w:t xml:space="preserve"> crash/UAF/estouro (fatais, corrompem execução) &gt; uso de não-inicializado &gt; leak (não afeta a saída). Mostre o mais grave.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Menor reprodutor:</w:t>
      </w:r>
      <w:r>
        <w:rPr>
          <w:rFonts w:ascii="Calibri" w:cs="Calibri" w:eastAsia="Calibri" w:hAnsi="Calibri"/>
        </w:rPr>
        <w:t xml:space="preserve"> entre erros de mesma severidade, priorize o disparado pela </w:t>
      </w:r>
      <w:r>
        <w:rPr>
          <w:rFonts w:ascii="Calibri" w:cs="Calibri" w:eastAsia="Calibri" w:hAnsi="Calibri"/>
          <w:b/>
          <w:bCs/>
        </w:rPr>
        <w:t xml:space="preserve">entrada mais simples/menor</w:t>
      </w:r>
      <w:r>
        <w:rPr>
          <w:rFonts w:ascii="Calibri" w:cs="Calibri" w:eastAsia="Calibri" w:hAnsi="Calibri"/>
        </w:rPr>
        <w:t xml:space="preserve"> (mais perto do modelo mental do aluno e mais fácil de entender) — conecta com "minimização de entrada"/delta-debugging.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Um de cada vez:</w:t>
      </w:r>
      <w:r>
        <w:rPr>
          <w:rFonts w:ascii="Calibri" w:cs="Calibri" w:eastAsia="Calibri" w:hAnsi="Calibri"/>
        </w:rPr>
        <w:t xml:space="preserve"> revele o próximo erro só após o aluno corrigir o primeiro (scaffolding progressivo), registrando no catálogo que há outros.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8" w:before="100" w:line="270"/>
        <w:jc w:val="both"/>
      </w:pPr>
      <w:r>
        <w:rPr>
          <w:rFonts w:ascii="Calibri" w:cs="Calibri" w:eastAsia="Calibri" w:hAnsi="Calibri"/>
        </w:rPr>
        <w:t xml:space="preserve">Literatura. Referência de viabilidade: </w:t>
      </w:r>
      <w:r>
        <w:rPr>
          <w:rFonts w:ascii="Calibri" w:cs="Calibri" w:eastAsia="Calibri" w:hAnsi="Calibri"/>
          <w:b/>
          <w:bCs/>
        </w:rPr>
        <w:t xml:space="preserve">Bonsai Fuzzing (Vikram, Padhye et al., ICSE 2021)</w:t>
      </w:r>
      <w:r>
        <w:rPr>
          <w:rFonts w:ascii="Calibri" w:cs="Calibri" w:eastAsia="Calibri" w:hAnsi="Calibri"/>
        </w:rPr>
        <w:t xml:space="preserve"> avaliou fuzzing na detecção de faltas em </w:t>
      </w:r>
      <w:r>
        <w:rPr>
          <w:rFonts w:ascii="Calibri" w:cs="Calibri" w:eastAsia="Calibri" w:hAnsi="Calibri"/>
          <w:b/>
          <w:bCs/>
        </w:rPr>
        <w:t xml:space="preserve">trabalhos de alunos</w:t>
      </w:r>
      <w:r>
        <w:rPr>
          <w:rFonts w:ascii="Calibri" w:cs="Calibri" w:eastAsia="Calibri" w:hAnsi="Calibri"/>
        </w:rPr>
        <w:t xml:space="preserve">, com escore de "mutation-killing" acima de 90%. Ou seja, fuzzing em código de estudante é viável e eficaz — o que valida a direção, embora o esforço de engenharia (gerador estruturado + triagem) seja o que pesa. Importante: cada erro encontrado continua sendo verificado deterministicamente pela ferramenta; o fuzzing só decide QUAIS caminhos você explora, sem tirar o determinismo do diagnóstico.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Complemento de metodologia — como, quantas, e como analisar</w:t>
      </w:r>
    </w:p>
    <w:p>
      <w:pPr>
        <w:spacing w:after="128" w:line="272"/>
        <w:jc w:val="both"/>
      </w:pPr>
      <w:r>
        <w:rPr>
          <w:rFonts w:ascii="Calibri" w:cs="Calibri" w:eastAsia="Calibri" w:hAnsi="Calibri"/>
        </w:rPr>
        <w:t xml:space="preserve">O que falta na "metodologia por tabela de módulos", conforme o orientador pediu:</w:t>
      </w:r>
    </w:p>
    <w:p>
      <w:pPr>
        <w:pStyle w:val="Heading3"/>
        <w:spacing w:after="56" w:before="13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8.1. Conjunto de dados e amostra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Fonte:</w:t>
      </w:r>
      <w:r>
        <w:rPr>
          <w:rFonts w:ascii="Calibri" w:cs="Calibri" w:eastAsia="Calibri" w:hAnsi="Calibri"/>
        </w:rPr>
        <w:t xml:space="preserve"> submissões reais reprovadas/aceitas do CodeBench em AED I/II (validade ecológica — o mesmo princípio metodológico do Hellas et al.).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Rotulagem (gabarito):</w:t>
      </w:r>
      <w:r>
        <w:rPr>
          <w:rFonts w:ascii="Calibri" w:cs="Calibri" w:eastAsia="Calibri" w:hAnsi="Calibri"/>
        </w:rPr>
        <w:t xml:space="preserve"> tipo verdadeiro (CWE) + linha de sintoma + linha de causa, por </w:t>
      </w:r>
      <w:r>
        <w:rPr>
          <w:rFonts w:ascii="Calibri" w:cs="Calibri" w:eastAsia="Calibri" w:hAnsi="Calibri"/>
          <w:b/>
          <w:bCs/>
        </w:rPr>
        <w:t xml:space="preserve">especialista</w:t>
      </w:r>
      <w:r>
        <w:rPr>
          <w:rFonts w:ascii="Calibri" w:cs="Calibri" w:eastAsia="Calibri" w:hAnsi="Calibri"/>
        </w:rPr>
        <w:t xml:space="preserve">; e, para credibilidade, </w:t>
      </w:r>
      <w:r>
        <w:rPr>
          <w:rFonts w:ascii="Calibri" w:cs="Calibri" w:eastAsia="Calibri" w:hAnsi="Calibri"/>
          <w:b/>
          <w:bCs/>
        </w:rPr>
        <w:t xml:space="preserve">dois anotadores</w:t>
      </w:r>
      <w:r>
        <w:rPr>
          <w:rFonts w:ascii="Calibri" w:cs="Calibri" w:eastAsia="Calibri" w:hAnsi="Calibri"/>
        </w:rPr>
        <w:t xml:space="preserve"> em pelo menos parte da amostra, reportando a concordância entre eles.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Tamanho:</w:t>
      </w:r>
      <w:r>
        <w:rPr>
          <w:rFonts w:ascii="Calibri" w:cs="Calibri" w:eastAsia="Calibri" w:hAnsi="Calibri"/>
        </w:rPr>
        <w:t xml:space="preserve"> para a camada técnica (módulos), algumas dezenas por classe de erro (leak, UAF, não-inicializado, overflow, SIGSEGV) já dão resultado estável — priorize </w:t>
      </w:r>
      <w:r>
        <w:rPr>
          <w:rFonts w:ascii="Calibri" w:cs="Calibri" w:eastAsia="Calibri" w:hAnsi="Calibri"/>
          <w:b/>
          <w:bCs/>
        </w:rPr>
        <w:t xml:space="preserve">cobertura das classes</w:t>
      </w:r>
      <w:r>
        <w:rPr>
          <w:rFonts w:ascii="Calibri" w:cs="Calibri" w:eastAsia="Calibri" w:hAnsi="Calibri"/>
        </w:rPr>
        <w:t xml:space="preserve"> sobre volume. Para a camada pedagógica (grupo controle), o tamanho depende do estudo com alunos; um piloto de uma turma é aceitável como preliminar.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Seleção:</w:t>
      </w:r>
      <w:r>
        <w:rPr>
          <w:rFonts w:ascii="Calibri" w:cs="Calibri" w:eastAsia="Calibri" w:hAnsi="Calibri"/>
        </w:rPr>
        <w:t xml:space="preserve"> estratificada por tipo de erro/CWE (não pegar só leaks de AVL) e por exercício, para não enviesar.</w:t>
      </w:r>
    </w:p>
    <w:p>
      <w:pPr>
        <w:pStyle w:val="Heading3"/>
        <w:spacing w:after="56" w:before="13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8.2. Como analisar (por camada)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Módulos determinísticos:</w:t>
      </w:r>
      <w:r>
        <w:rPr>
          <w:rFonts w:ascii="Calibri" w:cs="Calibri" w:eastAsia="Calibri" w:hAnsi="Calibri"/>
        </w:rPr>
        <w:t xml:space="preserve"> passou/falhou por caso + cobertura (quantas classes/CWEs são reconhecidos). Sem estatística — a saída é fixa; os testes viram guarda de regressão.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Módulo LLM (explicação/feedback):</w:t>
      </w:r>
      <w:r>
        <w:rPr>
          <w:rFonts w:ascii="Calibri" w:cs="Calibri" w:eastAsia="Calibri" w:hAnsi="Calibri"/>
        </w:rPr>
        <w:t xml:space="preserve"> rodar N vezes por submissão; reportar taxas (fidelidade, concordância tipo↔CWE) e notas de rubrica com média e variação; comparar condições com testes pareados.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Camada pedagógica:</w:t>
      </w:r>
      <w:r>
        <w:rPr>
          <w:rFonts w:ascii="Calibri" w:cs="Calibri" w:eastAsia="Calibri" w:hAnsi="Calibri"/>
        </w:rPr>
        <w:t xml:space="preserve"> comparar grupos (experimental × controle) nas medidas objetivas (tentativas, tempo, persistência) + questionários (utilidade, carga cognitiva) + a taxa de edição alinhada ao feedback (1.2).</w:t>
      </w:r>
    </w:p>
    <w:p>
      <w:pPr>
        <w:pStyle w:val="Heading3"/>
        <w:spacing w:after="56" w:before="13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8.3. Rigor e reprodutibilidade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Múltiplas execuções</w:t>
      </w:r>
      <w:r>
        <w:rPr>
          <w:rFonts w:ascii="Calibri" w:cs="Calibri" w:eastAsia="Calibri" w:hAnsi="Calibri"/>
        </w:rPr>
        <w:t xml:space="preserve"> para o LLM (estocástico); reporte média ± variação.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Concordância entre avaliadores</w:t>
      </w:r>
      <w:r>
        <w:rPr>
          <w:rFonts w:ascii="Calibri" w:cs="Calibri" w:eastAsia="Calibri" w:hAnsi="Calibri"/>
        </w:rPr>
        <w:t xml:space="preserve"> (humanos) e </w:t>
      </w:r>
      <w:r>
        <w:rPr>
          <w:rFonts w:ascii="Calibri" w:cs="Calibri" w:eastAsia="Calibri" w:hAnsi="Calibri"/>
          <w:b/>
          <w:bCs/>
        </w:rPr>
        <w:t xml:space="preserve">validação do juiz-LLM contra humano</w:t>
      </w:r>
      <w:r>
        <w:rPr>
          <w:rFonts w:ascii="Calibri" w:cs="Calibri" w:eastAsia="Calibri" w:hAnsi="Calibri"/>
        </w:rPr>
        <w:t xml:space="preserve"> num subconjunto — o que torna o LLM-as-judge aceitável.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Ameaças à validade</w:t>
      </w:r>
      <w:r>
        <w:rPr>
          <w:rFonts w:ascii="Calibri" w:cs="Calibri" w:eastAsia="Calibri" w:hAnsi="Calibri"/>
        </w:rPr>
        <w:t xml:space="preserve"> declaradas: escopo (AVL/C/CodeBench), gabarito por proxy, fidelidade textual ≠ correção semântica, vieses do juiz-LLM.</w:t>
      </w:r>
    </w:p>
    <w:p>
      <w:pPr>
        <w:pStyle w:val="ListParagraph"/>
        <w:numPr>
          <w:ilvl w:val="0"/>
          <w:numId w:val="2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Modelo local = vantagem de reprodutibilidade e privacidade:</w:t>
      </w:r>
      <w:r>
        <w:rPr>
          <w:rFonts w:ascii="Calibri" w:cs="Calibri" w:eastAsia="Calibri" w:hAnsi="Calibri"/>
        </w:rPr>
        <w:t xml:space="preserve"> o próprio Hellas et al. (§5.4) aponta a importância de LLMs abertos que rodam localmente, sem depender de APIs de terceiros (a descontinuação do Codex tornou os resultados deles quase irreproduzíveis). Cite isso para justificar seu design local.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Pontos que acrescento (estado da arte)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Baseline forte e justo:</w:t>
      </w:r>
      <w:r>
        <w:rPr>
          <w:rFonts w:ascii="Calibri" w:cs="Calibri" w:eastAsia="Calibri" w:hAnsi="Calibri"/>
        </w:rPr>
        <w:t xml:space="preserve"> compare seu pipeline (assistido por ferramenta) contra (a) o feedback binário atual do CodeBench e (b) um LLM zero-shot recebendo só o código. É o que isola o valor da análise dinâmica — e os papers de feedback com GPT-4 te dão o baseline pago.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Escada de ablação:</w:t>
      </w:r>
      <w:r>
        <w:rPr>
          <w:rFonts w:ascii="Calibri" w:cs="Calibri" w:eastAsia="Calibri" w:hAnsi="Calibri"/>
        </w:rPr>
        <w:t xml:space="preserve"> não meça só "pipeline completo vs baseline"; ligue/desligue KB e (futuro) auto-revisão para atribuir o ganho a cada componente.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Pré-registro do protocolo:</w:t>
      </w:r>
      <w:r>
        <w:rPr>
          <w:rFonts w:ascii="Calibri" w:cs="Calibri" w:eastAsia="Calibri" w:hAnsi="Calibri"/>
        </w:rPr>
        <w:t xml:space="preserve"> registrar hipóteses e métricas ANTES de coletar (mesmo informalmente) fortalece muito a credibilidade — evita "garimpar" resultado.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Ética e privacidade:</w:t>
      </w:r>
      <w:r>
        <w:rPr>
          <w:rFonts w:ascii="Calibri" w:cs="Calibri" w:eastAsia="Calibri" w:hAnsi="Calibri"/>
        </w:rPr>
        <w:t xml:space="preserve"> com dados de alunos, anonimização e consentimento; aqui o modelo local é um trunfo (nada sai da máquina) — transforme em argumento metodológico.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Deduplicação/consistência via CWE:</w:t>
      </w:r>
      <w:r>
        <w:rPr>
          <w:rFonts w:ascii="Calibri" w:cs="Calibri" w:eastAsia="Calibri" w:hAnsi="Calibri"/>
        </w:rPr>
        <w:t xml:space="preserve"> a concordância automática tipo_erro × CWE (que você já tem) é um controle de qualidade contínuo e um número reportável — poucos trabalhos têm um gate determinístico assim.</w:t>
      </w:r>
    </w:p>
    <w:p>
      <w:pPr>
        <w:pStyle w:val="ListParagraph"/>
        <w:numPr>
          <w:ilvl w:val="0"/>
          <w:numId w:val="3"/>
        </w:numPr>
        <w:spacing w:after="64" w:line="268"/>
        <w:jc w:val="both"/>
      </w:pPr>
      <w:r>
        <w:rPr>
          <w:rFonts w:ascii="Calibri" w:cs="Calibri" w:eastAsia="Calibri" w:hAnsi="Calibri"/>
          <w:b/>
          <w:bCs/>
        </w:rPr>
        <w:t xml:space="preserve">Two-tier de confiança:</w:t>
      </w:r>
      <w:r>
        <w:rPr>
          <w:rFonts w:ascii="Calibri" w:cs="Calibri" w:eastAsia="Calibri" w:hAnsi="Calibri"/>
        </w:rPr>
        <w:t xml:space="preserve"> se um dia estender para lógica, nunca apresente diagnóstico de lógica (inferido pela LLM) com a mesma autoridade do diagnóstico de memória (confirmado pela ferramenta). Marque a confiança — é o que preserva a segurança formativa.</w:t>
      </w:r>
    </w:p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Mapa: questão do orientador → o que fazer → instrumento/fonte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7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Questão</w:t>
            </w:r>
          </w:p>
        </w:tc>
        <w:tc>
          <w:tcPr>
            <w:tcW w:type="dxa" w:w="400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fazer</w:t>
            </w:r>
          </w:p>
        </w:tc>
        <w:tc>
          <w:tcPr>
            <w:tcW w:type="dxa" w:w="276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Instrumento / referência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Utilidade (controle × experimental)</w:t>
            </w:r>
          </w:p>
        </w:tc>
        <w:tc>
          <w:tcPr>
            <w:tcW w:type="dxa" w:w="40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Experimento comparando grupos; medir tentativas, tempo, persistência, qualidade final</w:t>
            </w:r>
          </w:p>
        </w:tc>
        <w:tc>
          <w:tcPr>
            <w:tcW w:type="dxa" w:w="27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Marwan et al. ICER 2020; Kazemitabaar 2023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Edição corresponde ao feedback</w:t>
            </w:r>
          </w:p>
        </w:tc>
        <w:tc>
          <w:tcPr>
            <w:tcW w:type="dxa" w:w="40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Comparar submissão→re-submissão; taxa de edição alinhada + erro sumiu</w:t>
            </w:r>
          </w:p>
        </w:tc>
        <w:tc>
          <w:tcPr>
            <w:tcW w:type="dxa" w:w="27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Automático (diff + re-rodar pipeline)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Questionário de utilidade</w:t>
            </w:r>
          </w:p>
        </w:tc>
        <w:tc>
          <w:tcPr>
            <w:tcW w:type="dxa" w:w="40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Likert 1–5 + SUS + itens invertidos</w:t>
            </w:r>
          </w:p>
        </w:tc>
        <w:tc>
          <w:tcPr>
            <w:tcW w:type="dxa" w:w="27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SUS; 7 dimensões de Hellas et al.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 Carga cognitiva</w:t>
            </w:r>
          </w:p>
        </w:tc>
        <w:tc>
          <w:tcPr>
            <w:tcW w:type="dxa" w:w="40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Escala de Paas (1 item) padrão; NASA-TLX se decompor</w:t>
            </w:r>
          </w:p>
        </w:tc>
        <w:tc>
          <w:tcPr>
            <w:tcW w:type="dxa" w:w="27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Paas 1992; NASA-TLX; CLT (Sweller)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 Inline fixa</w:t>
            </w:r>
          </w:p>
        </w:tc>
        <w:tc>
          <w:tcPr>
            <w:tcW w:type="dxa" w:w="40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Fundamentar por FLAME + contexto longo + determinismo (sem teste)</w:t>
            </w:r>
          </w:p>
        </w:tc>
        <w:tc>
          <w:tcPr>
            <w:tcW w:type="dxa" w:w="27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FLAME (ablação -47 pts)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 Quando acionar</w:t>
            </w:r>
          </w:p>
        </w:tc>
        <w:tc>
          <w:tcPr>
            <w:tcW w:type="dxa" w:w="40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Gatilho em 2 frentes (RE → diagnóstico; aceito → auditoria) + assíncrono</w:t>
            </w:r>
          </w:p>
        </w:tc>
        <w:tc>
          <w:tcPr>
            <w:tcW w:type="dxa" w:w="27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Padrão fila+worker de OJs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 Erros em ED I/II</w:t>
            </w:r>
          </w:p>
        </w:tc>
        <w:tc>
          <w:tcPr>
            <w:tcW w:type="dxa" w:w="40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Citar CS2/DS; medir a distribuição no próprio CodeBench</w:t>
            </w:r>
          </w:p>
        </w:tc>
        <w:tc>
          <w:tcPr>
            <w:tcW w:type="dxa" w:w="27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Just et al. 2025; ICER 2018; McCall &amp; Kölling 2019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 Avaliação de feedback</w:t>
            </w:r>
          </w:p>
        </w:tc>
        <w:tc>
          <w:tcPr>
            <w:tcW w:type="dxa" w:w="40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Adotar LLM-as-judge validado; posicionar lacuna</w:t>
            </w:r>
          </w:p>
        </w:tc>
        <w:tc>
          <w:tcPr>
            <w:tcW w:type="dxa" w:w="27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Open-source+GPT-4-judge 2024; FSE 2025; TOCE 2024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 Orquestração</w:t>
            </w:r>
          </w:p>
        </w:tc>
        <w:tc>
          <w:tcPr>
            <w:tcW w:type="dxa" w:w="40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n8n como cola + fila/worker para o pesado; sandbox</w:t>
            </w:r>
          </w:p>
        </w:tc>
        <w:tc>
          <w:tcPr>
            <w:tcW w:type="dxa" w:w="27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Arquitetura de OJs; n8n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 Fuzzing</w:t>
            </w:r>
          </w:p>
        </w:tc>
        <w:tc>
          <w:tcPr>
            <w:tcW w:type="dxa" w:w="40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Gerador estruturado + triagem + prioridade por severidade</w:t>
            </w:r>
          </w:p>
        </w:tc>
        <w:tc>
          <w:tcPr>
            <w:tcW w:type="dxa" w:w="27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6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Bonsai Fuzzing (ICSE 2021)</w:t>
            </w:r>
          </w:p>
        </w:tc>
      </w:tr>
    </w:tbl>
    <w:p>
      <w:pPr>
        <w:pStyle w:val="Heading1"/>
        <w:pageBreakBefore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Referências encontradas (links)</w:t>
      </w:r>
    </w:p>
    <w:p>
      <w:pPr>
        <w:spacing w:after="100" w:line="272"/>
        <w:jc w:val="both"/>
      </w:pPr>
      <w:r>
        <w:rPr>
          <w:rFonts w:ascii="Calibri" w:cs="Calibri" w:eastAsia="Calibri" w:hAnsi="Calibri"/>
        </w:rPr>
        <w:t xml:space="preserve">Levantadas por busca na web. Confirme autoria e venue exatos na fonte antes de citar formalmente.</w:t>
      </w:r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From Bugs to Breakthroughs: Novice Errors in CS2. </w:t>
      </w:r>
      <w:r>
        <w:rPr>
          <w:rFonts w:ascii="Calibri" w:cs="Calibri" w:eastAsia="Calibri" w:hAnsi="Calibri"/>
          <w:sz w:val="18"/>
          <w:szCs w:val="18"/>
        </w:rPr>
        <w:t xml:space="preserve">Just, Schantong, Siegmund, 2025 (arXiv 2502.14438; TU Chemnitz). </w:t>
      </w:r>
      <w:hyperlink w:history="1" r:id="rIdx54rtvdh6km6uj39lctd0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https://arxiv.org/abs/2502.14438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Identifying Student Difficulties with Basic Data Structures. </w:t>
      </w:r>
      <w:r>
        <w:rPr>
          <w:rFonts w:ascii="Calibri" w:cs="Calibri" w:eastAsia="Calibri" w:hAnsi="Calibri"/>
          <w:sz w:val="18"/>
          <w:szCs w:val="18"/>
        </w:rPr>
        <w:t xml:space="preserve">ICER 2018 (ACM). </w:t>
      </w:r>
      <w:hyperlink w:history="1" r:id="rId7ivj-n8mlx8dveq-zxkn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https://dl.acm.org/doi/10.1145/3230977.3231005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 New Look at Novice Programmer Errors. </w:t>
      </w:r>
      <w:r>
        <w:rPr>
          <w:rFonts w:ascii="Calibri" w:cs="Calibri" w:eastAsia="Calibri" w:hAnsi="Calibri"/>
          <w:sz w:val="18"/>
          <w:szCs w:val="18"/>
        </w:rPr>
        <w:t xml:space="preserve">McCall &amp; Kölling, ACM TOCE, 2019. </w:t>
      </w:r>
      <w:hyperlink w:history="1" r:id="rIdx62d5xv3ykawa3geggsx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https://dl.acm.org/doi/10.1145/3335814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Adaptive Immediate Feedback Can Improve Novice Programming Engagement and Intention to Persist in CS. </w:t>
      </w:r>
      <w:r>
        <w:rPr>
          <w:rFonts w:ascii="Calibri" w:cs="Calibri" w:eastAsia="Calibri" w:hAnsi="Calibri"/>
          <w:sz w:val="18"/>
          <w:szCs w:val="18"/>
        </w:rPr>
        <w:t xml:space="preserve">Marwan et al., ICER 2020. </w:t>
      </w:r>
      <w:hyperlink w:history="1" r:id="rIdjm3es7mmikbno6v0_4ij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https://dl.acm.org/doi/10.1145/3372782.3406264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Open Source Language Models Can Provide Feedback: Evaluating LLMs' Ability to Help Students Using GPT-4-As-A-Judge. </w:t>
      </w:r>
      <w:r>
        <w:rPr>
          <w:rFonts w:ascii="Calibri" w:cs="Calibri" w:eastAsia="Calibri" w:hAnsi="Calibri"/>
          <w:sz w:val="18"/>
          <w:szCs w:val="18"/>
        </w:rPr>
        <w:t xml:space="preserve">2024 (arXiv 2405.05253). </w:t>
      </w:r>
      <w:hyperlink w:history="1" r:id="rId1lqy9n0o3lyeuo-vzogd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https://arxiv.org/pdf/2405.05253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Context-Aware Feedback Compression in Online Judge Programming with LLMs. </w:t>
      </w:r>
      <w:r>
        <w:rPr>
          <w:rFonts w:ascii="Calibri" w:cs="Calibri" w:eastAsia="Calibri" w:hAnsi="Calibri"/>
          <w:sz w:val="18"/>
          <w:szCs w:val="18"/>
        </w:rPr>
        <w:t xml:space="preserve">Proc. ACM FSE 2025. </w:t>
      </w:r>
      <w:hyperlink w:history="1" r:id="rId257mwqd3ij4ovnlapfrf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https://doi.org/10.1145/3803437.3805565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Evaluating Language Models for Generating and Judging Programming Feedback. </w:t>
      </w:r>
      <w:r>
        <w:rPr>
          <w:rFonts w:ascii="Calibri" w:cs="Calibri" w:eastAsia="Calibri" w:hAnsi="Calibri"/>
          <w:sz w:val="18"/>
          <w:szCs w:val="18"/>
        </w:rPr>
        <w:t xml:space="preserve">2024 (arXiv 2407.04873). </w:t>
      </w:r>
      <w:hyperlink w:history="1" r:id="rIdmk5fbl_d0t4wlwypps6yb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https://arxiv.org/pdf/2407.04873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Automated Grading and Feedback Tools for Programming Education: A Systematic Review. </w:t>
      </w:r>
      <w:r>
        <w:rPr>
          <w:rFonts w:ascii="Calibri" w:cs="Calibri" w:eastAsia="Calibri" w:hAnsi="Calibri"/>
          <w:sz w:val="18"/>
          <w:szCs w:val="18"/>
        </w:rPr>
        <w:t xml:space="preserve">ACM TOCE, 2024 (arXiv 2306.11722). </w:t>
      </w:r>
      <w:hyperlink w:history="1" r:id="rIdn6ege9fpqgk1pntpghtm8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https://dl.acm.org/doi/10.1145/3636515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Feedback-Generation for Programming Exercises With GPT-4. </w:t>
      </w:r>
      <w:r>
        <w:rPr>
          <w:rFonts w:ascii="Calibri" w:cs="Calibri" w:eastAsia="Calibri" w:hAnsi="Calibri"/>
          <w:sz w:val="18"/>
          <w:szCs w:val="18"/>
        </w:rPr>
        <w:t xml:space="preserve">2024 (arXiv 2403.04449). </w:t>
      </w:r>
      <w:hyperlink w:history="1" r:id="rIdslijmik_efbvdcgmxeme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https://arxiv.org/pdf/2403.04449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Automatic feedback in online learning environments: A systematic literature review. </w:t>
      </w:r>
      <w:r>
        <w:rPr>
          <w:rFonts w:ascii="Calibri" w:cs="Calibri" w:eastAsia="Calibri" w:hAnsi="Calibri"/>
          <w:sz w:val="18"/>
          <w:szCs w:val="18"/>
        </w:rPr>
        <w:t xml:space="preserve">Computers and Education: Artificial Intelligence, 2021. </w:t>
      </w:r>
      <w:hyperlink w:history="1" r:id="rId_fns__qcr-jbkrcb_xna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https://www.sciencedirect.com/science/article/pii/S2666920X21000217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Bonsai Fuzzing (Growing a Test Corpus). </w:t>
      </w:r>
      <w:r>
        <w:rPr>
          <w:rFonts w:ascii="Calibri" w:cs="Calibri" w:eastAsia="Calibri" w:hAnsi="Calibri"/>
          <w:sz w:val="18"/>
          <w:szCs w:val="18"/>
        </w:rPr>
        <w:t xml:space="preserve">Vikram, Padhye et al., ICSE 2021. </w:t>
      </w:r>
      <w:hyperlink w:history="1" r:id="rIdg0gbehvbd6vuwcaixoes4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https://rohan.padhye.org/files/bonsai-icse21.pdf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 Cloud-Native Online Judge System. </w:t>
      </w:r>
      <w:r>
        <w:rPr>
          <w:rFonts w:ascii="Calibri" w:cs="Calibri" w:eastAsia="Calibri" w:hAnsi="Calibri"/>
          <w:sz w:val="18"/>
          <w:szCs w:val="18"/>
        </w:rPr>
        <w:t xml:space="preserve">Pan, Liu, Wu (arquitetura de juiz online). </w:t>
      </w:r>
      <w:hyperlink w:history="1" r:id="rIdrsrocpzetzg82yt6u20r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https://homepage.iis.sinica.edu.tw/papers/wuj/24858-F.pdf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Event-Driven Microservices: Architecture and Tradeoffs (n8n). </w:t>
      </w:r>
      <w:r>
        <w:rPr>
          <w:rFonts w:ascii="Calibri" w:cs="Calibri" w:eastAsia="Calibri" w:hAnsi="Calibri"/>
          <w:sz w:val="18"/>
          <w:szCs w:val="18"/>
        </w:rPr>
        <w:t xml:space="preserve">n8n Blog. </w:t>
      </w:r>
      <w:hyperlink w:history="1" r:id="rIdh8zrk1bfteh2lyhjh3la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https://blog.n8n.io/event-driven-microservices/</w:t>
        </w:r>
      </w:hyperlink>
    </w:p>
    <w:p>
      <w:pPr>
        <w:spacing w:after="110" w:line="268"/>
        <w:ind w:left="360" w:hanging="3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NASA-TLX to measure learners' cognitive load. </w:t>
      </w:r>
      <w:r>
        <w:rPr>
          <w:rFonts w:ascii="Calibri" w:cs="Calibri" w:eastAsia="Calibri" w:hAnsi="Calibri"/>
          <w:sz w:val="18"/>
          <w:szCs w:val="18"/>
        </w:rPr>
        <w:t xml:space="preserve">ScienceDirect. </w:t>
      </w:r>
      <w:hyperlink w:history="1" r:id="rId_q2gcgcs2i2idzwptnac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https://www.sciencedirect.com/science/article/am/pii/S1876139924000999</w:t>
        </w:r>
      </w:hyperlink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— Fim do documento —</w:t>
      </w:r>
    </w:p>
    <w:sectPr>
      <w:pgSz w:w="12240" w:h="15840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54rtvdh6km6uj39lctd0" Type="http://schemas.openxmlformats.org/officeDocument/2006/relationships/hyperlink" Target="https://arxiv.org/abs/2502.14438" TargetMode="External"/><Relationship Id="rId7ivj-n8mlx8dveq-zxkng" Type="http://schemas.openxmlformats.org/officeDocument/2006/relationships/hyperlink" Target="https://dl.acm.org/doi/10.1145/3230977.3231005" TargetMode="External"/><Relationship Id="rIdx62d5xv3ykawa3geggsxd" Type="http://schemas.openxmlformats.org/officeDocument/2006/relationships/hyperlink" Target="https://dl.acm.org/doi/10.1145/3335814" TargetMode="External"/><Relationship Id="rIdjm3es7mmikbno6v0_4ijg" Type="http://schemas.openxmlformats.org/officeDocument/2006/relationships/hyperlink" Target="https://dl.acm.org/doi/10.1145/3372782.3406264" TargetMode="External"/><Relationship Id="rId1lqy9n0o3lyeuo-vzogda" Type="http://schemas.openxmlformats.org/officeDocument/2006/relationships/hyperlink" Target="https://arxiv.org/pdf/2405.05253" TargetMode="External"/><Relationship Id="rId257mwqd3ij4ovnlapfrfe" Type="http://schemas.openxmlformats.org/officeDocument/2006/relationships/hyperlink" Target="https://doi.org/10.1145/3803437.3805565" TargetMode="External"/><Relationship Id="rIdmk5fbl_d0t4wlwypps6yb" Type="http://schemas.openxmlformats.org/officeDocument/2006/relationships/hyperlink" Target="https://arxiv.org/pdf/2407.04873" TargetMode="External"/><Relationship Id="rIdn6ege9fpqgk1pntpghtm8" Type="http://schemas.openxmlformats.org/officeDocument/2006/relationships/hyperlink" Target="https://dl.acm.org/doi/10.1145/3636515" TargetMode="External"/><Relationship Id="rIdslijmik_efbvdcgmxemev" Type="http://schemas.openxmlformats.org/officeDocument/2006/relationships/hyperlink" Target="https://arxiv.org/pdf/2403.04449" TargetMode="External"/><Relationship Id="rId_fns__qcr-jbkrcb_xnan" Type="http://schemas.openxmlformats.org/officeDocument/2006/relationships/hyperlink" Target="https://www.sciencedirect.com/science/article/pii/S2666920X21000217" TargetMode="External"/><Relationship Id="rIdg0gbehvbd6vuwcaixoes4" Type="http://schemas.openxmlformats.org/officeDocument/2006/relationships/hyperlink" Target="https://rohan.padhye.org/files/bonsai-icse21.pdf" TargetMode="External"/><Relationship Id="rIdrsrocpzetzg82yt6u20rp" Type="http://schemas.openxmlformats.org/officeDocument/2006/relationships/hyperlink" Target="https://homepage.iis.sinica.edu.tw/papers/wuj/24858-F.pdf" TargetMode="External"/><Relationship Id="rIdh8zrk1bfteh2lyhjh3lae" Type="http://schemas.openxmlformats.org/officeDocument/2006/relationships/hyperlink" Target="https://blog.n8n.io/event-driven-microservices/" TargetMode="External"/><Relationship Id="rId_q2gcgcs2i2idzwptnacr" Type="http://schemas.openxmlformats.org/officeDocument/2006/relationships/hyperlink" Target="https://www.sciencedirect.com/science/article/am/pii/S1876139924000999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Questões da reunião + estado da arte</dc:title>
  <dc:creator>PIBIC — Guilherme Pereira</dc:creator>
  <cp:lastModifiedBy>Un-named</cp:lastModifiedBy>
  <cp:revision>1</cp:revision>
  <dcterms:created xsi:type="dcterms:W3CDTF">2026-08-20T13:44:03.851Z</dcterms:created>
  <dcterms:modified xsi:type="dcterms:W3CDTF">2026-08-20T13:44:03.858Z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