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Módulos testáveis do pipeline — versão revisada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Conferida contra o código atual (com a 2ª chamada ao LLM e a KB já ativas)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O que mudou em relação à sua tabela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A conferência com o código de hoje encontrou o seguinte: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Feedback deixou de ser "futuro":</w:t>
      </w:r>
      <w:r>
        <w:rPr>
          <w:rFonts w:ascii="Calibri" w:cs="Calibri" w:eastAsia="Calibri" w:hAnsi="Calibri"/>
        </w:rPr>
        <w:t xml:space="preserve"> a 2ª chamada ao LLM (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gerar_feedback</w:t>
      </w:r>
      <w:r>
        <w:rPr>
          <w:rFonts w:ascii="Calibri" w:cs="Calibri" w:eastAsia="Calibri" w:hAnsi="Calibri"/>
        </w:rPr>
        <w:t xml:space="preserve">) já existe, com prompt socrático anti-vazamento e pergunta-guia no fim.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A recuperação da KB (por CWE) agora está ativa: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gerar_feedback</w:t>
      </w:r>
      <w:r>
        <w:rPr>
          <w:rFonts w:ascii="Calibri" w:cs="Calibri" w:eastAsia="Calibri" w:hAnsi="Calibri"/>
        </w:rPr>
        <w:t xml:space="preserve"> chama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recuperar_kb</w:t>
      </w:r>
      <w:r>
        <w:rPr>
          <w:rFonts w:ascii="Calibri" w:cs="Calibri" w:eastAsia="Calibri" w:hAnsi="Calibri"/>
        </w:rPr>
        <w:t xml:space="preserve"> internamente — antes ela não constava.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Faltavam três peças determinísticas testáveis:</w:t>
      </w:r>
      <w:r>
        <w:rPr>
          <w:rFonts w:ascii="Calibri" w:cs="Calibri" w:eastAsia="Calibri" w:hAnsi="Calibri"/>
        </w:rPr>
        <w:t xml:space="preserve"> o refinamento da causa (não-inicializado), a salvaguarda de evidência, e a detecção de entrada (stdin).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`tipo_erro × CWE` não é um módulo do fluxo:</w:t>
      </w:r>
      <w:r>
        <w:rPr>
          <w:rFonts w:ascii="Calibri" w:cs="Calibri" w:eastAsia="Calibri" w:hAnsi="Calibri"/>
        </w:rPr>
        <w:t xml:space="preserve"> é uma conferência automática (um mecanismo de teste) — mantida na tabela, mas marcada como checagem.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Continuam futuros:</w:t>
      </w:r>
      <w:r>
        <w:rPr>
          <w:rFonts w:ascii="Calibri" w:cs="Calibri" w:eastAsia="Calibri" w:hAnsi="Calibri"/>
        </w:rPr>
        <w:t xml:space="preserve"> o Reflexion (laço de auto-revisão) e o filtro determinístico anti-vazamento pós-feedback (o próprio código anota como pendente).</w:t>
      </w:r>
    </w:p>
    <w:p>
      <w:pPr>
        <w:pBdr>
          <w:top w:val="single" w:color="DDDDDD" w:sz="4" w:space="6"/>
          <w:bottom w:val="single" w:color="DDDDDD" w:sz="4" w:space="6"/>
          <w:left w:val="single" w:color="2E74B5" w:sz="18" w:space="10"/>
          <w:right w:val="single" w:color="DDDDDD" w:sz="4" w:space="6"/>
        </w:pBdr>
        <w:shd w:fill="EEF3FA" w:color="auto" w:val="clear"/>
        <w:spacing w:after="140" w:before="100" w:line="272"/>
        <w:jc w:val="both"/>
      </w:pPr>
      <w:r>
        <w:rPr>
          <w:rFonts w:ascii="Calibri" w:cs="Calibri" w:eastAsia="Calibri" w:hAnsi="Calibri"/>
        </w:rPr>
        <w:t xml:space="preserve">Como ler. As cores das linhas são só um guia: verde = ajuste em relação à sua versão (novo ou mudou de status); laranja = é uma checagem, não um módulo do fluxo; roxo = ainda é futuro; branco = já estava certo. A coluna do meio diz se o módulo é determinístico (Det.) ou depende da IA (LLM), e a situação (atual, sub-módulo, futuro).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Tabela revisada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650"/>
        <w:gridCol w:w="5660"/>
      </w:tblGrid>
      <w:tr>
        <w:trPr>
          <w:tblHeader/>
        </w:trPr>
        <w:tc>
          <w:tcPr>
            <w:tcW w:type="dxa" w:w="2050"/>
            <w:shd w:fill="1F4E7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650"/>
            <w:shd w:fill="1F4E7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/ Situação</w:t>
            </w:r>
          </w:p>
        </w:tc>
        <w:tc>
          <w:tcPr>
            <w:tcW w:type="dxa" w:w="5660"/>
            <w:shd w:fill="1F4E7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o teste verifica (em linguagem simples)</w:t>
            </w:r>
          </w:p>
        </w:tc>
      </w:tr>
      <w:tr>
        <w:tc>
          <w:tcPr>
            <w:tcW w:type="dxa" w:w="205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Detecção de entrada (stdin)</w:t>
            </w:r>
          </w:p>
        </w:tc>
        <w:tc>
          <w:tcPr>
            <w:tcW w:type="dxa" w:w="165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 — atual (novo)</w:t>
            </w:r>
          </w:p>
        </w:tc>
        <w:tc>
          <w:tcPr>
            <w:tcW w:type="dxa" w:w="566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Conferimos se o pipeline escolhe a entrada certa para rodar o código do aluno — o arquivo </w:t>
            </w:r>
            <w:r>
              <w:rPr>
                <w:rFonts w:ascii="Consolas" w:cs="Consolas" w:eastAsia="Consolas" w:hAnsi="Consolas"/>
                <w:color w:val="8A1F11"/>
                <w:sz w:val="14"/>
                <w:szCs w:val="14"/>
              </w:rPr>
              <w:t xml:space="preserve">.in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do exercício, quando existe. Isso importa porque a entrada decide qual caminho do programa roda e, com ele, qual erro aparece.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Detecção (Malha 1/2)</w:t>
            </w:r>
          </w:p>
        </w:tc>
        <w:tc>
          <w:tcPr>
            <w:tcW w:type="dxa" w:w="16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 — atual</w:t>
            </w:r>
          </w:p>
        </w:tc>
        <w:tc>
          <w:tcPr>
            <w:tcW w:type="dxa" w:w="566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Damos códigos que sabemos ter erro e outros que sabemos estar corretos, e vemos se ele acusa erro nos primeiros, fica quieto nos corretos e aponta a ferramenta certa (ASan para estouro / uso-após-liberação; Valgrind para não-inicializado / vazamento).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Parser (limpeza do log)</w:t>
            </w:r>
          </w:p>
        </w:tc>
        <w:tc>
          <w:tcPr>
            <w:tcW w:type="dxa" w:w="16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 — atual</w:t>
            </w:r>
          </w:p>
        </w:tc>
        <w:tc>
          <w:tcPr>
            <w:tcW w:type="dxa" w:w="566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 alguns relatórios brutos, marcamos à mão quais linhas são as que realmente importam; depois vemos se o parser guardou todas essas e descartou o resto (o ruído técnico), sem deixar escapar uma linha essencial.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Classificação CWE</w:t>
            </w:r>
          </w:p>
        </w:tc>
        <w:tc>
          <w:tcPr>
            <w:tcW w:type="dxa" w:w="16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 — atual</w:t>
            </w:r>
          </w:p>
        </w:tc>
        <w:tc>
          <w:tcPr>
            <w:tcW w:type="dxa" w:w="566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Damos um trecho de relatório de cada tipo de erro e vemos se sai o CWE certo — com atenção aos casos em que dois erros se parecem no texto (ex.: double-free e uso-após-liberação), em que a ORDEM das regras precisa desempatar corretamente.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Extração de pontos (sintoma / causa)</w:t>
            </w:r>
          </w:p>
        </w:tc>
        <w:tc>
          <w:tcPr>
            <w:tcW w:type="dxa" w:w="16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 — atual</w:t>
            </w:r>
          </w:p>
        </w:tc>
        <w:tc>
          <w:tcPr>
            <w:tcW w:type="dxa" w:w="566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Vemos se as linhas que ele marca como "onde o erro estoura" (sintoma) e "onde ele nasce" (causa) batem com as linhas reais que anotamos à mão — testando também o SIGSEGV, em que a linha só aparece no rastro do GDB.</w:t>
            </w:r>
          </w:p>
        </w:tc>
      </w:tr>
      <w:tr>
        <w:tc>
          <w:tcPr>
            <w:tcW w:type="dxa" w:w="205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Refinamento da causa (não-inicializado)</w:t>
            </w:r>
          </w:p>
        </w:tc>
        <w:tc>
          <w:tcPr>
            <w:tcW w:type="dxa" w:w="165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 — sub-módulo (novo)</w:t>
            </w:r>
          </w:p>
        </w:tc>
        <w:tc>
          <w:tcPr>
            <w:tcW w:type="dxa" w:w="566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Vemos se, no erro de variável não inicializada, ele move a marca da causa da linha da função para a linha exata da DECLARAÇÃO da variável — e, principalmente, se ele NÃO faz isso quando há dúvida (não pode chutar; na dúvida, mantém onde estava).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Anotação inline</w:t>
            </w:r>
          </w:p>
        </w:tc>
        <w:tc>
          <w:tcPr>
            <w:tcW w:type="dxa" w:w="16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 — atual</w:t>
            </w:r>
          </w:p>
        </w:tc>
        <w:tc>
          <w:tcPr>
            <w:tcW w:type="dxa" w:w="566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frentes: (1) conferir se o comentário </w:t>
            </w:r>
            <w:r>
              <w:rPr>
                <w:rFonts w:ascii="Consolas" w:cs="Consolas" w:eastAsia="Consolas" w:hAnsi="Consolas"/>
                <w:color w:val="8A1F11"/>
                <w:sz w:val="14"/>
                <w:szCs w:val="14"/>
              </w:rPr>
              <w:t xml:space="preserve">// @@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caiu na linha certa e no formato combinado (incluindo sintoma e causa na mesma linha); (2) o experimento — comparar "marcar no código" vs "dizer o número da linha" vs "sem dica", e ver quando isso faz diferença (tende a crescer no prompt final, cheio de contexto).</w:t>
            </w:r>
          </w:p>
        </w:tc>
      </w:tr>
      <w:tr>
        <w:tc>
          <w:tcPr>
            <w:tcW w:type="dxa" w:w="205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Salvaguarda de evidência</w:t>
            </w:r>
          </w:p>
        </w:tc>
        <w:tc>
          <w:tcPr>
            <w:tcW w:type="dxa" w:w="165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 — sub-módulo (novo)</w:t>
            </w:r>
          </w:p>
        </w:tc>
        <w:tc>
          <w:tcPr>
            <w:tcW w:type="dxa" w:w="566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Simulamos a IA copiando a anotação </w:t>
            </w:r>
            <w:r>
              <w:rPr>
                <w:rFonts w:ascii="Consolas" w:cs="Consolas" w:eastAsia="Consolas" w:hAnsi="Consolas"/>
                <w:color w:val="8A1F11"/>
                <w:sz w:val="14"/>
                <w:szCs w:val="14"/>
              </w:rPr>
              <w:t xml:space="preserve">// @@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(que é rótulo nosso, não prova) ou deixando o campo vazio, e conferimos se o sistema troca isso por uma linha DE VERDADE do relatório da ferramenta.</w:t>
            </w:r>
          </w:p>
        </w:tc>
      </w:tr>
      <w:tr>
        <w:tc>
          <w:tcPr>
            <w:tcW w:type="dxa" w:w="205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Recuperação da KB (por CWE)</w:t>
            </w:r>
          </w:p>
        </w:tc>
        <w:tc>
          <w:tcPr>
            <w:tcW w:type="dxa" w:w="165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 — atual (novo)</w:t>
            </w:r>
          </w:p>
        </w:tc>
        <w:tc>
          <w:tcPr>
            <w:tcW w:type="dxa" w:w="5660"/>
            <w:shd w:fill="EAF4EA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Dado o CWE, vemos se ele traz o documento de apoio certo — e se, quando ainda NÃO existe documento para aquele CWE, ele segue sem quebrar (em vez de travar). Também: quantos dos CWEs que aparecem já têm documento escrito.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Explicação / classificação (LLM — 1ª chamada)</w:t>
            </w:r>
          </w:p>
        </w:tc>
        <w:tc>
          <w:tcPr>
            <w:tcW w:type="dxa" w:w="165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LLM — atual</w:t>
            </w:r>
          </w:p>
        </w:tc>
        <w:tc>
          <w:tcPr>
            <w:tcW w:type="dxa" w:w="5660"/>
            <w:shd w:fill="FFFFFF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Três conferências: se a evidência que a IA citou existe mesmo no relatório; se o tipo que ela disse bate com o CWE da ferramenta; e se a explicação da causa está correta e clara para um iniciante (avaliada por um critério de qualidade).</w:t>
            </w:r>
          </w:p>
        </w:tc>
      </w:tr>
      <w:tr>
        <w:tc>
          <w:tcPr>
            <w:tcW w:type="dxa" w:w="2050"/>
            <w:shd w:fill="FFF5E6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tipo_erro × CWE</w:t>
            </w:r>
          </w:p>
        </w:tc>
        <w:tc>
          <w:tcPr>
            <w:tcW w:type="dxa" w:w="1650"/>
            <w:shd w:fill="FFF5E6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checagem (não é módulo)</w:t>
            </w:r>
          </w:p>
        </w:tc>
        <w:tc>
          <w:tcPr>
            <w:tcW w:type="dxa" w:w="5660"/>
            <w:shd w:fill="FFF5E6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 é um módulo do fluxo, e sim uma conferência automática: comparar o tipo que a IA disse com o CWE que a ferramenta determinou. Cada divergência é um provável erro da IA — detectado sem precisar de uma pessoa revisando.</w:t>
            </w:r>
          </w:p>
        </w:tc>
      </w:tr>
      <w:tr>
        <w:tc>
          <w:tcPr>
            <w:tcW w:type="dxa" w:w="2050"/>
            <w:shd w:fill="F3EEF9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Feedback formativo (LLM — 2ª chamada)</w:t>
            </w:r>
          </w:p>
        </w:tc>
        <w:tc>
          <w:tcPr>
            <w:tcW w:type="dxa" w:w="1650"/>
            <w:shd w:fill="F3EEF9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LLM — atual (mudou: era futuro)</w:t>
            </w:r>
          </w:p>
        </w:tc>
        <w:tc>
          <w:tcPr>
            <w:tcW w:type="dxa" w:w="5660"/>
            <w:shd w:fill="F3EEF9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Conferimos se o feedback explica o erro SEM entregar a correção, se termina com uma pergunta que leva o aluno ao próximo passo, e se fala da variável e da linha REAIS do diagnóstico — não de um exemplo genérico nem de um caso inventado.</w:t>
            </w:r>
          </w:p>
        </w:tc>
      </w:tr>
      <w:tr>
        <w:tc>
          <w:tcPr>
            <w:tcW w:type="dxa" w:w="2050"/>
            <w:shd w:fill="F3EEF9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Filtro anti-vazamento (pós-feedback)</w:t>
            </w:r>
          </w:p>
        </w:tc>
        <w:tc>
          <w:tcPr>
            <w:tcW w:type="dxa" w:w="1650"/>
            <w:shd w:fill="F3EEF9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 — futuro</w:t>
            </w:r>
          </w:p>
        </w:tc>
        <w:tc>
          <w:tcPr>
            <w:tcW w:type="dxa" w:w="5660"/>
            <w:shd w:fill="F3EEF9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Quando existir: um filtro que remove trechos de código/solução do feedback antes de mostrar ao aluno (o próprio código já anota que falta). Teste: dar feedbacks que vazam a solução e ver se o filtro os pega; e não estragar os que estão bons.</w:t>
            </w:r>
          </w:p>
        </w:tc>
      </w:tr>
      <w:tr>
        <w:tc>
          <w:tcPr>
            <w:tcW w:type="dxa" w:w="2050"/>
            <w:shd w:fill="F3EEF9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Reflexion / auto-revisão</w:t>
            </w:r>
          </w:p>
        </w:tc>
        <w:tc>
          <w:tcPr>
            <w:tcW w:type="dxa" w:w="1650"/>
            <w:shd w:fill="F3EEF9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LLM — futuro</w:t>
            </w:r>
          </w:p>
        </w:tc>
        <w:tc>
          <w:tcPr>
            <w:tcW w:type="dxa" w:w="5660"/>
            <w:shd w:fill="F3EEF9" w:color="auto" w:val="clear"/>
            <w:tcMar>
              <w:top w:type="dxa" w:w="46"/>
              <w:left w:type="dxa" w:w="85"/>
              <w:bottom w:type="dxa" w:w="46"/>
              <w:right w:type="dxa" w:w="85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Quando existir: comparar o feedback com e sem o laço que reescreve a resposta quando ela não passa nas regras, para ver se o laço realmente melhora ou às vezes piora — e quantas rodadas ele costuma precisar.</w:t>
            </w:r>
          </w:p>
        </w:tc>
      </w:tr>
    </w:tbl>
    <w:p>
      <w:pPr>
        <w:spacing w:before="180"/>
      </w:pPr>
      <w:r>
        <w:rPr>
          <w:rFonts w:ascii="Calibri" w:cs="Calibri" w:eastAsia="Calibri" w:hAnsi="Calibri"/>
          <w:sz w:val="18"/>
          <w:szCs w:val="18"/>
        </w:rPr>
        <w:t xml:space="preserve">Observação sobre granularidade: os três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sub-módulos</w:t>
      </w:r>
      <w:r>
        <w:rPr>
          <w:rFonts w:ascii="Calibri" w:cs="Calibri" w:eastAsia="Calibri" w:hAnsi="Calibri"/>
          <w:sz w:val="18"/>
          <w:szCs w:val="18"/>
        </w:rPr>
        <w:t xml:space="preserve"> determinísticos (refinamento da causa, salvaguarda de evidência, detecção de entrada) podem, se você preferir, ser testados JUNTO com o módulo pai (extração de pontos, explicação e detecção, respectivamente). Listei-os à parte porque cada um tem uma lógica própria e casos de borda que valem um teste dedicado — mas fica a seu critério agrupá-los.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Módulos testáveis — revisado</dc:title>
  <dc:creator>PIBIC — Guilherme Pereira</dc:creator>
  <cp:lastModifiedBy>Un-named</cp:lastModifiedBy>
  <cp:revision>1</cp:revision>
  <dcterms:created xsi:type="dcterms:W3CDTF">2026-08-20T05:06:02.202Z</dcterms:created>
  <dcterms:modified xsi:type="dcterms:W3CDTF">2026-08-20T05:06:02.215Z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