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1F4E79"/>
          <w:sz w:val="40"/>
          <w:szCs w:val="40"/>
        </w:rPr>
        <w:t xml:space="preserve">Ajustes na API — Conformidade REST</w:t>
      </w:r>
    </w:p>
    <w:p>
      <w:pPr>
        <w:spacing w:after="40"/>
        <w:jc w:val="center"/>
      </w:pPr>
      <w:r>
        <w:rPr>
          <w:i/>
          <w:iCs/>
          <w:color w:val="555555"/>
          <w:sz w:val="20"/>
          <w:szCs w:val="20"/>
        </w:rPr>
        <w:t xml:space="preserve">Classificador de Erros de Memória em C — CodeBench (PIBIC/UFAM)</w:t>
      </w:r>
    </w:p>
    <w:p>
      <w:pPr>
        <w:spacing w:after="240"/>
        <w:jc w:val="center"/>
      </w:pPr>
      <w:r>
        <w:rPr>
          <w:color w:val="555555"/>
          <w:sz w:val="18"/>
          <w:szCs w:val="18"/>
        </w:rPr>
        <w:t xml:space="preserve">Registro de alterações — 16/09/2026</w:t>
      </w:r>
    </w:p>
    <w:p>
      <w:pPr>
        <w:pStyle w:val="Heading1"/>
        <w:spacing w:after="130" w:before="300"/>
      </w:pPr>
      <w:r>
        <w:rPr>
          <w:b/>
          <w:bCs/>
          <w:color w:val="1F4E79"/>
        </w:rPr>
        <w:t xml:space="preserve">1. Motivação</w:t>
      </w:r>
    </w:p>
    <w:p>
      <w:pPr>
        <w:spacing w:after="120" w:line="276"/>
        <w:jc w:val="both"/>
      </w:pPr>
      <w:r>
        <w:t xml:space="preserve">O professor observou que os endpoints da API não seguiam as convenções de REST — em especial o uso de </w:t>
      </w:r>
      <w:r>
        <w:rPr>
          <w:b/>
          <w:bCs/>
        </w:rPr>
        <w:t xml:space="preserve">verbos</w:t>
      </w:r>
      <w:r>
        <w:t xml:space="preserve"> no caminho. A partir disso, revisou-se toda a superfície da API (FastAPI) para alinhá-la ao que se pratica em aplicações de produção: recursos como </w:t>
      </w:r>
      <w:r>
        <w:rPr>
          <w:b/>
          <w:bCs/>
        </w:rPr>
        <w:t xml:space="preserve">substantivos no plural</w:t>
      </w:r>
      <w:r>
        <w:t xml:space="preserve">, ação expressa pelo método HTTP, versão no caminho, códigos de status adequados e um endpoint por recurso (não por formato).</w:t>
      </w:r>
    </w:p>
    <w:p>
      <w:pPr>
        <w:pStyle w:val="Heading1"/>
        <w:spacing w:after="130" w:before="300"/>
      </w:pPr>
      <w:r>
        <w:rPr>
          <w:b/>
          <w:bCs/>
          <w:color w:val="1F4E79"/>
        </w:rPr>
        <w:t xml:space="preserve">2. Renomeação dos endpoints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200"/>
        <w:gridCol w:w="5000"/>
      </w:tblGrid>
      <w:tr>
        <w:tc>
          <w:tcPr>
            <w:tcW w:type="dxa" w:w="42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50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Agora</w:t>
            </w:r>
          </w:p>
        </w:tc>
      </w:tr>
      <w:tr>
        <w:tc>
          <w:tcPr>
            <w:tcW w:type="dxa" w:w="4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 /analisar  +  POST /analisar_arquivo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 /v1/diagnostics</w:t>
            </w:r>
          </w:p>
        </w:tc>
      </w:tr>
      <w:tr>
        <w:tc>
          <w:tcPr>
            <w:tcW w:type="dxa" w:w="4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 /feedback  +  POST /feedback_arquivo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 /v1/feedbacks</w:t>
            </w:r>
          </w:p>
        </w:tc>
      </w:tr>
      <w:tr>
        <w:tc>
          <w:tcPr>
            <w:tcW w:type="dxa" w:w="4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 /saude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 /v1/health</w:t>
            </w:r>
          </w:p>
        </w:tc>
      </w:tr>
      <w:tr>
        <w:tc>
          <w:tcPr>
            <w:tcW w:type="dxa" w:w="4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(não existia)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 /v1/feedbacks  e  GET /v1/feedbacks/{id}</w:t>
            </w:r>
          </w:p>
        </w:tc>
      </w:tr>
      <w:tr>
        <w:tc>
          <w:tcPr>
            <w:tcW w:type="dxa" w:w="4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 /teste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 /teste (mantido, para demonstrações)</w:t>
            </w:r>
          </w:p>
        </w:tc>
      </w:tr>
    </w:tbl>
    <w:p>
      <w:pPr>
        <w:spacing w:after="120" w:line="276"/>
        <w:jc w:val="both"/>
      </w:pPr>
      <w:r>
        <w:t xml:space="preserve">Princípio aplicado: a URL identifica </w:t>
      </w:r>
      <w:r>
        <w:rPr>
          <w:i/>
          <w:iCs/>
        </w:rPr>
        <w:t xml:space="preserve">o quê</w:t>
      </w:r>
      <w:r>
        <w:t xml:space="preserve"> (o recurso, um substantivo no plural) e o método HTTP diz </w:t>
      </w:r>
      <w:r>
        <w:rPr>
          <w:i/>
          <w:iCs/>
        </w:rPr>
        <w:t xml:space="preserve">o que fazer</w:t>
      </w:r>
      <w:r>
        <w:t xml:space="preserve">. "analisar" era um verbo — corrigido para o recurso que a rota gera, o </w:t>
      </w:r>
      <w:r>
        <w:rPr>
          <w:b/>
          <w:bCs/>
        </w:rPr>
        <w:t xml:space="preserve">diagnóstico</w:t>
      </w:r>
      <w:r>
        <w:t xml:space="preserve">.</w:t>
      </w:r>
    </w:p>
    <w:p>
      <w:pPr>
        <w:pStyle w:val="Heading1"/>
        <w:spacing w:after="130" w:before="300"/>
      </w:pPr>
      <w:r>
        <w:rPr>
          <w:b/>
          <w:bCs/>
          <w:color w:val="1F4E79"/>
        </w:rPr>
        <w:t xml:space="preserve">3. Unificação por Content-Type</w:t>
      </w:r>
    </w:p>
    <w:p>
      <w:pPr>
        <w:spacing w:after="120" w:line="276"/>
        <w:jc w:val="both"/>
      </w:pPr>
      <w:r>
        <w:t xml:space="preserve">Os endpoints duplicados que só diferiam pelo formato de entrada (JSON vs. upload de arquivo) foram </w:t>
      </w:r>
      <w:r>
        <w:rPr>
          <w:b/>
          <w:bCs/>
        </w:rPr>
        <w:t xml:space="preserve">unificados</w:t>
      </w:r>
      <w:r>
        <w:t xml:space="preserve">. Agora cada recurso é um único endpoint que aceita ambos os formatos, decidindo pelo cabeçalho </w:t>
      </w:r>
      <w:r>
        <w:rPr>
          <w:rFonts w:ascii="Consolas" w:cs="Consolas" w:eastAsia="Consolas" w:hAnsi="Consolas"/>
          <w:sz w:val="18"/>
          <w:szCs w:val="18"/>
        </w:rPr>
        <w:t xml:space="preserve">Content-Type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onsolas" w:cs="Consolas" w:eastAsia="Consolas" w:hAnsi="Consolas"/>
          <w:sz w:val="18"/>
          <w:szCs w:val="18"/>
        </w:rPr>
        <w:t xml:space="preserve">application/json</w:t>
      </w:r>
      <w:r>
        <w:t xml:space="preserve">  → corpo JSON { codigo, entrada, nome_arquivo }.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onsolas" w:cs="Consolas" w:eastAsia="Consolas" w:hAnsi="Consolas"/>
          <w:sz w:val="18"/>
          <w:szCs w:val="18"/>
        </w:rPr>
        <w:t xml:space="preserve">multipart/form-data</w:t>
      </w:r>
      <w:r>
        <w:t xml:space="preserve">  → campos </w:t>
      </w:r>
      <w:r>
        <w:rPr>
          <w:rFonts w:ascii="Consolas" w:cs="Consolas" w:eastAsia="Consolas" w:hAnsi="Consolas"/>
          <w:sz w:val="18"/>
          <w:szCs w:val="18"/>
        </w:rPr>
        <w:t xml:space="preserve">codigo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</w:rPr>
        <w:t xml:space="preserve">entrada</w:t>
      </w:r>
      <w:r>
        <w:t xml:space="preserve">.</w:t>
      </w:r>
    </w:p>
    <w:p>
      <w:pPr>
        <w:spacing w:after="120" w:line="276"/>
        <w:jc w:val="both"/>
      </w:pPr>
      <w:r>
        <w:t xml:space="preserve">Content-Type não suportado retorna </w:t>
      </w:r>
      <w:r>
        <w:rPr>
          <w:rFonts w:ascii="Consolas" w:cs="Consolas" w:eastAsia="Consolas" w:hAnsi="Consolas"/>
          <w:sz w:val="18"/>
          <w:szCs w:val="18"/>
        </w:rPr>
        <w:t xml:space="preserve">415 Unsupported Media Type</w:t>
      </w:r>
      <w:r>
        <w:t xml:space="preserve">. Isso reduziu de 4 para 2 os endpoints de escrita.</w:t>
      </w:r>
    </w:p>
    <w:p>
      <w:pPr>
        <w:spacing w:after="120" w:line="276"/>
        <w:jc w:val="both"/>
      </w:pPr>
      <w:r>
        <w:t xml:space="preserve">Os campos </w:t>
      </w:r>
      <w:r>
        <w:rPr>
          <w:rFonts w:ascii="Consolas" w:cs="Consolas" w:eastAsia="Consolas" w:hAnsi="Consolas"/>
          <w:sz w:val="18"/>
          <w:szCs w:val="18"/>
        </w:rPr>
        <w:t xml:space="preserve">codigo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</w:rPr>
        <w:t xml:space="preserve">entrada</w:t>
      </w:r>
      <w:r>
        <w:t xml:space="preserve"> são </w:t>
      </w:r>
      <w:r>
        <w:rPr>
          <w:b/>
          <w:bCs/>
        </w:rPr>
        <w:t xml:space="preserve">obrigatórios</w:t>
      </w:r>
      <w:r>
        <w:t xml:space="preserve">: a </w:t>
      </w:r>
      <w:r>
        <w:rPr>
          <w:rFonts w:ascii="Consolas" w:cs="Consolas" w:eastAsia="Consolas" w:hAnsi="Consolas"/>
          <w:sz w:val="18"/>
          <w:szCs w:val="18"/>
        </w:rPr>
        <w:t xml:space="preserve">entrada</w:t>
      </w:r>
      <w:r>
        <w:t xml:space="preserve"> é o caso de teste que exercita a análise dinâmica e não pode ser omitida (só pode ser vazia quando o programa não lê nada de stdin). A ausência de um campo obrigatório retorna </w:t>
      </w:r>
      <w:r>
        <w:rPr>
          <w:rFonts w:ascii="Consolas" w:cs="Consolas" w:eastAsia="Consolas" w:hAnsi="Consolas"/>
          <w:sz w:val="18"/>
          <w:szCs w:val="18"/>
        </w:rPr>
        <w:t xml:space="preserve">422</w:t>
      </w:r>
      <w:r>
        <w:t xml:space="preserve">.</w:t>
      </w:r>
    </w:p>
    <w:p>
      <w:pPr>
        <w:pStyle w:val="Heading1"/>
        <w:spacing w:after="130" w:before="300"/>
      </w:pPr>
      <w:r>
        <w:rPr>
          <w:b/>
          <w:bCs/>
          <w:color w:val="1F4E79"/>
        </w:rPr>
        <w:t xml:space="preserve">4. Persistência dos feedbacks</w:t>
      </w:r>
    </w:p>
    <w:p>
      <w:pPr>
        <w:spacing w:after="120" w:line="276"/>
        <w:jc w:val="both"/>
      </w:pPr>
      <w:r>
        <w:t xml:space="preserve">Para permitir a </w:t>
      </w:r>
      <w:r>
        <w:rPr>
          <w:b/>
          <w:bCs/>
        </w:rPr>
        <w:t xml:space="preserve">avaliação posterior da qualidade pedagógica</w:t>
      </w:r>
      <w:r>
        <w:t xml:space="preserve">, cada feedback gerado por </w:t>
      </w:r>
      <w:r>
        <w:rPr>
          <w:rFonts w:ascii="Consolas" w:cs="Consolas" w:eastAsia="Consolas" w:hAnsi="Consolas"/>
          <w:sz w:val="18"/>
          <w:szCs w:val="18"/>
        </w:rPr>
        <w:t xml:space="preserve">POST /v1/feedbacks</w:t>
      </w:r>
      <w:r>
        <w:t xml:space="preserve"> passa a ser salvo como um JSON estruturado em </w:t>
      </w:r>
      <w:r>
        <w:rPr>
          <w:rFonts w:ascii="Consolas" w:cs="Consolas" w:eastAsia="Consolas" w:hAnsi="Consolas"/>
          <w:sz w:val="18"/>
          <w:szCs w:val="18"/>
        </w:rPr>
        <w:t xml:space="preserve">output/feedbacks_api/</w:t>
      </w:r>
      <w:r>
        <w:t xml:space="preserve">, com o diagnóstico (CWE, tipo, linhas), o código, o texto completo, o modelo e o modo de anotação.</w:t>
      </w:r>
    </w:p>
    <w:p>
      <w:pPr>
        <w:spacing w:after="120" w:line="276"/>
        <w:jc w:val="both"/>
      </w:pPr>
      <w:r>
        <w:t xml:space="preserve">Isso transformou </w:t>
      </w:r>
      <w:r>
        <w:rPr>
          <w:rFonts w:ascii="Consolas" w:cs="Consolas" w:eastAsia="Consolas" w:hAnsi="Consolas"/>
          <w:sz w:val="18"/>
          <w:szCs w:val="18"/>
        </w:rPr>
        <w:t xml:space="preserve">/v1/feedbacks</w:t>
      </w:r>
      <w:r>
        <w:t xml:space="preserve"> numa coleção de verdade: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onsolas" w:cs="Consolas" w:eastAsia="Consolas" w:hAnsi="Consolas"/>
          <w:sz w:val="18"/>
          <w:szCs w:val="18"/>
        </w:rPr>
        <w:t xml:space="preserve">POST /v1/feedbacks</w:t>
      </w:r>
      <w:r>
        <w:t xml:space="preserve">  → gera (streaming SSE), persiste e devolve </w:t>
      </w:r>
      <w:r>
        <w:rPr>
          <w:rFonts w:ascii="Consolas" w:cs="Consolas" w:eastAsia="Consolas" w:hAnsi="Consolas"/>
          <w:sz w:val="18"/>
          <w:szCs w:val="18"/>
        </w:rPr>
        <w:t xml:space="preserve">201 Created</w:t>
      </w:r>
      <w:r>
        <w:t xml:space="preserve"> com o </w:t>
      </w:r>
      <w:r>
        <w:rPr>
          <w:rFonts w:ascii="Consolas" w:cs="Consolas" w:eastAsia="Consolas" w:hAnsi="Consolas"/>
          <w:sz w:val="18"/>
          <w:szCs w:val="18"/>
        </w:rPr>
        <w:t xml:space="preserve">id</w:t>
      </w:r>
      <w:r>
        <w:t xml:space="preserve"> no header </w:t>
      </w:r>
      <w:r>
        <w:rPr>
          <w:rFonts w:ascii="Consolas" w:cs="Consolas" w:eastAsia="Consolas" w:hAnsi="Consolas"/>
          <w:sz w:val="18"/>
          <w:szCs w:val="18"/>
        </w:rPr>
        <w:t xml:space="preserve">Location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onsolas" w:cs="Consolas" w:eastAsia="Consolas" w:hAnsi="Consolas"/>
          <w:sz w:val="18"/>
          <w:szCs w:val="18"/>
        </w:rPr>
        <w:t xml:space="preserve">GET /v1/feedbacks</w:t>
      </w:r>
      <w:r>
        <w:t xml:space="preserve">  → lista os feedbacks persistidos (resumo).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onsolas" w:cs="Consolas" w:eastAsia="Consolas" w:hAnsi="Consolas"/>
          <w:sz w:val="18"/>
          <w:szCs w:val="18"/>
        </w:rPr>
        <w:t xml:space="preserve">GET /v1/feedbacks/{id}</w:t>
      </w:r>
      <w:r>
        <w:t xml:space="preserve">  → recupera um feedback completo (</w:t>
      </w:r>
      <w:r>
        <w:rPr>
          <w:rFonts w:ascii="Consolas" w:cs="Consolas" w:eastAsia="Consolas" w:hAnsi="Consolas"/>
          <w:sz w:val="18"/>
          <w:szCs w:val="18"/>
        </w:rPr>
        <w:t xml:space="preserve">404</w:t>
      </w:r>
      <w:r>
        <w:t xml:space="preserve"> se não existir).</w:t>
      </w:r>
    </w:p>
    <w:p>
      <w:pPr>
        <w:spacing w:after="120" w:line="276"/>
        <w:jc w:val="both"/>
      </w:pPr>
      <w:r>
        <w:t xml:space="preserve">Novo módulo </w:t>
      </w:r>
      <w:r>
        <w:rPr>
          <w:rFonts w:ascii="Consolas" w:cs="Consolas" w:eastAsia="Consolas" w:hAnsi="Consolas"/>
          <w:sz w:val="18"/>
          <w:szCs w:val="18"/>
        </w:rPr>
        <w:t xml:space="preserve">api/feedback_store.py</w:t>
      </w:r>
      <w:r>
        <w:t xml:space="preserve"> (salvar/listar/obter); armazenamento em arquivos, sem banco de dados. O id (</w:t>
      </w:r>
      <w:r>
        <w:rPr>
          <w:rFonts w:ascii="Consolas" w:cs="Consolas" w:eastAsia="Consolas" w:hAnsi="Consolas"/>
          <w:sz w:val="18"/>
          <w:szCs w:val="18"/>
        </w:rPr>
        <w:t xml:space="preserve">AAAAMMDDThhmmss_&lt;hex&gt;</w:t>
      </w:r>
      <w:r>
        <w:t xml:space="preserve">) é ordenável por tempo e validado contra path traversal.</w:t>
      </w:r>
    </w:p>
    <w:p>
      <w:pPr>
        <w:pStyle w:val="Heading1"/>
        <w:spacing w:after="130" w:before="300"/>
      </w:pPr>
      <w:r>
        <w:rPr>
          <w:b/>
          <w:bCs/>
          <w:color w:val="1F4E79"/>
        </w:rPr>
        <w:t xml:space="preserve">5. Códigos de status HTTP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000"/>
        <w:gridCol w:w="6200"/>
      </w:tblGrid>
      <w:tr>
        <w:tc>
          <w:tcPr>
            <w:tcW w:type="dxa" w:w="30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62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200 OK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Diagnóstico devolvido; GET de feedback bem-sucedido.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Feedback criado (POST /v1/feedbacks), com header Location.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 /v1/feedbacks/{id} de id inexistente.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415 Unsupported Media Type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Content-Type diferente de JSON/multipart.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Corpo inválido (validação Pydantic).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503 Service Unavailable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Dependência de análise indisponível (Docker/runner).</w:t>
            </w:r>
          </w:p>
        </w:tc>
      </w:tr>
    </w:tbl>
    <w:p>
      <w:pPr>
        <w:spacing w:after="120" w:line="276"/>
        <w:jc w:val="both"/>
      </w:pPr>
      <w:r>
        <w:t xml:space="preserve">Distinção importante: um </w:t>
      </w:r>
      <w:r>
        <w:rPr>
          <w:b/>
          <w:bCs/>
        </w:rPr>
        <w:t xml:space="preserve">erro no código do aluno</w:t>
      </w:r>
      <w:r>
        <w:t xml:space="preserve"> não é erro da API — a requisição teve sucesso (</w:t>
      </w:r>
      <w:r>
        <w:rPr>
          <w:rFonts w:ascii="Consolas" w:cs="Consolas" w:eastAsia="Consolas" w:hAnsi="Consolas"/>
          <w:sz w:val="18"/>
          <w:szCs w:val="18"/>
        </w:rPr>
        <w:t xml:space="preserve">200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201</w:t>
      </w:r>
      <w:r>
        <w:t xml:space="preserve">); o erro é o conteúdo do diagnóstico. Só falhas de infraestrutura viram </w:t>
      </w:r>
      <w:r>
        <w:rPr>
          <w:rFonts w:ascii="Consolas" w:cs="Consolas" w:eastAsia="Consolas" w:hAnsi="Consolas"/>
          <w:sz w:val="18"/>
          <w:szCs w:val="18"/>
        </w:rPr>
        <w:t xml:space="preserve">503</w:t>
      </w:r>
      <w:r>
        <w:t xml:space="preserve">.</w:t>
      </w:r>
    </w:p>
    <w:p>
      <w:pPr>
        <w:pStyle w:val="Heading1"/>
        <w:spacing w:after="130" w:before="300"/>
      </w:pPr>
      <w:r>
        <w:rPr>
          <w:b/>
          <w:bCs/>
          <w:color w:val="1F4E79"/>
        </w:rPr>
        <w:t xml:space="preserve">6. Arquivos alterados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onsolas" w:cs="Consolas" w:eastAsia="Consolas" w:hAnsi="Consolas"/>
          <w:sz w:val="18"/>
          <w:szCs w:val="18"/>
        </w:rPr>
        <w:t xml:space="preserve">api/app.py</w:t>
      </w:r>
      <w:r>
        <w:t xml:space="preserve"> — reescrito: novos endpoints, unificação por Content-Type, persistência, status codes.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onsolas" w:cs="Consolas" w:eastAsia="Consolas" w:hAnsi="Consolas"/>
          <w:sz w:val="18"/>
          <w:szCs w:val="18"/>
        </w:rPr>
        <w:t xml:space="preserve">api/feedback_store.py</w:t>
      </w:r>
      <w:r>
        <w:t xml:space="preserve"> — novo módulo de persistência de feedbacks.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onsolas" w:cs="Consolas" w:eastAsia="Consolas" w:hAnsi="Consolas"/>
          <w:sz w:val="18"/>
          <w:szCs w:val="18"/>
        </w:rPr>
        <w:t xml:space="preserve">api/pipeline_adapter.py</w:t>
      </w:r>
      <w:r>
        <w:t xml:space="preserve"> — sinaliza falha de infraestrutura (</w:t>
      </w:r>
      <w:r>
        <w:rPr>
          <w:rFonts w:ascii="Consolas" w:cs="Consolas" w:eastAsia="Consolas" w:hAnsi="Consolas"/>
          <w:sz w:val="18"/>
          <w:szCs w:val="18"/>
        </w:rPr>
        <w:t xml:space="preserve">erro_infra</w:t>
      </w:r>
      <w:r>
        <w:t xml:space="preserve"> → 503).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onsolas" w:cs="Consolas" w:eastAsia="Consolas" w:hAnsi="Consolas"/>
          <w:sz w:val="18"/>
          <w:szCs w:val="18"/>
        </w:rPr>
        <w:t xml:space="preserve">src/config.py</w:t>
      </w:r>
      <w:r>
        <w:t xml:space="preserve"> — novo caminho </w:t>
      </w:r>
      <w:r>
        <w:rPr>
          <w:rFonts w:ascii="Consolas" w:cs="Consolas" w:eastAsia="Consolas" w:hAnsi="Consolas"/>
          <w:sz w:val="18"/>
          <w:szCs w:val="18"/>
        </w:rPr>
        <w:t xml:space="preserve">PASTA_FEEDBACKS_API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onsolas" w:cs="Consolas" w:eastAsia="Consolas" w:hAnsi="Consolas"/>
          <w:sz w:val="18"/>
          <w:szCs w:val="18"/>
        </w:rPr>
        <w:t xml:space="preserve">api/teste_sse.html</w:t>
      </w:r>
      <w:r>
        <w:t xml:space="preserve"> — URLs atualizadas para os novos endpoints.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onsolas" w:cs="Consolas" w:eastAsia="Consolas" w:hAnsi="Consolas"/>
          <w:sz w:val="18"/>
          <w:szCs w:val="18"/>
        </w:rPr>
        <w:t xml:space="preserve">README.md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</w:rPr>
        <w:t xml:space="preserve">api/README.md</w:t>
      </w:r>
      <w:r>
        <w:t xml:space="preserve"> — tabelas, exemplos de curl e seções atualizadas.</w:t>
      </w:r>
    </w:p>
    <w:p>
      <w:pPr>
        <w:spacing w:after="120" w:line="276"/>
        <w:jc w:val="both"/>
      </w:pPr>
      <w:r>
        <w:t xml:space="preserve">O </w:t>
      </w:r>
      <w:r>
        <w:rPr>
          <w:rFonts w:ascii="Consolas" w:cs="Consolas" w:eastAsia="Consolas" w:hAnsi="Consolas"/>
          <w:sz w:val="18"/>
          <w:szCs w:val="18"/>
        </w:rPr>
        <w:t xml:space="preserve">requirements.txt</w:t>
      </w:r>
      <w:r>
        <w:t xml:space="preserve"> já listava </w:t>
      </w:r>
      <w:r>
        <w:rPr>
          <w:rFonts w:ascii="Consolas" w:cs="Consolas" w:eastAsia="Consolas" w:hAnsi="Consolas"/>
          <w:sz w:val="18"/>
          <w:szCs w:val="18"/>
        </w:rPr>
        <w:t xml:space="preserve">python-multipart</w:t>
      </w:r>
      <w:r>
        <w:t xml:space="preserve"> (necessário ao multipart).</w:t>
      </w:r>
    </w:p>
    <w:p>
      <w:pPr>
        <w:pStyle w:val="Heading1"/>
        <w:spacing w:after="130" w:before="300"/>
      </w:pPr>
      <w:r>
        <w:rPr>
          <w:b/>
          <w:bCs/>
          <w:color w:val="1F4E79"/>
        </w:rPr>
        <w:t xml:space="preserve">7. Verificação</w:t>
      </w:r>
    </w:p>
    <w:p>
      <w:pPr>
        <w:spacing w:after="120" w:line="276"/>
        <w:jc w:val="both"/>
      </w:pPr>
      <w:r>
        <w:t xml:space="preserve">A API foi testada em modo mock (FastAPI TestClient), com todos os casos passando: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GET  /v1/health                 -&gt; 200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POST /v1/diagnostics (JSON)     -&gt; 200  (diagnóstico correto)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POST /v1/diagnostics (multipart)-&gt; 200  (mesmo endpoint, upload)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POST /v1/diagnostics (texto)    -&gt; 415  (content-type inválido)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POST /v1/feedbacks              -&gt; 201  + Location; SSE: meta→status→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diagnostico→token*→fim; feedback persistido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GET  /v1/feedbacks              -&gt; 200  (coleção)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GET  /v1/feedbacks/{id}         -&gt; 200  (registro completo)</w:t>
      </w:r>
    </w:p>
    <w:p>
      <w:pPr>
        <w:shd w:fill="F2F2F2" w:color="auto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GET  /v1/feedbacks/inexistente  -&gt; 404</w:t>
      </w:r>
    </w:p>
    <w:p>
      <w:pPr>
        <w:pStyle w:val="Heading1"/>
        <w:spacing w:after="130" w:before="300"/>
      </w:pPr>
      <w:r>
        <w:rPr>
          <w:b/>
          <w:bCs/>
          <w:color w:val="1F4E79"/>
        </w:rPr>
        <w:t xml:space="preserve">8. Sobre versionamento (/v1)</w:t>
      </w:r>
    </w:p>
    <w:p>
      <w:pPr>
        <w:spacing w:after="120" w:line="276"/>
        <w:jc w:val="both"/>
      </w:pPr>
      <w:r>
        <w:t xml:space="preserve">O prefixo </w:t>
      </w:r>
      <w:r>
        <w:rPr>
          <w:rFonts w:ascii="Consolas" w:cs="Consolas" w:eastAsia="Consolas" w:hAnsi="Consolas"/>
          <w:sz w:val="18"/>
          <w:szCs w:val="18"/>
        </w:rPr>
        <w:t xml:space="preserve">/v1</w:t>
      </w:r>
      <w:r>
        <w:t xml:space="preserve"> foi incluído para preparar a evolução da API. O propósito de versões no caminho é permitir que </w:t>
      </w:r>
      <w:r>
        <w:rPr>
          <w:rFonts w:ascii="Consolas" w:cs="Consolas" w:eastAsia="Consolas" w:hAnsi="Consolas"/>
          <w:sz w:val="18"/>
          <w:szCs w:val="18"/>
        </w:rPr>
        <w:t xml:space="preserve">/v1</w:t>
      </w:r>
      <w:r>
        <w:t xml:space="preserve"> e uma futura </w:t>
      </w:r>
      <w:r>
        <w:rPr>
          <w:rFonts w:ascii="Consolas" w:cs="Consolas" w:eastAsia="Consolas" w:hAnsi="Consolas"/>
          <w:sz w:val="18"/>
          <w:szCs w:val="18"/>
        </w:rPr>
        <w:t xml:space="preserve">/v2</w:t>
      </w:r>
      <w:r>
        <w:t xml:space="preserve"> convivam durante uma janela de transição, sem quebrar clientes antigos. Como aqui a API e o único cliente (o front do CodeBench) sobem juntos, o </w:t>
      </w:r>
      <w:r>
        <w:rPr>
          <w:rFonts w:ascii="Consolas" w:cs="Consolas" w:eastAsia="Consolas" w:hAnsi="Consolas"/>
          <w:sz w:val="18"/>
          <w:szCs w:val="18"/>
        </w:rPr>
        <w:t xml:space="preserve">/v1</w:t>
      </w:r>
      <w:r>
        <w:t xml:space="preserve"> funciona como preparação de baixo custo — não implica manter duas versões em paralelo agora.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Ajustes na API — Conformidade REST</dc:title>
  <dc:creator>Guilherme Pereira</dc:creator>
  <cp:lastModifiedBy>Un-named</cp:lastModifiedBy>
  <cp:revision>1</cp:revision>
  <dcterms:created xsi:type="dcterms:W3CDTF">2026-09-16T23:25:07.568Z</dcterms:created>
  <dcterms:modified xsi:type="dcterms:W3CDTF">2026-09-16T23:25:07.568Z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