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8CC92" w14:textId="77777777" w:rsidR="00DC2D90" w:rsidRDefault="003615A3">
      <w:pPr>
        <w:pStyle w:val="Title"/>
      </w:pPr>
      <w:r>
        <w:t>Legal Analysis</w:t>
      </w:r>
    </w:p>
    <w:p w14:paraId="364CE3FE" w14:textId="77777777" w:rsidR="00FE544B" w:rsidRDefault="00FE544B">
      <w:pPr>
        <w:pStyle w:val="Title"/>
      </w:pPr>
    </w:p>
    <w:p w14:paraId="3ED350EE" w14:textId="77777777" w:rsidR="00092F71" w:rsidRDefault="00092F71" w:rsidP="00092F71">
      <w:pPr>
        <w:pStyle w:val="Title"/>
        <w:jc w:val="left"/>
        <w:rPr>
          <w:sz w:val="24"/>
        </w:rPr>
      </w:pPr>
      <w:r>
        <w:rPr>
          <w:sz w:val="24"/>
        </w:rPr>
        <w:t xml:space="preserve">Year: </w:t>
      </w:r>
      <w:r w:rsidR="005229E6" w:rsidRPr="005229E6">
        <w:rPr>
          <w:b w:val="0"/>
          <w:sz w:val="24"/>
        </w:rPr>
        <w:t>2017</w:t>
      </w:r>
      <w:r>
        <w:rPr>
          <w:sz w:val="24"/>
        </w:rPr>
        <w:t xml:space="preserve"> </w:t>
      </w:r>
      <w:r>
        <w:rPr>
          <w:sz w:val="24"/>
        </w:rPr>
        <w:tab/>
        <w:t xml:space="preserve">Semester: </w:t>
      </w:r>
      <w:r w:rsidR="005229E6" w:rsidRPr="005229E6">
        <w:rPr>
          <w:b w:val="0"/>
          <w:sz w:val="24"/>
        </w:rPr>
        <w:t>Spring</w:t>
      </w:r>
      <w:r>
        <w:rPr>
          <w:sz w:val="24"/>
        </w:rPr>
        <w:tab/>
      </w:r>
      <w:r w:rsidR="00BB3F27">
        <w:rPr>
          <w:sz w:val="24"/>
        </w:rPr>
        <w:t xml:space="preserve">Team: </w:t>
      </w:r>
      <w:r w:rsidR="005229E6" w:rsidRPr="005229E6">
        <w:rPr>
          <w:b w:val="0"/>
          <w:sz w:val="24"/>
        </w:rPr>
        <w:t>12</w:t>
      </w:r>
      <w:r w:rsidR="00BB3F27">
        <w:rPr>
          <w:sz w:val="24"/>
        </w:rPr>
        <w:t xml:space="preserve"> </w:t>
      </w:r>
      <w:r w:rsidR="005229E6">
        <w:rPr>
          <w:sz w:val="24"/>
        </w:rPr>
        <w:t xml:space="preserve">       </w:t>
      </w:r>
      <w:r w:rsidR="00BB3F27">
        <w:rPr>
          <w:sz w:val="24"/>
        </w:rPr>
        <w:t>Project</w:t>
      </w:r>
      <w:r w:rsidR="005229E6">
        <w:rPr>
          <w:sz w:val="24"/>
        </w:rPr>
        <w:t xml:space="preserve">: </w:t>
      </w:r>
      <w:r w:rsidR="005229E6" w:rsidRPr="005229E6">
        <w:rPr>
          <w:b w:val="0"/>
          <w:sz w:val="24"/>
        </w:rPr>
        <w:t>Guitutar</w:t>
      </w:r>
    </w:p>
    <w:p w14:paraId="4BD48324" w14:textId="3D042F61" w:rsidR="00092F71" w:rsidRPr="002A18F9" w:rsidRDefault="00092F71" w:rsidP="00092F71">
      <w:pPr>
        <w:pStyle w:val="Title"/>
        <w:jc w:val="left"/>
        <w:rPr>
          <w:sz w:val="24"/>
        </w:rPr>
      </w:pPr>
      <w:r>
        <w:rPr>
          <w:sz w:val="24"/>
        </w:rPr>
        <w:t xml:space="preserve">Creation Date: </w:t>
      </w:r>
      <w:r w:rsidRPr="005229E6">
        <w:rPr>
          <w:b w:val="0"/>
          <w:sz w:val="24"/>
        </w:rPr>
        <w:softHyphen/>
      </w:r>
      <w:r w:rsidR="005229E6" w:rsidRPr="005229E6">
        <w:rPr>
          <w:b w:val="0"/>
          <w:sz w:val="24"/>
        </w:rPr>
        <w:t>24 March 2017</w:t>
      </w:r>
      <w:r>
        <w:rPr>
          <w:sz w:val="24"/>
        </w:rPr>
        <w:t xml:space="preserve"> </w:t>
      </w:r>
      <w:r>
        <w:rPr>
          <w:sz w:val="24"/>
        </w:rPr>
        <w:tab/>
      </w:r>
      <w:r>
        <w:rPr>
          <w:sz w:val="24"/>
        </w:rPr>
        <w:tab/>
      </w:r>
      <w:r w:rsidR="005229E6">
        <w:rPr>
          <w:sz w:val="24"/>
        </w:rPr>
        <w:tab/>
      </w:r>
      <w:r>
        <w:rPr>
          <w:sz w:val="24"/>
        </w:rPr>
        <w:t xml:space="preserve">Last Modified: </w:t>
      </w:r>
      <w:r w:rsidR="00BB3F27" w:rsidRPr="00BB3F27">
        <w:rPr>
          <w:b w:val="0"/>
          <w:sz w:val="24"/>
        </w:rPr>
        <w:fldChar w:fldCharType="begin"/>
      </w:r>
      <w:r w:rsidR="00BB3F27" w:rsidRPr="00BB3F27">
        <w:rPr>
          <w:b w:val="0"/>
          <w:sz w:val="24"/>
        </w:rPr>
        <w:instrText xml:space="preserve"> DATE \@ "MMMM d, yyyy" </w:instrText>
      </w:r>
      <w:r w:rsidR="00BB3F27" w:rsidRPr="00BB3F27">
        <w:rPr>
          <w:b w:val="0"/>
          <w:sz w:val="24"/>
        </w:rPr>
        <w:fldChar w:fldCharType="separate"/>
      </w:r>
      <w:r w:rsidR="004D1E95">
        <w:rPr>
          <w:b w:val="0"/>
          <w:noProof/>
          <w:sz w:val="24"/>
        </w:rPr>
        <w:t>May 1, 2017</w:t>
      </w:r>
      <w:r w:rsidR="00BB3F27" w:rsidRPr="00BB3F27">
        <w:rPr>
          <w:b w:val="0"/>
          <w:sz w:val="24"/>
        </w:rPr>
        <w:fldChar w:fldCharType="end"/>
      </w:r>
    </w:p>
    <w:p w14:paraId="32B7DD43" w14:textId="77777777" w:rsidR="00092F71" w:rsidRDefault="00092F71" w:rsidP="00092F71">
      <w:pPr>
        <w:pStyle w:val="Title"/>
        <w:jc w:val="left"/>
        <w:rPr>
          <w:sz w:val="24"/>
        </w:rPr>
      </w:pPr>
      <w:r>
        <w:rPr>
          <w:sz w:val="24"/>
        </w:rPr>
        <w:t xml:space="preserve">Author:  </w:t>
      </w:r>
      <w:r w:rsidR="005229E6" w:rsidRPr="005229E6">
        <w:rPr>
          <w:b w:val="0"/>
          <w:sz w:val="24"/>
        </w:rPr>
        <w:t>Cole</w:t>
      </w:r>
      <w:r w:rsidR="005229E6">
        <w:rPr>
          <w:sz w:val="24"/>
        </w:rPr>
        <w:t xml:space="preserve"> </w:t>
      </w:r>
      <w:r w:rsidR="005229E6" w:rsidRPr="005229E6">
        <w:rPr>
          <w:b w:val="0"/>
          <w:sz w:val="24"/>
        </w:rPr>
        <w:t>Giannotti</w:t>
      </w:r>
      <w:r w:rsidR="005229E6">
        <w:rPr>
          <w:sz w:val="24"/>
        </w:rPr>
        <w:tab/>
      </w:r>
      <w:r w:rsidR="005229E6">
        <w:rPr>
          <w:sz w:val="24"/>
        </w:rPr>
        <w:tab/>
      </w:r>
      <w:r w:rsidR="005229E6">
        <w:rPr>
          <w:sz w:val="24"/>
        </w:rPr>
        <w:tab/>
      </w:r>
      <w:r>
        <w:rPr>
          <w:sz w:val="24"/>
        </w:rPr>
        <w:tab/>
        <w:t xml:space="preserve">Email: </w:t>
      </w:r>
      <w:r w:rsidR="005229E6" w:rsidRPr="005229E6">
        <w:rPr>
          <w:b w:val="0"/>
          <w:sz w:val="24"/>
        </w:rPr>
        <w:t>agiannot@purdue</w:t>
      </w:r>
      <w:r w:rsidR="005229E6">
        <w:rPr>
          <w:sz w:val="24"/>
        </w:rPr>
        <w:t>.</w:t>
      </w:r>
      <w:r w:rsidR="005229E6" w:rsidRPr="005229E6">
        <w:rPr>
          <w:b w:val="0"/>
          <w:sz w:val="24"/>
        </w:rPr>
        <w:t>edu</w:t>
      </w:r>
      <w:r w:rsidRPr="005229E6">
        <w:rPr>
          <w:b w:val="0"/>
          <w:sz w:val="24"/>
        </w:rPr>
        <w:t xml:space="preserve"> </w:t>
      </w:r>
    </w:p>
    <w:p w14:paraId="52B01D5E" w14:textId="77777777" w:rsidR="00092F71" w:rsidRDefault="00092F71" w:rsidP="00092F71">
      <w:pPr>
        <w:pStyle w:val="Title"/>
        <w:jc w:val="left"/>
        <w:rPr>
          <w:sz w:val="24"/>
        </w:rPr>
      </w:pPr>
    </w:p>
    <w:p w14:paraId="49638AAC" w14:textId="77777777" w:rsidR="00092F71" w:rsidRPr="00FF1987" w:rsidRDefault="00092F71" w:rsidP="00092F71">
      <w:pPr>
        <w:pStyle w:val="Title"/>
        <w:jc w:val="left"/>
        <w:rPr>
          <w:sz w:val="24"/>
        </w:rPr>
      </w:pPr>
      <w:r>
        <w:rPr>
          <w:sz w:val="24"/>
        </w:rPr>
        <w:t>Assignment Evaluation:</w:t>
      </w:r>
    </w:p>
    <w:p w14:paraId="0ACBB511" w14:textId="77777777" w:rsidR="00092F71" w:rsidRDefault="00092F71" w:rsidP="00092F71">
      <w:pPr>
        <w:pStyle w:val="Title"/>
        <w:jc w:val="left"/>
        <w:rPr>
          <w:sz w:val="24"/>
        </w:rPr>
      </w:pPr>
    </w:p>
    <w:tbl>
      <w:tblPr>
        <w:tblW w:w="9483" w:type="dxa"/>
        <w:tblInd w:w="93" w:type="dxa"/>
        <w:tblLook w:val="04A0" w:firstRow="1" w:lastRow="0" w:firstColumn="1" w:lastColumn="0" w:noHBand="0" w:noVBand="1"/>
      </w:tblPr>
      <w:tblGrid>
        <w:gridCol w:w="2670"/>
        <w:gridCol w:w="1242"/>
        <w:gridCol w:w="942"/>
        <w:gridCol w:w="788"/>
        <w:gridCol w:w="3841"/>
      </w:tblGrid>
      <w:tr w:rsidR="00092F71" w:rsidRPr="00787F03" w14:paraId="4762AE04" w14:textId="77777777" w:rsidTr="0078609F">
        <w:trPr>
          <w:trHeight w:val="266"/>
        </w:trPr>
        <w:tc>
          <w:tcPr>
            <w:tcW w:w="267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43EDF2B7"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Item</w:t>
            </w:r>
          </w:p>
        </w:tc>
        <w:tc>
          <w:tcPr>
            <w:tcW w:w="1242" w:type="dxa"/>
            <w:tcBorders>
              <w:top w:val="single" w:sz="4" w:space="0" w:color="auto"/>
              <w:left w:val="nil"/>
              <w:bottom w:val="single" w:sz="4" w:space="0" w:color="auto"/>
              <w:right w:val="single" w:sz="4" w:space="0" w:color="auto"/>
            </w:tcBorders>
            <w:shd w:val="clear" w:color="000000" w:fill="A6A6A6"/>
            <w:noWrap/>
            <w:vAlign w:val="bottom"/>
            <w:hideMark/>
          </w:tcPr>
          <w:p w14:paraId="1A853066"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Score (0-5)</w:t>
            </w:r>
          </w:p>
        </w:tc>
        <w:tc>
          <w:tcPr>
            <w:tcW w:w="942" w:type="dxa"/>
            <w:tcBorders>
              <w:top w:val="single" w:sz="4" w:space="0" w:color="auto"/>
              <w:left w:val="nil"/>
              <w:bottom w:val="single" w:sz="4" w:space="0" w:color="auto"/>
              <w:right w:val="single" w:sz="4" w:space="0" w:color="auto"/>
            </w:tcBorders>
            <w:shd w:val="clear" w:color="000000" w:fill="A6A6A6"/>
            <w:noWrap/>
            <w:vAlign w:val="bottom"/>
            <w:hideMark/>
          </w:tcPr>
          <w:p w14:paraId="029E6B56" w14:textId="77777777" w:rsidR="00092F71" w:rsidRPr="00787F03" w:rsidRDefault="00092F71" w:rsidP="000C0794">
            <w:pPr>
              <w:rPr>
                <w:rFonts w:ascii="Calibri" w:hAnsi="Calibri"/>
                <w:b/>
                <w:bCs/>
                <w:color w:val="000000"/>
                <w:sz w:val="22"/>
                <w:szCs w:val="22"/>
              </w:rPr>
            </w:pPr>
            <w:r w:rsidRPr="00787F03">
              <w:rPr>
                <w:rFonts w:ascii="Calibri" w:hAnsi="Calibri"/>
                <w:b/>
                <w:bCs/>
                <w:color w:val="000000"/>
                <w:sz w:val="22"/>
                <w:szCs w:val="22"/>
              </w:rPr>
              <w:t>Weight</w:t>
            </w:r>
          </w:p>
        </w:tc>
        <w:tc>
          <w:tcPr>
            <w:tcW w:w="788" w:type="dxa"/>
            <w:tcBorders>
              <w:top w:val="single" w:sz="4" w:space="0" w:color="auto"/>
              <w:left w:val="nil"/>
              <w:bottom w:val="single" w:sz="4" w:space="0" w:color="auto"/>
              <w:right w:val="single" w:sz="4" w:space="0" w:color="auto"/>
            </w:tcBorders>
            <w:shd w:val="clear" w:color="000000" w:fill="A6A6A6"/>
            <w:noWrap/>
            <w:vAlign w:val="bottom"/>
            <w:hideMark/>
          </w:tcPr>
          <w:p w14:paraId="12887127"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Points</w:t>
            </w:r>
          </w:p>
        </w:tc>
        <w:tc>
          <w:tcPr>
            <w:tcW w:w="3841" w:type="dxa"/>
            <w:tcBorders>
              <w:top w:val="single" w:sz="4" w:space="0" w:color="auto"/>
              <w:left w:val="nil"/>
              <w:bottom w:val="single" w:sz="4" w:space="0" w:color="auto"/>
              <w:right w:val="single" w:sz="4" w:space="0" w:color="auto"/>
            </w:tcBorders>
            <w:shd w:val="clear" w:color="000000" w:fill="A6A6A6"/>
            <w:noWrap/>
            <w:vAlign w:val="bottom"/>
            <w:hideMark/>
          </w:tcPr>
          <w:p w14:paraId="17698D69" w14:textId="77777777" w:rsidR="00092F71" w:rsidRPr="00787F03" w:rsidRDefault="00092F71" w:rsidP="000C0794">
            <w:pPr>
              <w:jc w:val="center"/>
              <w:rPr>
                <w:rFonts w:ascii="Calibri" w:hAnsi="Calibri"/>
                <w:b/>
                <w:bCs/>
                <w:color w:val="000000"/>
                <w:sz w:val="22"/>
                <w:szCs w:val="22"/>
              </w:rPr>
            </w:pPr>
            <w:r w:rsidRPr="00787F03">
              <w:rPr>
                <w:rFonts w:ascii="Calibri" w:hAnsi="Calibri"/>
                <w:b/>
                <w:bCs/>
                <w:color w:val="000000"/>
                <w:sz w:val="22"/>
                <w:szCs w:val="22"/>
              </w:rPr>
              <w:t>Notes</w:t>
            </w:r>
          </w:p>
        </w:tc>
      </w:tr>
      <w:tr w:rsidR="00092F71" w:rsidRPr="00787F03" w14:paraId="26371CD8" w14:textId="77777777" w:rsidTr="000C0794">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FBAA420" w14:textId="77777777" w:rsidR="00092F71" w:rsidRPr="00787F03" w:rsidRDefault="00092F71" w:rsidP="000C0794">
            <w:pPr>
              <w:rPr>
                <w:rFonts w:ascii="Calibri" w:hAnsi="Calibri"/>
                <w:b/>
                <w:bCs/>
                <w:color w:val="000000"/>
                <w:sz w:val="22"/>
                <w:szCs w:val="22"/>
              </w:rPr>
            </w:pPr>
            <w:r w:rsidRPr="00787F03">
              <w:rPr>
                <w:rFonts w:ascii="Calibri" w:hAnsi="Calibri"/>
                <w:b/>
                <w:bCs/>
                <w:color w:val="000000"/>
                <w:sz w:val="22"/>
                <w:szCs w:val="22"/>
              </w:rPr>
              <w:t>Assignment-Specific Items</w:t>
            </w:r>
          </w:p>
        </w:tc>
      </w:tr>
      <w:tr w:rsidR="00092F71" w:rsidRPr="00787F03" w14:paraId="4BC499DD"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2B5A4D4E" w14:textId="77777777" w:rsidR="00092F71" w:rsidRPr="00787F03" w:rsidRDefault="00092F71" w:rsidP="000C0794">
            <w:pPr>
              <w:rPr>
                <w:rFonts w:ascii="Calibri" w:hAnsi="Calibri"/>
                <w:b/>
                <w:bCs/>
                <w:color w:val="000000"/>
                <w:sz w:val="22"/>
                <w:szCs w:val="22"/>
              </w:rPr>
            </w:pPr>
            <w:r>
              <w:rPr>
                <w:rFonts w:ascii="Calibri" w:hAnsi="Calibri"/>
                <w:b/>
                <w:bCs/>
                <w:color w:val="000000"/>
                <w:sz w:val="22"/>
                <w:szCs w:val="22"/>
              </w:rPr>
              <w:t>Regulatory Analysis</w:t>
            </w:r>
          </w:p>
        </w:tc>
        <w:tc>
          <w:tcPr>
            <w:tcW w:w="1242" w:type="dxa"/>
            <w:tcBorders>
              <w:top w:val="nil"/>
              <w:left w:val="nil"/>
              <w:bottom w:val="single" w:sz="4" w:space="0" w:color="auto"/>
              <w:right w:val="single" w:sz="4" w:space="0" w:color="auto"/>
            </w:tcBorders>
            <w:shd w:val="clear" w:color="auto" w:fill="auto"/>
            <w:noWrap/>
            <w:vAlign w:val="bottom"/>
            <w:hideMark/>
          </w:tcPr>
          <w:p w14:paraId="42548413" w14:textId="1A5A087D" w:rsidR="00092F71" w:rsidRPr="00787F03" w:rsidRDefault="000A0793" w:rsidP="0078609F">
            <w:pPr>
              <w:jc w:val="center"/>
              <w:rPr>
                <w:rFonts w:ascii="Calibri" w:hAnsi="Calibri"/>
                <w:color w:val="000000"/>
                <w:sz w:val="22"/>
                <w:szCs w:val="22"/>
              </w:rPr>
            </w:pPr>
            <w:r>
              <w:rPr>
                <w:rFonts w:ascii="Calibri" w:hAnsi="Calibri"/>
                <w:color w:val="000000"/>
                <w:sz w:val="22"/>
                <w:szCs w:val="22"/>
              </w:rPr>
              <w:t>4.5</w:t>
            </w:r>
          </w:p>
        </w:tc>
        <w:tc>
          <w:tcPr>
            <w:tcW w:w="942" w:type="dxa"/>
            <w:tcBorders>
              <w:top w:val="nil"/>
              <w:left w:val="nil"/>
              <w:bottom w:val="single" w:sz="4" w:space="0" w:color="auto"/>
              <w:right w:val="single" w:sz="4" w:space="0" w:color="auto"/>
            </w:tcBorders>
            <w:shd w:val="clear" w:color="auto" w:fill="auto"/>
            <w:noWrap/>
            <w:vAlign w:val="bottom"/>
            <w:hideMark/>
          </w:tcPr>
          <w:p w14:paraId="3F5BA578"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39E7BAE5" w14:textId="46A2A3DF" w:rsidR="00092F71" w:rsidRPr="00787F03" w:rsidRDefault="000A0793" w:rsidP="0078609F">
            <w:pPr>
              <w:jc w:val="center"/>
              <w:rPr>
                <w:rFonts w:ascii="Calibri" w:hAnsi="Calibri"/>
                <w:color w:val="000000"/>
                <w:sz w:val="22"/>
                <w:szCs w:val="22"/>
              </w:rPr>
            </w:pPr>
            <w:r>
              <w:rPr>
                <w:rFonts w:ascii="Calibri" w:hAnsi="Calibri"/>
                <w:color w:val="000000"/>
                <w:sz w:val="22"/>
                <w:szCs w:val="22"/>
              </w:rPr>
              <w:t>13.5</w:t>
            </w:r>
          </w:p>
        </w:tc>
        <w:tc>
          <w:tcPr>
            <w:tcW w:w="3841" w:type="dxa"/>
            <w:tcBorders>
              <w:top w:val="nil"/>
              <w:left w:val="nil"/>
              <w:bottom w:val="single" w:sz="4" w:space="0" w:color="auto"/>
              <w:right w:val="single" w:sz="4" w:space="0" w:color="auto"/>
            </w:tcBorders>
            <w:shd w:val="clear" w:color="auto" w:fill="auto"/>
            <w:noWrap/>
            <w:vAlign w:val="bottom"/>
            <w:hideMark/>
          </w:tcPr>
          <w:p w14:paraId="09F9B5EA" w14:textId="7B2FA829"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r w:rsidR="000A0793">
              <w:rPr>
                <w:rFonts w:ascii="Calibri" w:hAnsi="Calibri"/>
                <w:color w:val="000000"/>
                <w:sz w:val="22"/>
                <w:szCs w:val="22"/>
              </w:rPr>
              <w:t>Need more details on app process</w:t>
            </w:r>
          </w:p>
        </w:tc>
      </w:tr>
      <w:tr w:rsidR="00092F71" w:rsidRPr="00787F03" w14:paraId="2DF0FB5E"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504F948B" w14:textId="77777777" w:rsidR="00092F71" w:rsidRPr="00787F03" w:rsidRDefault="005A6397" w:rsidP="000C0794">
            <w:pPr>
              <w:rPr>
                <w:rFonts w:ascii="Calibri" w:hAnsi="Calibri"/>
                <w:b/>
                <w:bCs/>
                <w:color w:val="000000"/>
                <w:sz w:val="22"/>
                <w:szCs w:val="22"/>
              </w:rPr>
            </w:pPr>
            <w:r>
              <w:rPr>
                <w:rFonts w:ascii="Calibri" w:hAnsi="Calibri"/>
                <w:b/>
                <w:bCs/>
                <w:color w:val="000000"/>
                <w:sz w:val="22"/>
                <w:szCs w:val="22"/>
              </w:rPr>
              <w:t>Analysis of Patent 1</w:t>
            </w:r>
          </w:p>
        </w:tc>
        <w:tc>
          <w:tcPr>
            <w:tcW w:w="1242" w:type="dxa"/>
            <w:tcBorders>
              <w:top w:val="nil"/>
              <w:left w:val="nil"/>
              <w:bottom w:val="single" w:sz="4" w:space="0" w:color="auto"/>
              <w:right w:val="single" w:sz="4" w:space="0" w:color="auto"/>
            </w:tcBorders>
            <w:shd w:val="clear" w:color="auto" w:fill="auto"/>
            <w:noWrap/>
            <w:vAlign w:val="bottom"/>
            <w:hideMark/>
          </w:tcPr>
          <w:p w14:paraId="1802697F" w14:textId="627381F6" w:rsidR="00092F71" w:rsidRPr="00787F03" w:rsidRDefault="008F3B04" w:rsidP="0078609F">
            <w:pPr>
              <w:jc w:val="center"/>
              <w:rPr>
                <w:rFonts w:ascii="Calibri" w:hAnsi="Calibri"/>
                <w:color w:val="000000"/>
                <w:sz w:val="22"/>
                <w:szCs w:val="22"/>
              </w:rPr>
            </w:pPr>
            <w:r>
              <w:rPr>
                <w:rFonts w:ascii="Calibri" w:hAnsi="Calibri"/>
                <w:color w:val="000000"/>
                <w:sz w:val="22"/>
                <w:szCs w:val="22"/>
              </w:rPr>
              <w:t>4.5</w:t>
            </w:r>
          </w:p>
        </w:tc>
        <w:tc>
          <w:tcPr>
            <w:tcW w:w="942" w:type="dxa"/>
            <w:tcBorders>
              <w:top w:val="nil"/>
              <w:left w:val="nil"/>
              <w:bottom w:val="single" w:sz="4" w:space="0" w:color="auto"/>
              <w:right w:val="single" w:sz="4" w:space="0" w:color="auto"/>
            </w:tcBorders>
            <w:shd w:val="clear" w:color="auto" w:fill="auto"/>
            <w:noWrap/>
            <w:vAlign w:val="bottom"/>
            <w:hideMark/>
          </w:tcPr>
          <w:p w14:paraId="2F95EE2D"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25DF014D" w14:textId="3A1E4C55" w:rsidR="00092F71" w:rsidRPr="00787F03" w:rsidRDefault="008F3B04" w:rsidP="0078609F">
            <w:pPr>
              <w:jc w:val="center"/>
              <w:rPr>
                <w:rFonts w:ascii="Calibri" w:hAnsi="Calibri"/>
                <w:color w:val="000000"/>
                <w:sz w:val="22"/>
                <w:szCs w:val="22"/>
              </w:rPr>
            </w:pPr>
            <w:r>
              <w:rPr>
                <w:rFonts w:ascii="Calibri" w:hAnsi="Calibri"/>
                <w:color w:val="000000"/>
                <w:sz w:val="22"/>
                <w:szCs w:val="22"/>
              </w:rPr>
              <w:t>13.5</w:t>
            </w:r>
          </w:p>
        </w:tc>
        <w:tc>
          <w:tcPr>
            <w:tcW w:w="3841" w:type="dxa"/>
            <w:tcBorders>
              <w:top w:val="nil"/>
              <w:left w:val="nil"/>
              <w:bottom w:val="single" w:sz="4" w:space="0" w:color="auto"/>
              <w:right w:val="single" w:sz="4" w:space="0" w:color="auto"/>
            </w:tcBorders>
            <w:shd w:val="clear" w:color="auto" w:fill="auto"/>
            <w:noWrap/>
            <w:vAlign w:val="bottom"/>
            <w:hideMark/>
          </w:tcPr>
          <w:p w14:paraId="7741AF5A" w14:textId="1F08BB6A" w:rsidR="00092F71" w:rsidRPr="00787F03" w:rsidRDefault="008F3B04" w:rsidP="000C0794">
            <w:pPr>
              <w:rPr>
                <w:rFonts w:ascii="Calibri" w:hAnsi="Calibri"/>
                <w:color w:val="000000"/>
                <w:sz w:val="22"/>
                <w:szCs w:val="22"/>
              </w:rPr>
            </w:pPr>
            <w:r>
              <w:rPr>
                <w:rFonts w:ascii="Calibri" w:hAnsi="Calibri"/>
                <w:color w:val="000000"/>
                <w:sz w:val="22"/>
                <w:szCs w:val="22"/>
              </w:rPr>
              <w:t>See comments</w:t>
            </w:r>
            <w:r w:rsidR="00092F71" w:rsidRPr="00787F03">
              <w:rPr>
                <w:rFonts w:ascii="Calibri" w:hAnsi="Calibri"/>
                <w:color w:val="000000"/>
                <w:sz w:val="22"/>
                <w:szCs w:val="22"/>
              </w:rPr>
              <w:t> </w:t>
            </w:r>
          </w:p>
        </w:tc>
      </w:tr>
      <w:tr w:rsidR="00092F71" w:rsidRPr="00787F03" w14:paraId="1BF70E4B"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tcPr>
          <w:p w14:paraId="10E81FBD" w14:textId="77777777" w:rsidR="00092F71" w:rsidRPr="00787F03" w:rsidRDefault="005A6397" w:rsidP="000C0794">
            <w:pPr>
              <w:rPr>
                <w:rFonts w:ascii="Calibri" w:hAnsi="Calibri"/>
                <w:b/>
                <w:bCs/>
                <w:color w:val="000000"/>
                <w:sz w:val="22"/>
                <w:szCs w:val="22"/>
              </w:rPr>
            </w:pPr>
            <w:r>
              <w:rPr>
                <w:rFonts w:ascii="Calibri" w:hAnsi="Calibri"/>
                <w:b/>
                <w:bCs/>
                <w:color w:val="000000"/>
                <w:sz w:val="22"/>
                <w:szCs w:val="22"/>
              </w:rPr>
              <w:t>Analysis of Patent 2</w:t>
            </w:r>
          </w:p>
        </w:tc>
        <w:tc>
          <w:tcPr>
            <w:tcW w:w="1242" w:type="dxa"/>
            <w:tcBorders>
              <w:top w:val="nil"/>
              <w:left w:val="nil"/>
              <w:bottom w:val="single" w:sz="4" w:space="0" w:color="auto"/>
              <w:right w:val="single" w:sz="4" w:space="0" w:color="auto"/>
            </w:tcBorders>
            <w:shd w:val="clear" w:color="auto" w:fill="auto"/>
            <w:noWrap/>
            <w:vAlign w:val="bottom"/>
            <w:hideMark/>
          </w:tcPr>
          <w:p w14:paraId="3416604A" w14:textId="5061F10F" w:rsidR="00092F71" w:rsidRPr="00787F03" w:rsidRDefault="008F3B04"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5978CD6C"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0A6DA093" w14:textId="4210400C" w:rsidR="00092F71" w:rsidRPr="00787F03" w:rsidRDefault="008F3B04" w:rsidP="0078609F">
            <w:pPr>
              <w:jc w:val="center"/>
              <w:rPr>
                <w:rFonts w:ascii="Calibri" w:hAnsi="Calibri"/>
                <w:color w:val="000000"/>
                <w:sz w:val="22"/>
                <w:szCs w:val="22"/>
              </w:rPr>
            </w:pPr>
            <w:r>
              <w:rPr>
                <w:rFonts w:ascii="Calibri" w:hAnsi="Calibri"/>
                <w:color w:val="000000"/>
                <w:sz w:val="22"/>
                <w:szCs w:val="22"/>
              </w:rPr>
              <w:t>15</w:t>
            </w:r>
          </w:p>
        </w:tc>
        <w:tc>
          <w:tcPr>
            <w:tcW w:w="3841" w:type="dxa"/>
            <w:tcBorders>
              <w:top w:val="nil"/>
              <w:left w:val="nil"/>
              <w:bottom w:val="single" w:sz="4" w:space="0" w:color="auto"/>
              <w:right w:val="single" w:sz="4" w:space="0" w:color="auto"/>
            </w:tcBorders>
            <w:shd w:val="clear" w:color="auto" w:fill="auto"/>
            <w:noWrap/>
            <w:vAlign w:val="bottom"/>
            <w:hideMark/>
          </w:tcPr>
          <w:p w14:paraId="2AB5CFF1" w14:textId="77777777"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14:paraId="2A8E927F"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tcPr>
          <w:p w14:paraId="6FEC207F" w14:textId="77777777" w:rsidR="00092F71" w:rsidRPr="00787F03" w:rsidRDefault="005A6397" w:rsidP="000C0794">
            <w:pPr>
              <w:rPr>
                <w:rFonts w:ascii="Calibri" w:hAnsi="Calibri"/>
                <w:b/>
                <w:bCs/>
                <w:color w:val="000000"/>
                <w:sz w:val="22"/>
                <w:szCs w:val="22"/>
              </w:rPr>
            </w:pPr>
            <w:r>
              <w:rPr>
                <w:rFonts w:ascii="Calibri" w:hAnsi="Calibri"/>
                <w:b/>
                <w:bCs/>
                <w:color w:val="000000"/>
                <w:sz w:val="22"/>
                <w:szCs w:val="22"/>
              </w:rPr>
              <w:t>Analysis of Patent 3</w:t>
            </w:r>
          </w:p>
        </w:tc>
        <w:tc>
          <w:tcPr>
            <w:tcW w:w="1242" w:type="dxa"/>
            <w:tcBorders>
              <w:top w:val="nil"/>
              <w:left w:val="nil"/>
              <w:bottom w:val="single" w:sz="4" w:space="0" w:color="auto"/>
              <w:right w:val="single" w:sz="4" w:space="0" w:color="auto"/>
            </w:tcBorders>
            <w:shd w:val="clear" w:color="auto" w:fill="auto"/>
            <w:noWrap/>
            <w:vAlign w:val="bottom"/>
            <w:hideMark/>
          </w:tcPr>
          <w:p w14:paraId="50A78C64" w14:textId="08B1A495" w:rsidR="00092F71" w:rsidRPr="00787F03" w:rsidRDefault="008F3B04"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46C1B3AA" w14:textId="77777777" w:rsidR="00092F71" w:rsidRPr="00787F03" w:rsidRDefault="0078609F" w:rsidP="0078609F">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10166AB6" w14:textId="501274E3" w:rsidR="00092F71" w:rsidRPr="00787F03" w:rsidRDefault="008F3B04" w:rsidP="0078609F">
            <w:pPr>
              <w:jc w:val="center"/>
              <w:rPr>
                <w:rFonts w:ascii="Calibri" w:hAnsi="Calibri"/>
                <w:color w:val="000000"/>
                <w:sz w:val="22"/>
                <w:szCs w:val="22"/>
              </w:rPr>
            </w:pPr>
            <w:r>
              <w:rPr>
                <w:rFonts w:ascii="Calibri" w:hAnsi="Calibri"/>
                <w:color w:val="000000"/>
                <w:sz w:val="22"/>
                <w:szCs w:val="22"/>
              </w:rPr>
              <w:t>15</w:t>
            </w:r>
          </w:p>
        </w:tc>
        <w:tc>
          <w:tcPr>
            <w:tcW w:w="3841" w:type="dxa"/>
            <w:tcBorders>
              <w:top w:val="nil"/>
              <w:left w:val="nil"/>
              <w:bottom w:val="single" w:sz="4" w:space="0" w:color="auto"/>
              <w:right w:val="single" w:sz="4" w:space="0" w:color="auto"/>
            </w:tcBorders>
            <w:shd w:val="clear" w:color="auto" w:fill="auto"/>
            <w:noWrap/>
            <w:vAlign w:val="bottom"/>
            <w:hideMark/>
          </w:tcPr>
          <w:p w14:paraId="47087573" w14:textId="77777777" w:rsidR="00092F71" w:rsidRPr="00787F03" w:rsidRDefault="00092F71" w:rsidP="000C0794">
            <w:pPr>
              <w:rPr>
                <w:rFonts w:ascii="Calibri" w:hAnsi="Calibri"/>
                <w:color w:val="000000"/>
                <w:sz w:val="22"/>
                <w:szCs w:val="22"/>
              </w:rPr>
            </w:pPr>
            <w:r w:rsidRPr="00787F03">
              <w:rPr>
                <w:rFonts w:ascii="Calibri" w:hAnsi="Calibri"/>
                <w:color w:val="000000"/>
                <w:sz w:val="22"/>
                <w:szCs w:val="22"/>
              </w:rPr>
              <w:t> </w:t>
            </w:r>
          </w:p>
        </w:tc>
      </w:tr>
      <w:tr w:rsidR="00092F71" w:rsidRPr="00787F03" w14:paraId="49BCB4F1" w14:textId="77777777" w:rsidTr="000C0794">
        <w:trPr>
          <w:trHeight w:val="266"/>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A96E42F" w14:textId="77777777" w:rsidR="00092F71" w:rsidRPr="00787F03" w:rsidRDefault="00092F71" w:rsidP="000C0794">
            <w:pPr>
              <w:rPr>
                <w:rFonts w:ascii="Calibri" w:hAnsi="Calibri"/>
                <w:b/>
                <w:bCs/>
                <w:color w:val="000000"/>
                <w:sz w:val="22"/>
                <w:szCs w:val="22"/>
              </w:rPr>
            </w:pPr>
            <w:r w:rsidRPr="00787F03">
              <w:rPr>
                <w:rFonts w:ascii="Calibri" w:hAnsi="Calibri"/>
                <w:b/>
                <w:bCs/>
                <w:color w:val="000000"/>
                <w:sz w:val="22"/>
                <w:szCs w:val="22"/>
              </w:rPr>
              <w:t>Writing-Specific Items</w:t>
            </w:r>
          </w:p>
        </w:tc>
      </w:tr>
      <w:tr w:rsidR="0078609F" w:rsidRPr="00787F03" w14:paraId="43C56EE9"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67766188"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Spelling and Grammar</w:t>
            </w:r>
          </w:p>
        </w:tc>
        <w:tc>
          <w:tcPr>
            <w:tcW w:w="1242" w:type="dxa"/>
            <w:tcBorders>
              <w:top w:val="nil"/>
              <w:left w:val="nil"/>
              <w:bottom w:val="single" w:sz="4" w:space="0" w:color="auto"/>
              <w:right w:val="single" w:sz="4" w:space="0" w:color="auto"/>
            </w:tcBorders>
            <w:shd w:val="clear" w:color="auto" w:fill="auto"/>
            <w:noWrap/>
            <w:vAlign w:val="bottom"/>
            <w:hideMark/>
          </w:tcPr>
          <w:p w14:paraId="43889265" w14:textId="575ED85A" w:rsidR="0078609F" w:rsidRPr="00787F03" w:rsidRDefault="008F3B04"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69650D6C"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x2</w:t>
            </w:r>
          </w:p>
        </w:tc>
        <w:tc>
          <w:tcPr>
            <w:tcW w:w="788" w:type="dxa"/>
            <w:tcBorders>
              <w:top w:val="nil"/>
              <w:left w:val="nil"/>
              <w:bottom w:val="single" w:sz="4" w:space="0" w:color="auto"/>
              <w:right w:val="single" w:sz="4" w:space="0" w:color="auto"/>
            </w:tcBorders>
            <w:shd w:val="clear" w:color="auto" w:fill="auto"/>
            <w:noWrap/>
            <w:vAlign w:val="bottom"/>
            <w:hideMark/>
          </w:tcPr>
          <w:p w14:paraId="64C0D52E" w14:textId="61263673" w:rsidR="0078609F" w:rsidRPr="00787F03" w:rsidRDefault="008F3B04" w:rsidP="0078609F">
            <w:pPr>
              <w:jc w:val="center"/>
              <w:rPr>
                <w:rFonts w:ascii="Calibri" w:hAnsi="Calibri"/>
                <w:color w:val="000000"/>
                <w:sz w:val="22"/>
                <w:szCs w:val="22"/>
              </w:rPr>
            </w:pPr>
            <w:r>
              <w:rPr>
                <w:rFonts w:ascii="Calibri" w:hAnsi="Calibri"/>
                <w:color w:val="000000"/>
                <w:sz w:val="22"/>
                <w:szCs w:val="22"/>
              </w:rPr>
              <w:t>10</w:t>
            </w:r>
          </w:p>
        </w:tc>
        <w:tc>
          <w:tcPr>
            <w:tcW w:w="3841" w:type="dxa"/>
            <w:tcBorders>
              <w:top w:val="nil"/>
              <w:left w:val="nil"/>
              <w:bottom w:val="single" w:sz="4" w:space="0" w:color="auto"/>
              <w:right w:val="single" w:sz="4" w:space="0" w:color="auto"/>
            </w:tcBorders>
            <w:shd w:val="clear" w:color="auto" w:fill="auto"/>
            <w:noWrap/>
            <w:vAlign w:val="bottom"/>
            <w:hideMark/>
          </w:tcPr>
          <w:p w14:paraId="54BF2398"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14:paraId="7928C0D1"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083CC1AE"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42" w:type="dxa"/>
            <w:tcBorders>
              <w:top w:val="nil"/>
              <w:left w:val="nil"/>
              <w:bottom w:val="single" w:sz="4" w:space="0" w:color="auto"/>
              <w:right w:val="single" w:sz="4" w:space="0" w:color="auto"/>
            </w:tcBorders>
            <w:shd w:val="clear" w:color="auto" w:fill="auto"/>
            <w:noWrap/>
            <w:vAlign w:val="bottom"/>
            <w:hideMark/>
          </w:tcPr>
          <w:p w14:paraId="1DDEEC4E" w14:textId="4EB72D9F" w:rsidR="0078609F" w:rsidRPr="00787F03" w:rsidRDefault="008F3B04" w:rsidP="0078609F">
            <w:pPr>
              <w:jc w:val="center"/>
              <w:rPr>
                <w:rFonts w:ascii="Calibri" w:hAnsi="Calibri"/>
                <w:color w:val="000000"/>
                <w:sz w:val="22"/>
                <w:szCs w:val="22"/>
              </w:rPr>
            </w:pPr>
            <w:r>
              <w:rPr>
                <w:rFonts w:ascii="Calibri" w:hAnsi="Calibri"/>
                <w:color w:val="000000"/>
                <w:sz w:val="22"/>
                <w:szCs w:val="22"/>
              </w:rPr>
              <w:t>4</w:t>
            </w:r>
          </w:p>
        </w:tc>
        <w:tc>
          <w:tcPr>
            <w:tcW w:w="942" w:type="dxa"/>
            <w:tcBorders>
              <w:top w:val="nil"/>
              <w:left w:val="nil"/>
              <w:bottom w:val="single" w:sz="4" w:space="0" w:color="auto"/>
              <w:right w:val="single" w:sz="4" w:space="0" w:color="auto"/>
            </w:tcBorders>
            <w:shd w:val="clear" w:color="auto" w:fill="auto"/>
            <w:noWrap/>
            <w:vAlign w:val="bottom"/>
            <w:hideMark/>
          </w:tcPr>
          <w:p w14:paraId="0C1C39BE"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x1</w:t>
            </w:r>
          </w:p>
        </w:tc>
        <w:tc>
          <w:tcPr>
            <w:tcW w:w="788" w:type="dxa"/>
            <w:tcBorders>
              <w:top w:val="nil"/>
              <w:left w:val="nil"/>
              <w:bottom w:val="single" w:sz="4" w:space="0" w:color="auto"/>
              <w:right w:val="single" w:sz="4" w:space="0" w:color="auto"/>
            </w:tcBorders>
            <w:shd w:val="clear" w:color="auto" w:fill="auto"/>
            <w:noWrap/>
            <w:vAlign w:val="bottom"/>
            <w:hideMark/>
          </w:tcPr>
          <w:p w14:paraId="31DFD37D" w14:textId="2E941633" w:rsidR="0078609F" w:rsidRPr="00787F03" w:rsidRDefault="008F3B04" w:rsidP="0078609F">
            <w:pPr>
              <w:jc w:val="center"/>
              <w:rPr>
                <w:rFonts w:ascii="Calibri" w:hAnsi="Calibri"/>
                <w:color w:val="000000"/>
                <w:sz w:val="22"/>
                <w:szCs w:val="22"/>
              </w:rPr>
            </w:pPr>
            <w:r>
              <w:rPr>
                <w:rFonts w:ascii="Calibri" w:hAnsi="Calibri"/>
                <w:color w:val="000000"/>
                <w:sz w:val="22"/>
                <w:szCs w:val="22"/>
              </w:rPr>
              <w:t>4</w:t>
            </w:r>
          </w:p>
        </w:tc>
        <w:tc>
          <w:tcPr>
            <w:tcW w:w="3841" w:type="dxa"/>
            <w:tcBorders>
              <w:top w:val="nil"/>
              <w:left w:val="nil"/>
              <w:bottom w:val="single" w:sz="4" w:space="0" w:color="auto"/>
              <w:right w:val="single" w:sz="4" w:space="0" w:color="auto"/>
            </w:tcBorders>
            <w:shd w:val="clear" w:color="auto" w:fill="auto"/>
            <w:noWrap/>
            <w:vAlign w:val="bottom"/>
            <w:hideMark/>
          </w:tcPr>
          <w:p w14:paraId="72C1355A" w14:textId="449E6DF3"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r w:rsidR="008F3B04">
              <w:rPr>
                <w:rFonts w:ascii="Calibri" w:hAnsi="Calibri"/>
                <w:color w:val="000000"/>
                <w:sz w:val="22"/>
                <w:szCs w:val="22"/>
              </w:rPr>
              <w:t>Indent in 3.0</w:t>
            </w:r>
          </w:p>
        </w:tc>
      </w:tr>
      <w:tr w:rsidR="0078609F" w:rsidRPr="00787F03" w14:paraId="632D16E9"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2B7A0D56"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Figures and Graphs</w:t>
            </w:r>
          </w:p>
        </w:tc>
        <w:tc>
          <w:tcPr>
            <w:tcW w:w="1242" w:type="dxa"/>
            <w:tcBorders>
              <w:top w:val="nil"/>
              <w:left w:val="nil"/>
              <w:bottom w:val="single" w:sz="4" w:space="0" w:color="auto"/>
              <w:right w:val="single" w:sz="4" w:space="0" w:color="auto"/>
            </w:tcBorders>
            <w:shd w:val="clear" w:color="auto" w:fill="auto"/>
            <w:noWrap/>
            <w:vAlign w:val="bottom"/>
            <w:hideMark/>
          </w:tcPr>
          <w:p w14:paraId="045E5604" w14:textId="713A7980" w:rsidR="0078609F" w:rsidRPr="00787F03" w:rsidRDefault="008F3B04" w:rsidP="0078609F">
            <w:pPr>
              <w:jc w:val="center"/>
              <w:rPr>
                <w:rFonts w:ascii="Calibri" w:hAnsi="Calibri"/>
                <w:color w:val="000000"/>
                <w:sz w:val="22"/>
                <w:szCs w:val="22"/>
              </w:rPr>
            </w:pPr>
            <w:r>
              <w:rPr>
                <w:rFonts w:ascii="Calibri" w:hAnsi="Calibri"/>
                <w:color w:val="000000"/>
                <w:sz w:val="22"/>
                <w:szCs w:val="22"/>
              </w:rPr>
              <w:t>5</w:t>
            </w:r>
          </w:p>
        </w:tc>
        <w:tc>
          <w:tcPr>
            <w:tcW w:w="942" w:type="dxa"/>
            <w:tcBorders>
              <w:top w:val="nil"/>
              <w:left w:val="nil"/>
              <w:bottom w:val="single" w:sz="4" w:space="0" w:color="auto"/>
              <w:right w:val="single" w:sz="4" w:space="0" w:color="auto"/>
            </w:tcBorders>
            <w:shd w:val="clear" w:color="auto" w:fill="auto"/>
            <w:noWrap/>
            <w:vAlign w:val="bottom"/>
            <w:hideMark/>
          </w:tcPr>
          <w:p w14:paraId="32168CA7"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x2</w:t>
            </w:r>
          </w:p>
        </w:tc>
        <w:tc>
          <w:tcPr>
            <w:tcW w:w="788" w:type="dxa"/>
            <w:tcBorders>
              <w:top w:val="nil"/>
              <w:left w:val="nil"/>
              <w:bottom w:val="single" w:sz="4" w:space="0" w:color="auto"/>
              <w:right w:val="single" w:sz="4" w:space="0" w:color="auto"/>
            </w:tcBorders>
            <w:shd w:val="clear" w:color="auto" w:fill="auto"/>
            <w:noWrap/>
            <w:vAlign w:val="bottom"/>
            <w:hideMark/>
          </w:tcPr>
          <w:p w14:paraId="261EBB29" w14:textId="6201A49A" w:rsidR="0078609F" w:rsidRPr="00787F03" w:rsidRDefault="008F3B04" w:rsidP="0078609F">
            <w:pPr>
              <w:jc w:val="center"/>
              <w:rPr>
                <w:rFonts w:ascii="Calibri" w:hAnsi="Calibri"/>
                <w:color w:val="000000"/>
                <w:sz w:val="22"/>
                <w:szCs w:val="22"/>
              </w:rPr>
            </w:pPr>
            <w:r>
              <w:rPr>
                <w:rFonts w:ascii="Calibri" w:hAnsi="Calibri"/>
                <w:color w:val="000000"/>
                <w:sz w:val="22"/>
                <w:szCs w:val="22"/>
              </w:rPr>
              <w:t>10</w:t>
            </w:r>
          </w:p>
        </w:tc>
        <w:tc>
          <w:tcPr>
            <w:tcW w:w="3841" w:type="dxa"/>
            <w:tcBorders>
              <w:top w:val="nil"/>
              <w:left w:val="nil"/>
              <w:bottom w:val="single" w:sz="4" w:space="0" w:color="auto"/>
              <w:right w:val="single" w:sz="4" w:space="0" w:color="auto"/>
            </w:tcBorders>
            <w:shd w:val="clear" w:color="auto" w:fill="auto"/>
            <w:noWrap/>
            <w:vAlign w:val="bottom"/>
            <w:hideMark/>
          </w:tcPr>
          <w:p w14:paraId="03FEDB3B"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r w:rsidR="0078609F" w:rsidRPr="00787F03" w14:paraId="6716D9D2" w14:textId="77777777" w:rsidTr="0078609F">
        <w:trPr>
          <w:trHeight w:val="266"/>
        </w:trPr>
        <w:tc>
          <w:tcPr>
            <w:tcW w:w="2670" w:type="dxa"/>
            <w:tcBorders>
              <w:top w:val="nil"/>
              <w:left w:val="single" w:sz="4" w:space="0" w:color="auto"/>
              <w:bottom w:val="single" w:sz="4" w:space="0" w:color="auto"/>
              <w:right w:val="single" w:sz="4" w:space="0" w:color="auto"/>
            </w:tcBorders>
            <w:shd w:val="clear" w:color="auto" w:fill="auto"/>
            <w:noWrap/>
            <w:vAlign w:val="bottom"/>
            <w:hideMark/>
          </w:tcPr>
          <w:p w14:paraId="53D4D67D"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42" w:type="dxa"/>
            <w:tcBorders>
              <w:top w:val="nil"/>
              <w:left w:val="nil"/>
              <w:bottom w:val="single" w:sz="4" w:space="0" w:color="auto"/>
              <w:right w:val="single" w:sz="4" w:space="0" w:color="auto"/>
            </w:tcBorders>
            <w:shd w:val="clear" w:color="auto" w:fill="auto"/>
            <w:noWrap/>
            <w:vAlign w:val="bottom"/>
            <w:hideMark/>
          </w:tcPr>
          <w:p w14:paraId="27355E31" w14:textId="60670345" w:rsidR="0078609F" w:rsidRPr="00787F03" w:rsidRDefault="008F3B04" w:rsidP="0078609F">
            <w:pPr>
              <w:jc w:val="center"/>
              <w:rPr>
                <w:rFonts w:ascii="Calibri" w:hAnsi="Calibri"/>
                <w:color w:val="000000"/>
                <w:sz w:val="22"/>
                <w:szCs w:val="22"/>
              </w:rPr>
            </w:pPr>
            <w:r>
              <w:rPr>
                <w:rFonts w:ascii="Calibri" w:hAnsi="Calibri"/>
                <w:color w:val="000000"/>
                <w:sz w:val="22"/>
                <w:szCs w:val="22"/>
              </w:rPr>
              <w:t>4</w:t>
            </w:r>
          </w:p>
        </w:tc>
        <w:tc>
          <w:tcPr>
            <w:tcW w:w="942" w:type="dxa"/>
            <w:tcBorders>
              <w:top w:val="nil"/>
              <w:left w:val="nil"/>
              <w:bottom w:val="single" w:sz="4" w:space="0" w:color="auto"/>
              <w:right w:val="single" w:sz="4" w:space="0" w:color="auto"/>
            </w:tcBorders>
            <w:shd w:val="clear" w:color="auto" w:fill="auto"/>
            <w:noWrap/>
            <w:vAlign w:val="bottom"/>
            <w:hideMark/>
          </w:tcPr>
          <w:p w14:paraId="456B3D0A" w14:textId="77777777" w:rsidR="0078609F" w:rsidRPr="00FF1987" w:rsidRDefault="0078609F" w:rsidP="000B3C0A">
            <w:pPr>
              <w:jc w:val="center"/>
              <w:rPr>
                <w:rFonts w:ascii="Calibri" w:hAnsi="Calibri"/>
                <w:color w:val="000000"/>
                <w:sz w:val="22"/>
                <w:szCs w:val="22"/>
              </w:rPr>
            </w:pPr>
            <w:r>
              <w:rPr>
                <w:rFonts w:ascii="Calibri" w:hAnsi="Calibri"/>
                <w:color w:val="000000"/>
                <w:sz w:val="22"/>
                <w:szCs w:val="22"/>
              </w:rPr>
              <w:t>x3</w:t>
            </w:r>
          </w:p>
        </w:tc>
        <w:tc>
          <w:tcPr>
            <w:tcW w:w="788" w:type="dxa"/>
            <w:tcBorders>
              <w:top w:val="nil"/>
              <w:left w:val="nil"/>
              <w:bottom w:val="single" w:sz="4" w:space="0" w:color="auto"/>
              <w:right w:val="single" w:sz="4" w:space="0" w:color="auto"/>
            </w:tcBorders>
            <w:shd w:val="clear" w:color="auto" w:fill="auto"/>
            <w:noWrap/>
            <w:vAlign w:val="bottom"/>
            <w:hideMark/>
          </w:tcPr>
          <w:p w14:paraId="3E118E29" w14:textId="1BB37A8D" w:rsidR="0078609F" w:rsidRPr="00787F03" w:rsidRDefault="008F3B04" w:rsidP="0078609F">
            <w:pPr>
              <w:jc w:val="center"/>
              <w:rPr>
                <w:rFonts w:ascii="Calibri" w:hAnsi="Calibri"/>
                <w:color w:val="000000"/>
                <w:sz w:val="22"/>
                <w:szCs w:val="22"/>
              </w:rPr>
            </w:pPr>
            <w:r>
              <w:rPr>
                <w:rFonts w:ascii="Calibri" w:hAnsi="Calibri"/>
                <w:color w:val="000000"/>
                <w:sz w:val="22"/>
                <w:szCs w:val="22"/>
              </w:rPr>
              <w:t>12</w:t>
            </w:r>
          </w:p>
        </w:tc>
        <w:tc>
          <w:tcPr>
            <w:tcW w:w="3841" w:type="dxa"/>
            <w:tcBorders>
              <w:top w:val="nil"/>
              <w:left w:val="nil"/>
              <w:bottom w:val="single" w:sz="4" w:space="0" w:color="auto"/>
              <w:right w:val="single" w:sz="4" w:space="0" w:color="auto"/>
            </w:tcBorders>
            <w:shd w:val="clear" w:color="auto" w:fill="auto"/>
            <w:noWrap/>
            <w:vAlign w:val="bottom"/>
            <w:hideMark/>
          </w:tcPr>
          <w:p w14:paraId="42879974" w14:textId="39C600E8" w:rsidR="0078609F" w:rsidRPr="00787F03" w:rsidRDefault="008F3B04" w:rsidP="000C0794">
            <w:pPr>
              <w:rPr>
                <w:rFonts w:ascii="Calibri" w:hAnsi="Calibri"/>
                <w:color w:val="000000"/>
                <w:sz w:val="22"/>
                <w:szCs w:val="22"/>
              </w:rPr>
            </w:pPr>
            <w:r>
              <w:rPr>
                <w:rFonts w:ascii="Calibri" w:hAnsi="Calibri"/>
                <w:color w:val="000000"/>
                <w:sz w:val="22"/>
                <w:szCs w:val="22"/>
              </w:rPr>
              <w:t>Put in patent numbers</w:t>
            </w:r>
            <w:r w:rsidR="0078609F" w:rsidRPr="00787F03">
              <w:rPr>
                <w:rFonts w:ascii="Calibri" w:hAnsi="Calibri"/>
                <w:color w:val="000000"/>
                <w:sz w:val="22"/>
                <w:szCs w:val="22"/>
              </w:rPr>
              <w:t> </w:t>
            </w:r>
          </w:p>
        </w:tc>
      </w:tr>
      <w:tr w:rsidR="0078609F" w:rsidRPr="00787F03" w14:paraId="2B100E08" w14:textId="77777777" w:rsidTr="0078609F">
        <w:trPr>
          <w:trHeight w:val="266"/>
        </w:trPr>
        <w:tc>
          <w:tcPr>
            <w:tcW w:w="2670" w:type="dxa"/>
            <w:tcBorders>
              <w:top w:val="nil"/>
              <w:left w:val="single" w:sz="4" w:space="0" w:color="auto"/>
              <w:bottom w:val="single" w:sz="4" w:space="0" w:color="auto"/>
              <w:right w:val="single" w:sz="4" w:space="0" w:color="auto"/>
            </w:tcBorders>
            <w:shd w:val="clear" w:color="000000" w:fill="FFC000"/>
            <w:noWrap/>
            <w:vAlign w:val="bottom"/>
            <w:hideMark/>
          </w:tcPr>
          <w:p w14:paraId="72AF2F98" w14:textId="77777777" w:rsidR="0078609F" w:rsidRPr="00787F03" w:rsidRDefault="0078609F" w:rsidP="000C0794">
            <w:pPr>
              <w:rPr>
                <w:rFonts w:ascii="Calibri" w:hAnsi="Calibri"/>
                <w:b/>
                <w:bCs/>
                <w:color w:val="000000"/>
                <w:sz w:val="22"/>
                <w:szCs w:val="22"/>
              </w:rPr>
            </w:pPr>
            <w:r w:rsidRPr="00787F03">
              <w:rPr>
                <w:rFonts w:ascii="Calibri" w:hAnsi="Calibri"/>
                <w:b/>
                <w:bCs/>
                <w:color w:val="000000"/>
                <w:sz w:val="22"/>
                <w:szCs w:val="22"/>
              </w:rPr>
              <w:t>Total Score</w:t>
            </w:r>
          </w:p>
        </w:tc>
        <w:tc>
          <w:tcPr>
            <w:tcW w:w="2972"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5C1C00C" w14:textId="7B49C957" w:rsidR="0078609F" w:rsidRPr="00787F03" w:rsidRDefault="008F3B04" w:rsidP="000A0793">
            <w:pPr>
              <w:jc w:val="center"/>
              <w:rPr>
                <w:rFonts w:ascii="Calibri" w:hAnsi="Calibri"/>
                <w:color w:val="000000"/>
                <w:sz w:val="22"/>
                <w:szCs w:val="22"/>
              </w:rPr>
            </w:pPr>
            <w:r>
              <w:rPr>
                <w:rFonts w:ascii="Calibri" w:hAnsi="Calibri"/>
                <w:color w:val="000000"/>
                <w:sz w:val="22"/>
                <w:szCs w:val="22"/>
              </w:rPr>
              <w:t>93</w:t>
            </w:r>
            <w:r w:rsidR="000A0793">
              <w:rPr>
                <w:rFonts w:ascii="Calibri" w:hAnsi="Calibri"/>
                <w:color w:val="000000"/>
                <w:sz w:val="22"/>
                <w:szCs w:val="22"/>
              </w:rPr>
              <w:t>/100</w:t>
            </w:r>
          </w:p>
        </w:tc>
        <w:tc>
          <w:tcPr>
            <w:tcW w:w="3841" w:type="dxa"/>
            <w:tcBorders>
              <w:top w:val="nil"/>
              <w:left w:val="nil"/>
              <w:bottom w:val="single" w:sz="4" w:space="0" w:color="auto"/>
              <w:right w:val="single" w:sz="4" w:space="0" w:color="auto"/>
            </w:tcBorders>
            <w:shd w:val="clear" w:color="auto" w:fill="auto"/>
            <w:noWrap/>
            <w:vAlign w:val="bottom"/>
            <w:hideMark/>
          </w:tcPr>
          <w:p w14:paraId="34F16081" w14:textId="77777777" w:rsidR="0078609F" w:rsidRPr="00787F03" w:rsidRDefault="0078609F" w:rsidP="000C0794">
            <w:pPr>
              <w:rPr>
                <w:rFonts w:ascii="Calibri" w:hAnsi="Calibri"/>
                <w:color w:val="000000"/>
                <w:sz w:val="22"/>
                <w:szCs w:val="22"/>
              </w:rPr>
            </w:pPr>
            <w:r w:rsidRPr="00787F03">
              <w:rPr>
                <w:rFonts w:ascii="Calibri" w:hAnsi="Calibri"/>
                <w:color w:val="000000"/>
                <w:sz w:val="22"/>
                <w:szCs w:val="22"/>
              </w:rPr>
              <w:t> </w:t>
            </w:r>
          </w:p>
        </w:tc>
      </w:tr>
    </w:tbl>
    <w:p w14:paraId="21F7023B" w14:textId="77777777" w:rsidR="00092F71" w:rsidRDefault="00092F71" w:rsidP="00092F71">
      <w:pPr>
        <w:pStyle w:val="Title"/>
        <w:jc w:val="left"/>
        <w:rPr>
          <w:sz w:val="24"/>
        </w:rPr>
      </w:pPr>
    </w:p>
    <w:p w14:paraId="1C1D4330" w14:textId="77777777" w:rsidR="00092F71" w:rsidRDefault="00092F71" w:rsidP="00092F71">
      <w:pPr>
        <w:pStyle w:val="Title"/>
        <w:jc w:val="left"/>
        <w:rPr>
          <w:sz w:val="24"/>
        </w:rPr>
      </w:pPr>
      <w:r>
        <w:rPr>
          <w:sz w:val="24"/>
        </w:rPr>
        <w:t xml:space="preserve">5: Excellent </w:t>
      </w:r>
      <w:r>
        <w:rPr>
          <w:sz w:val="24"/>
        </w:rPr>
        <w:tab/>
        <w:t>4: Good     3: Acceptable    2: Poor     1: Very Poor    0: Not attempted</w:t>
      </w:r>
    </w:p>
    <w:p w14:paraId="29A7534B" w14:textId="77777777" w:rsidR="00092F71" w:rsidRDefault="00092F71" w:rsidP="00092F71">
      <w:pPr>
        <w:pStyle w:val="Title"/>
        <w:jc w:val="left"/>
        <w:rPr>
          <w:sz w:val="24"/>
        </w:rPr>
      </w:pPr>
    </w:p>
    <w:p w14:paraId="2CC5677D" w14:textId="6D7DFEC6" w:rsidR="00092F71" w:rsidRPr="00360472" w:rsidRDefault="00092F71" w:rsidP="00A21A92">
      <w:pPr>
        <w:pStyle w:val="Title"/>
        <w:jc w:val="left"/>
        <w:rPr>
          <w:b w:val="0"/>
          <w:i/>
          <w:color w:val="FF0000"/>
          <w:sz w:val="24"/>
        </w:rPr>
      </w:pPr>
      <w:r>
        <w:rPr>
          <w:sz w:val="24"/>
        </w:rPr>
        <w:t>Comments:</w:t>
      </w:r>
    </w:p>
    <w:p w14:paraId="5DD09733" w14:textId="79BED1B0" w:rsidR="00A21A92" w:rsidRDefault="008F3B04">
      <w:pPr>
        <w:rPr>
          <w:b/>
        </w:rPr>
      </w:pPr>
      <w:r>
        <w:t>You have some excellent patent analysis, but the application process for product certification seems pretty inconsequential by your description.</w:t>
      </w:r>
      <w:r w:rsidR="00A21A92">
        <w:br w:type="page"/>
      </w:r>
    </w:p>
    <w:p w14:paraId="4547A9E9" w14:textId="7A27A422" w:rsidR="00DC2D90" w:rsidRDefault="003615A3" w:rsidP="006F4ACD">
      <w:pPr>
        <w:pStyle w:val="Title"/>
        <w:numPr>
          <w:ilvl w:val="0"/>
          <w:numId w:val="12"/>
        </w:numPr>
        <w:jc w:val="left"/>
        <w:rPr>
          <w:sz w:val="24"/>
        </w:rPr>
      </w:pPr>
      <w:r>
        <w:rPr>
          <w:sz w:val="24"/>
        </w:rPr>
        <w:lastRenderedPageBreak/>
        <w:t>Regulatory Analysis</w:t>
      </w:r>
    </w:p>
    <w:p w14:paraId="694E292F" w14:textId="77777777" w:rsidR="006F4ACD" w:rsidRDefault="006F4ACD" w:rsidP="006F4ACD">
      <w:pPr>
        <w:pStyle w:val="Title"/>
        <w:jc w:val="left"/>
        <w:rPr>
          <w:sz w:val="24"/>
        </w:rPr>
      </w:pPr>
    </w:p>
    <w:p w14:paraId="768ECC3C" w14:textId="769D6B7D" w:rsidR="006F4ACD" w:rsidRDefault="00254D5C" w:rsidP="006F4ACD">
      <w:pPr>
        <w:pStyle w:val="Title"/>
        <w:jc w:val="left"/>
        <w:rPr>
          <w:b w:val="0"/>
          <w:sz w:val="24"/>
        </w:rPr>
      </w:pPr>
      <w:r>
        <w:rPr>
          <w:b w:val="0"/>
          <w:sz w:val="24"/>
        </w:rPr>
        <w:t>For</w:t>
      </w:r>
      <w:r w:rsidR="00B62BC2">
        <w:rPr>
          <w:b w:val="0"/>
          <w:sz w:val="24"/>
        </w:rPr>
        <w:t xml:space="preserve"> Guitutar to be allowed into the commercial market, certain regulatory certifications are required. Depending on the governing body to the market, different certifications may be required. However, regulatory testing for the safety of products is done globally through Underwriters Laboratory (UL). Being that Guitutar’s design includes exposed metals that are connected to low currents with the intention of being in contact with users, having a safety certification is not only required but also helpful to protect against any liability claims.</w:t>
      </w:r>
      <w:r w:rsidR="00762913">
        <w:rPr>
          <w:b w:val="0"/>
          <w:sz w:val="24"/>
        </w:rPr>
        <w:t xml:space="preserve"> There is safety protocol put into place in the Guitutar’s design already, however the </w:t>
      </w:r>
      <w:r>
        <w:rPr>
          <w:b w:val="0"/>
          <w:sz w:val="24"/>
        </w:rPr>
        <w:t>third-party</w:t>
      </w:r>
      <w:r w:rsidR="00762913">
        <w:rPr>
          <w:b w:val="0"/>
          <w:sz w:val="24"/>
        </w:rPr>
        <w:t xml:space="preserve"> certification will do greatly to ensure the product is marketable.</w:t>
      </w:r>
      <w:r w:rsidR="004C6DCC">
        <w:rPr>
          <w:b w:val="0"/>
          <w:sz w:val="24"/>
        </w:rPr>
        <w:t xml:space="preserve"> The “Saf</w:t>
      </w:r>
      <w:r w:rsidR="000A0793">
        <w:rPr>
          <w:b w:val="0"/>
          <w:sz w:val="24"/>
        </w:rPr>
        <w:t>et</w:t>
      </w:r>
      <w:r w:rsidR="004C6DCC">
        <w:rPr>
          <w:b w:val="0"/>
          <w:sz w:val="24"/>
        </w:rPr>
        <w:t xml:space="preserve">y Certification” through UL applies to consumer electronics and uses standards from issued from UL, The International Electrotechnical Commission, and accepted Global Standards [1]. </w:t>
      </w:r>
    </w:p>
    <w:p w14:paraId="5F3E03AB" w14:textId="77777777" w:rsidR="00762913" w:rsidRDefault="00762913" w:rsidP="006F4ACD">
      <w:pPr>
        <w:pStyle w:val="Title"/>
        <w:jc w:val="left"/>
        <w:rPr>
          <w:b w:val="0"/>
          <w:sz w:val="24"/>
        </w:rPr>
      </w:pPr>
    </w:p>
    <w:p w14:paraId="691FAA49" w14:textId="77777777" w:rsidR="00762913" w:rsidRDefault="00254D5C" w:rsidP="006F4ACD">
      <w:pPr>
        <w:pStyle w:val="Title"/>
        <w:jc w:val="left"/>
        <w:rPr>
          <w:b w:val="0"/>
          <w:sz w:val="24"/>
        </w:rPr>
      </w:pPr>
      <w:r>
        <w:rPr>
          <w:b w:val="0"/>
          <w:sz w:val="24"/>
        </w:rPr>
        <w:t>A</w:t>
      </w:r>
      <w:r w:rsidR="00A24E51">
        <w:rPr>
          <w:b w:val="0"/>
          <w:sz w:val="24"/>
        </w:rPr>
        <w:t xml:space="preserve">ny digital technology </w:t>
      </w:r>
      <w:r>
        <w:rPr>
          <w:b w:val="0"/>
          <w:sz w:val="24"/>
        </w:rPr>
        <w:t>entering the United States market</w:t>
      </w:r>
      <w:r w:rsidR="00A24E51">
        <w:rPr>
          <w:b w:val="0"/>
          <w:sz w:val="24"/>
        </w:rPr>
        <w:t xml:space="preserve"> must be certified by the Federal Communications Commission (FCC). </w:t>
      </w:r>
      <w:r w:rsidR="00662B97">
        <w:rPr>
          <w:b w:val="0"/>
          <w:sz w:val="24"/>
        </w:rPr>
        <w:t>T</w:t>
      </w:r>
      <w:r w:rsidR="00A24E51">
        <w:rPr>
          <w:b w:val="0"/>
          <w:sz w:val="24"/>
        </w:rPr>
        <w:t>he FCC “regulates interstate and international communications by radio, television, wire, satellite and cable in all 50 states, the District o</w:t>
      </w:r>
      <w:r w:rsidR="003323AB">
        <w:rPr>
          <w:b w:val="0"/>
          <w:sz w:val="24"/>
        </w:rPr>
        <w:t>f Columbia and U.S. territories</w:t>
      </w:r>
      <w:r w:rsidR="00A24E51">
        <w:rPr>
          <w:b w:val="0"/>
          <w:sz w:val="24"/>
        </w:rPr>
        <w:t>”</w:t>
      </w:r>
      <w:r w:rsidR="003323AB">
        <w:rPr>
          <w:b w:val="0"/>
          <w:sz w:val="24"/>
        </w:rPr>
        <w:t xml:space="preserve"> [2].</w:t>
      </w:r>
      <w:r w:rsidR="00A24E51">
        <w:rPr>
          <w:b w:val="0"/>
          <w:sz w:val="24"/>
        </w:rPr>
        <w:t xml:space="preserve"> Although </w:t>
      </w:r>
      <w:r w:rsidR="00592310">
        <w:rPr>
          <w:b w:val="0"/>
          <w:sz w:val="24"/>
        </w:rPr>
        <w:t xml:space="preserve">Guitutar’s communication is limited to internal wires and Bluetooth connectivity, </w:t>
      </w:r>
      <w:r w:rsidR="00F63A7D">
        <w:rPr>
          <w:b w:val="0"/>
          <w:sz w:val="24"/>
        </w:rPr>
        <w:t>any digital system has the potential to interfere with radio communication or generate radio noise [3].</w:t>
      </w:r>
    </w:p>
    <w:p w14:paraId="7ED49353" w14:textId="77777777" w:rsidR="00254D5C" w:rsidRDefault="00254D5C" w:rsidP="006F4ACD">
      <w:pPr>
        <w:pStyle w:val="Title"/>
        <w:jc w:val="left"/>
        <w:rPr>
          <w:b w:val="0"/>
          <w:sz w:val="24"/>
        </w:rPr>
      </w:pPr>
    </w:p>
    <w:p w14:paraId="3C24CB11" w14:textId="6B9EC730" w:rsidR="00254D5C" w:rsidRDefault="00254D5C" w:rsidP="006F4ACD">
      <w:pPr>
        <w:pStyle w:val="Title"/>
        <w:jc w:val="left"/>
        <w:rPr>
          <w:b w:val="0"/>
          <w:sz w:val="24"/>
        </w:rPr>
      </w:pPr>
      <w:r>
        <w:rPr>
          <w:b w:val="0"/>
          <w:sz w:val="24"/>
        </w:rPr>
        <w:t>We will submit applications of certification from UL and the FCC.</w:t>
      </w:r>
      <w:r w:rsidR="004D1E95">
        <w:rPr>
          <w:b w:val="0"/>
          <w:sz w:val="24"/>
        </w:rPr>
        <w:t xml:space="preserve"> The UL certification f</w:t>
      </w:r>
      <w:r w:rsidR="009D2F88">
        <w:rPr>
          <w:b w:val="0"/>
          <w:sz w:val="24"/>
        </w:rPr>
        <w:t>irst requires a quote from them, then shipment of a sample product is given to UL for testing purposes. After testing has been done, a UL project engineer will inform us on the outcome of our certification [7].</w:t>
      </w:r>
      <w:r>
        <w:rPr>
          <w:b w:val="0"/>
          <w:sz w:val="24"/>
        </w:rPr>
        <w:t xml:space="preserve"> </w:t>
      </w:r>
      <w:r w:rsidR="009D2F88">
        <w:rPr>
          <w:b w:val="0"/>
          <w:sz w:val="24"/>
        </w:rPr>
        <w:t xml:space="preserve">For the FCC certification, we must first register with the FCC to receive a FCC Registration Number. When ready for testing, we then select the lab where we would like our product to be tested and hand over a “production-ready” prototype. After FCC completes their tests, we will hear back if we are certified and then subsequently filed within the FCC [8]. </w:t>
      </w:r>
      <w:r>
        <w:rPr>
          <w:b w:val="0"/>
          <w:sz w:val="24"/>
        </w:rPr>
        <w:t>After verification that Guitutar is not a danger to its users or the United States communication structure, we will be allowed to enter the market.</w:t>
      </w:r>
    </w:p>
    <w:p w14:paraId="6A8F2503" w14:textId="77777777" w:rsidR="00E811AB" w:rsidRDefault="00E811AB">
      <w:pPr>
        <w:pStyle w:val="Title"/>
        <w:jc w:val="left"/>
        <w:rPr>
          <w:sz w:val="24"/>
        </w:rPr>
      </w:pPr>
    </w:p>
    <w:p w14:paraId="108BDC21" w14:textId="77777777" w:rsidR="009E50E4" w:rsidRPr="009E50E4" w:rsidRDefault="00D52EBD" w:rsidP="009E50E4">
      <w:pPr>
        <w:pStyle w:val="Title"/>
        <w:numPr>
          <w:ilvl w:val="0"/>
          <w:numId w:val="12"/>
        </w:numPr>
        <w:jc w:val="left"/>
        <w:rPr>
          <w:sz w:val="24"/>
        </w:rPr>
      </w:pPr>
      <w:r>
        <w:rPr>
          <w:sz w:val="24"/>
        </w:rPr>
        <w:t>Legal Liability Analysis</w:t>
      </w:r>
    </w:p>
    <w:p w14:paraId="60889103" w14:textId="77777777" w:rsidR="00C21071" w:rsidRPr="00C21071" w:rsidRDefault="00C21071" w:rsidP="00310E03">
      <w:pPr>
        <w:pStyle w:val="Title"/>
        <w:jc w:val="left"/>
        <w:rPr>
          <w:b w:val="0"/>
          <w:i/>
          <w:color w:val="FF0000"/>
          <w:sz w:val="24"/>
        </w:rPr>
      </w:pPr>
    </w:p>
    <w:p w14:paraId="723014AD" w14:textId="4750D262" w:rsidR="005A6397" w:rsidRDefault="009E50E4" w:rsidP="009E50E4">
      <w:pPr>
        <w:pStyle w:val="Title"/>
        <w:jc w:val="left"/>
        <w:rPr>
          <w:b w:val="0"/>
          <w:sz w:val="24"/>
        </w:rPr>
      </w:pPr>
      <w:r w:rsidRPr="009E50E4">
        <w:rPr>
          <w:sz w:val="24"/>
        </w:rPr>
        <w:t>2.</w:t>
      </w:r>
      <w:r>
        <w:rPr>
          <w:sz w:val="24"/>
        </w:rPr>
        <w:t xml:space="preserve">1 </w:t>
      </w:r>
      <w:r w:rsidR="005A6397">
        <w:rPr>
          <w:sz w:val="24"/>
        </w:rPr>
        <w:t>Analysis of Patent 1</w:t>
      </w:r>
      <w:r>
        <w:rPr>
          <w:sz w:val="24"/>
        </w:rPr>
        <w:t xml:space="preserve">: </w:t>
      </w:r>
      <w:r>
        <w:rPr>
          <w:b w:val="0"/>
          <w:sz w:val="24"/>
        </w:rPr>
        <w:t>Musical Instrument Fingering Extraction and Training</w:t>
      </w:r>
      <w:r w:rsidR="004D1E95">
        <w:rPr>
          <w:b w:val="0"/>
          <w:sz w:val="24"/>
        </w:rPr>
        <w:t xml:space="preserve"> - </w:t>
      </w:r>
      <w:r w:rsidR="004D1E95">
        <w:rPr>
          <w:b w:val="0"/>
          <w:sz w:val="24"/>
          <w:szCs w:val="24"/>
        </w:rPr>
        <w:t>U.S. Patent 1 248 512</w:t>
      </w:r>
    </w:p>
    <w:p w14:paraId="399622F7" w14:textId="77777777" w:rsidR="009E50E4" w:rsidRDefault="009E50E4" w:rsidP="009E50E4">
      <w:pPr>
        <w:pStyle w:val="Title"/>
        <w:jc w:val="left"/>
        <w:rPr>
          <w:b w:val="0"/>
          <w:sz w:val="24"/>
        </w:rPr>
      </w:pPr>
    </w:p>
    <w:p w14:paraId="4FC829C8" w14:textId="77777777" w:rsidR="00E00163" w:rsidRDefault="00E00163" w:rsidP="009E50E4">
      <w:pPr>
        <w:pStyle w:val="Title"/>
        <w:jc w:val="left"/>
        <w:rPr>
          <w:b w:val="0"/>
          <w:sz w:val="24"/>
        </w:rPr>
      </w:pPr>
      <w:r>
        <w:rPr>
          <w:b w:val="0"/>
          <w:sz w:val="24"/>
        </w:rPr>
        <w:t>This patent was filed 12-Oct-2005</w:t>
      </w:r>
      <w:r w:rsidR="000174DF">
        <w:rPr>
          <w:b w:val="0"/>
          <w:sz w:val="24"/>
        </w:rPr>
        <w:t xml:space="preserve"> by Carloz Diaz</w:t>
      </w:r>
      <w:r w:rsidR="00256D30">
        <w:rPr>
          <w:b w:val="0"/>
          <w:sz w:val="24"/>
        </w:rPr>
        <w:t xml:space="preserve">. It covers the concept of an input system that takes in a microphone signal and through digital signal processing produces a </w:t>
      </w:r>
      <w:r w:rsidR="00FC6F3C">
        <w:rPr>
          <w:b w:val="0"/>
          <w:sz w:val="24"/>
        </w:rPr>
        <w:t xml:space="preserve">fingering representation of the music. The guitar then lights up </w:t>
      </w:r>
      <w:r w:rsidR="00E26245">
        <w:rPr>
          <w:b w:val="0"/>
          <w:sz w:val="24"/>
        </w:rPr>
        <w:t>LEDs along the neck of the guitar instructing the user how to reproduce the music at a selected tempo. The primary claims which potential infringement exists are the following [4]:</w:t>
      </w:r>
    </w:p>
    <w:p w14:paraId="4CF7C582" w14:textId="77777777" w:rsidR="003971F3" w:rsidRPr="000C0A47" w:rsidRDefault="003971F3" w:rsidP="003971F3">
      <w:pPr>
        <w:pStyle w:val="ListParagraph"/>
        <w:numPr>
          <w:ilvl w:val="0"/>
          <w:numId w:val="17"/>
        </w:numPr>
      </w:pPr>
      <w:r w:rsidRPr="003971F3">
        <w:rPr>
          <w:rFonts w:ascii="Helvetica" w:hAnsi="Helvetica"/>
          <w:color w:val="333333"/>
          <w:sz w:val="20"/>
          <w:shd w:val="clear" w:color="auto" w:fill="FFFFFF"/>
        </w:rPr>
        <w:t xml:space="preserve">a </w:t>
      </w:r>
      <w:r w:rsidRPr="000C0A47">
        <w:t>fingering display for a positioning proximate to a particular musical instrument such that a user can be guided in playing said tune on it</w:t>
      </w:r>
    </w:p>
    <w:p w14:paraId="5860DCA0" w14:textId="77777777" w:rsidR="003971F3" w:rsidRPr="003971F3" w:rsidRDefault="003971F3" w:rsidP="003971F3">
      <w:pPr>
        <w:pStyle w:val="ListParagraph"/>
        <w:numPr>
          <w:ilvl w:val="0"/>
          <w:numId w:val="17"/>
        </w:numPr>
        <w:rPr>
          <w:szCs w:val="24"/>
        </w:rPr>
      </w:pPr>
      <w:r w:rsidRPr="000C0A47">
        <w:t>a fingering display processor for converting said electronic representations of fingering patterns in real-time according to user controls of tempo and tune selection</w:t>
      </w:r>
    </w:p>
    <w:p w14:paraId="16FCBC25" w14:textId="77777777" w:rsidR="000C0A47" w:rsidRDefault="000C0A47" w:rsidP="000C0A47">
      <w:pPr>
        <w:pStyle w:val="ListParagraph"/>
        <w:numPr>
          <w:ilvl w:val="0"/>
          <w:numId w:val="17"/>
        </w:numPr>
      </w:pPr>
      <w:r w:rsidRPr="000C0A47">
        <w:t>the fingering display is integrated into the fretboard and under the strings of an acoustic guitar</w:t>
      </w:r>
    </w:p>
    <w:p w14:paraId="78CA9EFF" w14:textId="77777777" w:rsidR="000C0A47" w:rsidRDefault="000C0A47" w:rsidP="000C0A47"/>
    <w:p w14:paraId="10428863" w14:textId="21D1EFD5" w:rsidR="000C0A47" w:rsidRPr="000C0A47" w:rsidRDefault="000C0A47" w:rsidP="000C0A47">
      <w:r>
        <w:t>Guitutar will also have a fingering display integrated into the fretboard and under the strings of a guitar to instruct users how to play a song. This is very similar to the claims in the patent, yet there are significant differences. The patent in question specifies LEDs being modular with suitability for temporary installation [4]. Guitutar however is designed to be a complete replacement of the guitar neck in which it is a permanent system. For each case, substantially different approaches must be taken to get the result, which sufficiently distinguishes the two. For the ability to instruct users how to play using LEDs and a system to allow for processing of temp</w:t>
      </w:r>
      <w:r w:rsidR="00481CBC">
        <w:t>o of a song, both do not fall under the category of “non-obvious</w:t>
      </w:r>
      <w:bookmarkStart w:id="0" w:name="_GoBack"/>
      <w:bookmarkEnd w:id="0"/>
      <w:r w:rsidR="00481CBC">
        <w:t>”.</w:t>
      </w:r>
      <w:r w:rsidR="009D2F88">
        <w:t xml:space="preserve"> More so, </w:t>
      </w:r>
      <w:r w:rsidR="008E346C">
        <w:t xml:space="preserve">the use of LEDs to guide users of what to do, whether it be pressing buttons or playing instruments, has been used for decades. There is nothing novel about the use of LEDs as instructions. Also all digital systems that play music </w:t>
      </w:r>
      <w:r w:rsidR="008E346C">
        <w:rPr>
          <w:i/>
        </w:rPr>
        <w:t>must</w:t>
      </w:r>
      <w:r w:rsidR="008E346C">
        <w:t xml:space="preserve"> have the ability to process the tempo of the song. Without this feature the identity of the music is lost. It would be impossible to have any electronic music device without this feature therefore it is not a liability issue for us.</w:t>
      </w:r>
      <w:r w:rsidR="009D2F88">
        <w:t xml:space="preserve"> </w:t>
      </w:r>
      <w:r w:rsidR="00481CBC">
        <w:t xml:space="preserve"> This is proven by the endless number of musical systems that can alter the tempo of a song and similarly training mechanisms that use lights to guide users where to go and or do.</w:t>
      </w:r>
    </w:p>
    <w:p w14:paraId="6376F93B" w14:textId="77777777" w:rsidR="005A6397" w:rsidRDefault="005A6397" w:rsidP="00C620F0">
      <w:pPr>
        <w:pStyle w:val="Title"/>
        <w:jc w:val="left"/>
        <w:rPr>
          <w:sz w:val="24"/>
        </w:rPr>
      </w:pPr>
    </w:p>
    <w:p w14:paraId="66444045" w14:textId="739D4420" w:rsidR="00F20C99" w:rsidRDefault="005A6397" w:rsidP="00F20C99">
      <w:pPr>
        <w:pStyle w:val="Heading1"/>
        <w:shd w:val="clear" w:color="auto" w:fill="FFFFFF"/>
        <w:spacing w:after="300"/>
        <w:rPr>
          <w:i w:val="0"/>
          <w:iCs w:val="0"/>
        </w:rPr>
      </w:pPr>
      <w:r w:rsidRPr="00F20C99">
        <w:rPr>
          <w:b/>
          <w:i w:val="0"/>
          <w:iCs w:val="0"/>
        </w:rPr>
        <w:t>2.2 Analysis of Patent 2</w:t>
      </w:r>
      <w:r w:rsidR="00F20C99" w:rsidRPr="00F20C99">
        <w:rPr>
          <w:b/>
          <w:i w:val="0"/>
          <w:iCs w:val="0"/>
        </w:rPr>
        <w:t>:</w:t>
      </w:r>
      <w:r w:rsidR="00F20C99">
        <w:t xml:space="preserve"> </w:t>
      </w:r>
      <w:r w:rsidR="001F221D">
        <w:rPr>
          <w:i w:val="0"/>
          <w:iCs w:val="0"/>
        </w:rPr>
        <w:t>Musical Instruction System</w:t>
      </w:r>
      <w:r w:rsidR="004D1E95">
        <w:rPr>
          <w:i w:val="0"/>
          <w:iCs w:val="0"/>
        </w:rPr>
        <w:t xml:space="preserve"> - </w:t>
      </w:r>
      <w:r w:rsidR="004D1E95" w:rsidRPr="004D1E95">
        <w:rPr>
          <w:i w:val="0"/>
          <w:szCs w:val="24"/>
        </w:rPr>
        <w:t>U.S. Patent 8 629 342</w:t>
      </w:r>
    </w:p>
    <w:p w14:paraId="63629039" w14:textId="77777777" w:rsidR="00F20C99" w:rsidRDefault="00F20C99" w:rsidP="00F20C99">
      <w:r>
        <w:t xml:space="preserve">This patent was filed </w:t>
      </w:r>
      <w:r w:rsidR="001F221D">
        <w:t>07</w:t>
      </w:r>
      <w:r>
        <w:t>-</w:t>
      </w:r>
      <w:r w:rsidR="001F221D">
        <w:t>May</w:t>
      </w:r>
      <w:r>
        <w:t>-</w:t>
      </w:r>
      <w:r w:rsidR="001F221D">
        <w:t>2010</w:t>
      </w:r>
      <w:r w:rsidR="00C86C05">
        <w:t xml:space="preserve"> by </w:t>
      </w:r>
      <w:r w:rsidR="001F221D">
        <w:t>Harold Lee and Roger B. Dannenburg</w:t>
      </w:r>
      <w:r w:rsidR="00C86C05">
        <w:t>. It covers the concept</w:t>
      </w:r>
      <w:r w:rsidR="001F221D">
        <w:t xml:space="preserve"> </w:t>
      </w:r>
      <w:r w:rsidR="005C7ED8">
        <w:t xml:space="preserve">of </w:t>
      </w:r>
      <w:r w:rsidR="001F221D">
        <w:t>a system in which a user can select a piece of music where the system would then provide cues as to how to play the piece of music in real time. The system would detect the performance of the user and provide feedback in real time. The primary claims in which potential infringement exists are the following [5]:</w:t>
      </w:r>
    </w:p>
    <w:p w14:paraId="5743CFE5" w14:textId="77777777" w:rsidR="001F221D" w:rsidRPr="001F221D" w:rsidRDefault="001F221D" w:rsidP="001F221D">
      <w:pPr>
        <w:pStyle w:val="ListParagraph"/>
        <w:numPr>
          <w:ilvl w:val="0"/>
          <w:numId w:val="18"/>
        </w:numPr>
      </w:pPr>
      <w:r w:rsidRPr="001F221D">
        <w:t>providing performance cues to a user to perform musical events on a musical instrument, wherein the performance cues are synchronized to expert performance data of the musical piece</w:t>
      </w:r>
    </w:p>
    <w:p w14:paraId="5F8B6153" w14:textId="77777777" w:rsidR="001F221D" w:rsidRDefault="001F221D" w:rsidP="001F221D">
      <w:pPr>
        <w:pStyle w:val="ListParagraph"/>
        <w:numPr>
          <w:ilvl w:val="0"/>
          <w:numId w:val="18"/>
        </w:numPr>
      </w:pPr>
      <w:r w:rsidRPr="001F221D">
        <w:t>determining an extent to which the user-performed musical events have been correctly or incorrectly performed</w:t>
      </w:r>
    </w:p>
    <w:p w14:paraId="0121A4E4" w14:textId="77777777" w:rsidR="004E3706" w:rsidRDefault="004E3706" w:rsidP="004E3706">
      <w:pPr>
        <w:pStyle w:val="ListParagraph"/>
        <w:numPr>
          <w:ilvl w:val="0"/>
          <w:numId w:val="18"/>
        </w:numPr>
      </w:pPr>
      <w:r w:rsidRPr="004E3706">
        <w:t>receive a user selection of a musical piece</w:t>
      </w:r>
    </w:p>
    <w:p w14:paraId="02BF7C59" w14:textId="77777777" w:rsidR="004E3706" w:rsidRDefault="004E3706" w:rsidP="004E3706"/>
    <w:p w14:paraId="07121AAF" w14:textId="77777777" w:rsidR="004E3706" w:rsidRPr="00F20C99" w:rsidRDefault="004E3706" w:rsidP="004E3706">
      <w:r>
        <w:t>Performance cues will also be used within Guitutar; however, this patent specifies that the cues are to be representative of a human hand. Guituar provides cues solely as lights near string and fret intersections in which the user should “press here”. There is no aid in how the hand should be presented to accomplish the task. There will also be scoring of the user’s accuracy in both. The patent will be using audio processing to determine if the frequencies it is picking up with a microphone match that of what should be played. This is vastly different than Guitutar’s implementation that allows for different tunings of a guitar due to notes are detected on connection with a string and a fret. Finally, the selection of a musical piece being shared between both designs is hardly unique and thus falls under the fact that it is obvious to the outside world.</w:t>
      </w:r>
    </w:p>
    <w:p w14:paraId="5C965AF6" w14:textId="77777777" w:rsidR="005A6397" w:rsidRDefault="005A6397" w:rsidP="00C620F0">
      <w:pPr>
        <w:pStyle w:val="Title"/>
        <w:jc w:val="left"/>
        <w:rPr>
          <w:sz w:val="24"/>
        </w:rPr>
      </w:pPr>
    </w:p>
    <w:p w14:paraId="0F2C8774" w14:textId="77777777" w:rsidR="005A6397" w:rsidRDefault="005A6397" w:rsidP="00C620F0">
      <w:pPr>
        <w:pStyle w:val="Title"/>
        <w:jc w:val="left"/>
        <w:rPr>
          <w:sz w:val="24"/>
        </w:rPr>
      </w:pPr>
    </w:p>
    <w:p w14:paraId="3A551FB8" w14:textId="52A4FE7A" w:rsidR="005A6397" w:rsidRDefault="005A6397" w:rsidP="00C620F0">
      <w:pPr>
        <w:pStyle w:val="Title"/>
        <w:jc w:val="left"/>
        <w:rPr>
          <w:b w:val="0"/>
          <w:sz w:val="24"/>
        </w:rPr>
      </w:pPr>
      <w:r>
        <w:rPr>
          <w:sz w:val="24"/>
        </w:rPr>
        <w:t>2.3 Analysis of Patent 3</w:t>
      </w:r>
      <w:r w:rsidR="005C7ED8">
        <w:rPr>
          <w:sz w:val="24"/>
        </w:rPr>
        <w:t xml:space="preserve">: </w:t>
      </w:r>
      <w:r w:rsidR="005C7ED8" w:rsidRPr="005C7ED8">
        <w:rPr>
          <w:b w:val="0"/>
          <w:sz w:val="24"/>
        </w:rPr>
        <w:t>Instructional systems and methods for musical instruments</w:t>
      </w:r>
      <w:r w:rsidR="004D1E95">
        <w:rPr>
          <w:b w:val="0"/>
          <w:sz w:val="24"/>
        </w:rPr>
        <w:t xml:space="preserve"> - </w:t>
      </w:r>
      <w:r w:rsidR="004D1E95">
        <w:rPr>
          <w:b w:val="0"/>
          <w:sz w:val="24"/>
          <w:szCs w:val="24"/>
        </w:rPr>
        <w:t>U.S. Patent 6 191 348</w:t>
      </w:r>
    </w:p>
    <w:p w14:paraId="6EAEA09F" w14:textId="77777777" w:rsidR="005C7ED8" w:rsidRDefault="005C7ED8" w:rsidP="00C620F0">
      <w:pPr>
        <w:pStyle w:val="Title"/>
        <w:jc w:val="left"/>
        <w:rPr>
          <w:b w:val="0"/>
          <w:sz w:val="24"/>
        </w:rPr>
      </w:pPr>
    </w:p>
    <w:p w14:paraId="3C54D83E" w14:textId="77777777" w:rsidR="005C7ED8" w:rsidRDefault="005C7ED8" w:rsidP="00C620F0">
      <w:pPr>
        <w:pStyle w:val="Title"/>
        <w:jc w:val="left"/>
        <w:rPr>
          <w:b w:val="0"/>
          <w:sz w:val="24"/>
        </w:rPr>
      </w:pPr>
      <w:r>
        <w:rPr>
          <w:b w:val="0"/>
          <w:sz w:val="24"/>
        </w:rPr>
        <w:lastRenderedPageBreak/>
        <w:t>This patent was filed 13-Sep-1999 by Steven T. Johnson. It covers the concept of an array of graphic note elements indicating where players should place their fingers on a guitar.</w:t>
      </w:r>
      <w:r w:rsidR="00AA1AA9">
        <w:rPr>
          <w:b w:val="0"/>
          <w:sz w:val="24"/>
        </w:rPr>
        <w:t xml:space="preserve"> The display is integrated into the neck of the guitar to not interfere with the ability for users to shape their hands into the correct formation to play the guitar. </w:t>
      </w:r>
      <w:r w:rsidR="00AB307D" w:rsidRPr="00AB307D">
        <w:rPr>
          <w:b w:val="0"/>
          <w:sz w:val="24"/>
        </w:rPr>
        <w:t>The primary claims in which potential infringement exi</w:t>
      </w:r>
      <w:r w:rsidR="00AB307D">
        <w:rPr>
          <w:b w:val="0"/>
          <w:sz w:val="24"/>
        </w:rPr>
        <w:t>sts are the following [6</w:t>
      </w:r>
      <w:r w:rsidR="00AB307D" w:rsidRPr="00AB307D">
        <w:rPr>
          <w:b w:val="0"/>
          <w:sz w:val="24"/>
        </w:rPr>
        <w:t>]:</w:t>
      </w:r>
    </w:p>
    <w:p w14:paraId="1DF88C55" w14:textId="77777777" w:rsidR="00AA1AA9" w:rsidRDefault="00AA1AA9" w:rsidP="00AA1AA9">
      <w:pPr>
        <w:pStyle w:val="Title"/>
        <w:numPr>
          <w:ilvl w:val="0"/>
          <w:numId w:val="19"/>
        </w:numPr>
        <w:jc w:val="left"/>
        <w:rPr>
          <w:b w:val="0"/>
          <w:sz w:val="24"/>
        </w:rPr>
      </w:pPr>
      <w:r w:rsidRPr="00AA1AA9">
        <w:rPr>
          <w:b w:val="0"/>
          <w:sz w:val="24"/>
        </w:rPr>
        <w:t>a plurality of display segments arranged in an instruction grid such that each display segment corresponds to a unique location on the playing surface</w:t>
      </w:r>
    </w:p>
    <w:p w14:paraId="632C4922" w14:textId="77777777" w:rsidR="00AA1AA9" w:rsidRDefault="00AA1AA9" w:rsidP="00AA1AA9">
      <w:pPr>
        <w:pStyle w:val="Title"/>
        <w:numPr>
          <w:ilvl w:val="0"/>
          <w:numId w:val="19"/>
        </w:numPr>
        <w:jc w:val="left"/>
        <w:rPr>
          <w:b w:val="0"/>
          <w:sz w:val="24"/>
        </w:rPr>
      </w:pPr>
      <w:r w:rsidRPr="00AA1AA9">
        <w:rPr>
          <w:b w:val="0"/>
          <w:sz w:val="24"/>
        </w:rPr>
        <w:t>a control circuit for operating the display segments based on note data such that the display segments communicate note instructions that indicate where the string members are to be brought into contact with the neck assembly to form musical notes</w:t>
      </w:r>
    </w:p>
    <w:p w14:paraId="34FE764B" w14:textId="77777777" w:rsidR="00AA1AA9" w:rsidRDefault="0007249E" w:rsidP="00AA1AA9">
      <w:pPr>
        <w:pStyle w:val="Title"/>
        <w:numPr>
          <w:ilvl w:val="0"/>
          <w:numId w:val="19"/>
        </w:numPr>
        <w:jc w:val="left"/>
        <w:rPr>
          <w:b w:val="0"/>
          <w:sz w:val="24"/>
        </w:rPr>
      </w:pPr>
      <w:r w:rsidRPr="0007249E">
        <w:rPr>
          <w:b w:val="0"/>
          <w:sz w:val="24"/>
        </w:rPr>
        <w:t>finger sensing means for generating feedback data identifying the locations on the playing surface at which the string members are brought into contact with the neck assembly</w:t>
      </w:r>
    </w:p>
    <w:p w14:paraId="210CE607" w14:textId="77777777" w:rsidR="0007249E" w:rsidRDefault="0007249E" w:rsidP="0007249E">
      <w:pPr>
        <w:pStyle w:val="Title"/>
        <w:jc w:val="left"/>
        <w:rPr>
          <w:b w:val="0"/>
          <w:sz w:val="24"/>
        </w:rPr>
      </w:pPr>
    </w:p>
    <w:p w14:paraId="06E158AA" w14:textId="77777777" w:rsidR="0007249E" w:rsidRPr="00AA1AA9" w:rsidRDefault="0007249E" w:rsidP="0007249E">
      <w:pPr>
        <w:pStyle w:val="Title"/>
        <w:jc w:val="left"/>
        <w:rPr>
          <w:b w:val="0"/>
          <w:sz w:val="24"/>
        </w:rPr>
      </w:pPr>
      <w:r>
        <w:rPr>
          <w:b w:val="0"/>
          <w:sz w:val="24"/>
        </w:rPr>
        <w:t xml:space="preserve">The patent specifies that a number of display segments will be present each indicating a unique location of where to press the guitar neck. Due to the nature of the guitar neck already having unique locations which are visibly displayed, this is the purest nature of a guitar neck which constitutes it as obvious design. </w:t>
      </w:r>
      <w:r w:rsidR="003B3901">
        <w:rPr>
          <w:b w:val="0"/>
          <w:sz w:val="24"/>
        </w:rPr>
        <w:t>The patent has finger sensing means in order to identify where the string has become in contact with the guitar neck. Guitutar has a similar feature but with the direct opposite implementation. The Guitutar design instead senses a connection of metal between the string and the fret along the guitar neck which allows for identification of where the user placed their finger. There is no similarity in the two designs besides that they serve the same purpose.</w:t>
      </w:r>
    </w:p>
    <w:p w14:paraId="0E131521" w14:textId="77777777" w:rsidR="005A6397" w:rsidRDefault="005A6397" w:rsidP="00C620F0">
      <w:pPr>
        <w:pStyle w:val="Title"/>
        <w:jc w:val="left"/>
        <w:rPr>
          <w:sz w:val="24"/>
        </w:rPr>
      </w:pPr>
    </w:p>
    <w:p w14:paraId="0D1E3C47" w14:textId="0404415B" w:rsidR="00FE544B" w:rsidRDefault="00FE544B" w:rsidP="004D1E95">
      <w:pPr>
        <w:pStyle w:val="Title"/>
        <w:numPr>
          <w:ilvl w:val="0"/>
          <w:numId w:val="12"/>
        </w:numPr>
        <w:jc w:val="left"/>
        <w:rPr>
          <w:sz w:val="24"/>
        </w:rPr>
      </w:pPr>
      <w:r>
        <w:rPr>
          <w:sz w:val="24"/>
        </w:rPr>
        <w:t>Sources Cited:</w:t>
      </w:r>
    </w:p>
    <w:p w14:paraId="5BFB267D" w14:textId="77777777" w:rsidR="00E62354" w:rsidRDefault="00E62354" w:rsidP="00C620F0">
      <w:pPr>
        <w:pStyle w:val="Title"/>
        <w:jc w:val="left"/>
      </w:pPr>
    </w:p>
    <w:p w14:paraId="4D007A2D" w14:textId="1A572C3B" w:rsidR="004C6DCC" w:rsidRDefault="004D1E95" w:rsidP="004D1E95">
      <w:pPr>
        <w:pStyle w:val="Title"/>
        <w:tabs>
          <w:tab w:val="left" w:pos="450"/>
        </w:tabs>
        <w:ind w:left="360" w:hanging="360"/>
        <w:jc w:val="left"/>
        <w:rPr>
          <w:b w:val="0"/>
          <w:sz w:val="24"/>
          <w:szCs w:val="24"/>
        </w:rPr>
      </w:pPr>
      <w:r>
        <w:rPr>
          <w:b w:val="0"/>
          <w:sz w:val="24"/>
          <w:szCs w:val="24"/>
        </w:rPr>
        <w:t xml:space="preserve">[1] </w:t>
      </w:r>
      <w:r w:rsidR="004C6DCC">
        <w:rPr>
          <w:b w:val="0"/>
          <w:sz w:val="24"/>
          <w:szCs w:val="24"/>
        </w:rPr>
        <w:t xml:space="preserve">UL LLC. (2017). </w:t>
      </w:r>
      <w:r w:rsidR="004C6DCC">
        <w:rPr>
          <w:b w:val="0"/>
          <w:i/>
          <w:sz w:val="24"/>
          <w:szCs w:val="24"/>
        </w:rPr>
        <w:t xml:space="preserve">Safety Certification </w:t>
      </w:r>
      <w:r w:rsidR="004C6DCC">
        <w:rPr>
          <w:b w:val="0"/>
          <w:sz w:val="24"/>
          <w:szCs w:val="24"/>
        </w:rPr>
        <w:t xml:space="preserve">[Online]. Available: </w:t>
      </w:r>
      <w:hyperlink r:id="rId8" w:history="1">
        <w:r w:rsidR="00A2545E" w:rsidRPr="00153478">
          <w:rPr>
            <w:rStyle w:val="Hyperlink"/>
            <w:b w:val="0"/>
            <w:sz w:val="24"/>
            <w:szCs w:val="24"/>
          </w:rPr>
          <w:t>http://services.ul.com/service/safety</w:t>
        </w:r>
        <w:r w:rsidR="00A2545E" w:rsidRPr="00153478">
          <w:rPr>
            <w:rStyle w:val="Hyperlink"/>
            <w:b w:val="0"/>
            <w:sz w:val="24"/>
            <w:szCs w:val="24"/>
          </w:rPr>
          <w:t>-</w:t>
        </w:r>
        <w:r w:rsidR="00A2545E" w:rsidRPr="00153478">
          <w:rPr>
            <w:rStyle w:val="Hyperlink"/>
            <w:b w:val="0"/>
            <w:sz w:val="24"/>
            <w:szCs w:val="24"/>
          </w:rPr>
          <w:t>certification/</w:t>
        </w:r>
      </w:hyperlink>
    </w:p>
    <w:p w14:paraId="265BF85A" w14:textId="388935C7" w:rsidR="00A2545E" w:rsidRDefault="004D1E95" w:rsidP="004D1E95">
      <w:pPr>
        <w:pStyle w:val="Title"/>
        <w:tabs>
          <w:tab w:val="left" w:pos="450"/>
        </w:tabs>
        <w:ind w:left="360" w:hanging="360"/>
        <w:jc w:val="left"/>
        <w:rPr>
          <w:b w:val="0"/>
          <w:sz w:val="24"/>
          <w:szCs w:val="24"/>
        </w:rPr>
      </w:pPr>
      <w:r>
        <w:rPr>
          <w:b w:val="0"/>
          <w:sz w:val="24"/>
          <w:szCs w:val="24"/>
        </w:rPr>
        <w:t xml:space="preserve">[2] </w:t>
      </w:r>
      <w:r w:rsidR="00CB2143">
        <w:rPr>
          <w:b w:val="0"/>
          <w:sz w:val="24"/>
          <w:szCs w:val="24"/>
        </w:rPr>
        <w:t>Federal Communications Commission. (</w:t>
      </w:r>
      <w:r w:rsidR="00662B97">
        <w:rPr>
          <w:b w:val="0"/>
          <w:sz w:val="24"/>
          <w:szCs w:val="24"/>
        </w:rPr>
        <w:t xml:space="preserve">2017). </w:t>
      </w:r>
      <w:r w:rsidR="00662B97">
        <w:rPr>
          <w:b w:val="0"/>
          <w:i/>
          <w:sz w:val="24"/>
          <w:szCs w:val="24"/>
        </w:rPr>
        <w:t>What We Do</w:t>
      </w:r>
      <w:r w:rsidR="00662B97">
        <w:rPr>
          <w:b w:val="0"/>
          <w:sz w:val="24"/>
          <w:szCs w:val="24"/>
        </w:rPr>
        <w:t xml:space="preserve"> [Online]. Available: </w:t>
      </w:r>
      <w:hyperlink r:id="rId9" w:history="1">
        <w:r w:rsidR="00662B97" w:rsidRPr="00153478">
          <w:rPr>
            <w:rStyle w:val="Hyperlink"/>
            <w:b w:val="0"/>
            <w:sz w:val="24"/>
            <w:szCs w:val="24"/>
          </w:rPr>
          <w:t>https://www.fcc.gov/about-fcc/what-we-do</w:t>
        </w:r>
      </w:hyperlink>
    </w:p>
    <w:p w14:paraId="31534CAB" w14:textId="4A6E3604" w:rsidR="00254D5C" w:rsidRDefault="004D1E95" w:rsidP="004D1E95">
      <w:pPr>
        <w:pStyle w:val="Title"/>
        <w:tabs>
          <w:tab w:val="left" w:pos="450"/>
        </w:tabs>
        <w:ind w:left="360" w:hanging="360"/>
        <w:jc w:val="left"/>
        <w:rPr>
          <w:b w:val="0"/>
          <w:sz w:val="24"/>
          <w:szCs w:val="24"/>
        </w:rPr>
      </w:pPr>
      <w:r>
        <w:rPr>
          <w:b w:val="0"/>
          <w:sz w:val="24"/>
          <w:szCs w:val="24"/>
        </w:rPr>
        <w:t xml:space="preserve">[3] </w:t>
      </w:r>
      <w:r w:rsidR="00F56AF1">
        <w:rPr>
          <w:b w:val="0"/>
          <w:sz w:val="24"/>
          <w:szCs w:val="24"/>
        </w:rPr>
        <w:t xml:space="preserve">Federal Communications Commission. (1993). </w:t>
      </w:r>
      <w:r w:rsidR="00F56AF1">
        <w:rPr>
          <w:b w:val="0"/>
          <w:i/>
          <w:sz w:val="24"/>
          <w:szCs w:val="24"/>
        </w:rPr>
        <w:t xml:space="preserve">Understanding the FCC Regulations For Computers and Other Digital Devices </w:t>
      </w:r>
      <w:r w:rsidR="00F56AF1">
        <w:rPr>
          <w:b w:val="0"/>
          <w:sz w:val="24"/>
          <w:szCs w:val="24"/>
        </w:rPr>
        <w:t>[</w:t>
      </w:r>
      <w:r w:rsidR="00254D5C">
        <w:rPr>
          <w:b w:val="0"/>
          <w:sz w:val="24"/>
          <w:szCs w:val="24"/>
        </w:rPr>
        <w:t xml:space="preserve">Online Document]. Available: </w:t>
      </w:r>
      <w:hyperlink r:id="rId10" w:history="1">
        <w:r w:rsidR="00254D5C" w:rsidRPr="00153478">
          <w:rPr>
            <w:rStyle w:val="Hyperlink"/>
            <w:b w:val="0"/>
            <w:sz w:val="24"/>
            <w:szCs w:val="24"/>
          </w:rPr>
          <w:t>https://transition.fcc.gov/bureaus/oet/info/documents/bulletins/oet62/oet62rev.pdf</w:t>
        </w:r>
      </w:hyperlink>
    </w:p>
    <w:p w14:paraId="63B109E5" w14:textId="51FD3776" w:rsidR="00AB307D" w:rsidRDefault="004D1E95" w:rsidP="004D1E95">
      <w:pPr>
        <w:pStyle w:val="Title"/>
        <w:tabs>
          <w:tab w:val="left" w:pos="450"/>
        </w:tabs>
        <w:ind w:left="360" w:hanging="360"/>
        <w:jc w:val="left"/>
        <w:rPr>
          <w:b w:val="0"/>
          <w:sz w:val="24"/>
          <w:szCs w:val="24"/>
        </w:rPr>
      </w:pPr>
      <w:r>
        <w:rPr>
          <w:b w:val="0"/>
          <w:sz w:val="24"/>
          <w:szCs w:val="24"/>
        </w:rPr>
        <w:t xml:space="preserve">[4] </w:t>
      </w:r>
      <w:r w:rsidR="00AB307D">
        <w:rPr>
          <w:b w:val="0"/>
          <w:sz w:val="24"/>
          <w:szCs w:val="24"/>
        </w:rPr>
        <w:t>Carlos Diaz, “Musical instrument fingering extraction and training”, U.S. Patent 1 248 512, October 12, 2005.</w:t>
      </w:r>
    </w:p>
    <w:p w14:paraId="19D584DD" w14:textId="390B8062" w:rsidR="00AB307D" w:rsidRDefault="004D1E95" w:rsidP="004D1E95">
      <w:pPr>
        <w:pStyle w:val="Title"/>
        <w:tabs>
          <w:tab w:val="left" w:pos="450"/>
        </w:tabs>
        <w:ind w:left="360" w:hanging="360"/>
        <w:jc w:val="left"/>
        <w:rPr>
          <w:b w:val="0"/>
          <w:sz w:val="24"/>
          <w:szCs w:val="24"/>
        </w:rPr>
      </w:pPr>
      <w:r>
        <w:rPr>
          <w:b w:val="0"/>
          <w:sz w:val="24"/>
          <w:szCs w:val="24"/>
        </w:rPr>
        <w:t xml:space="preserve">[5] </w:t>
      </w:r>
      <w:r w:rsidR="00AB307D">
        <w:rPr>
          <w:b w:val="0"/>
          <w:sz w:val="24"/>
          <w:szCs w:val="24"/>
        </w:rPr>
        <w:t>Harold Lee, Roger B. Dannenberg, “Musical instruction system,” U.S. Patent 8 629 342, May 07, 2010.</w:t>
      </w:r>
    </w:p>
    <w:p w14:paraId="2F56D0A0" w14:textId="09839AAC" w:rsidR="00D91471" w:rsidRDefault="004D1E95" w:rsidP="004D1E95">
      <w:pPr>
        <w:pStyle w:val="Title"/>
        <w:tabs>
          <w:tab w:val="left" w:pos="450"/>
        </w:tabs>
        <w:ind w:left="360" w:hanging="360"/>
        <w:jc w:val="left"/>
        <w:rPr>
          <w:b w:val="0"/>
          <w:sz w:val="24"/>
          <w:szCs w:val="24"/>
        </w:rPr>
      </w:pPr>
      <w:r>
        <w:rPr>
          <w:b w:val="0"/>
          <w:sz w:val="24"/>
          <w:szCs w:val="24"/>
        </w:rPr>
        <w:t xml:space="preserve">[6] </w:t>
      </w:r>
      <w:r w:rsidR="00AB307D">
        <w:rPr>
          <w:b w:val="0"/>
          <w:sz w:val="24"/>
          <w:szCs w:val="24"/>
        </w:rPr>
        <w:t>Steven T. Johnson, “Instructional systems and methods for musical instruments,” U.S. Patent 6 191 348, September 13, 1999.</w:t>
      </w:r>
    </w:p>
    <w:p w14:paraId="18D167C4" w14:textId="0B5B9E3D" w:rsidR="009D2F88" w:rsidRDefault="009D2F88" w:rsidP="004D1E95">
      <w:pPr>
        <w:pStyle w:val="Title"/>
        <w:tabs>
          <w:tab w:val="left" w:pos="450"/>
        </w:tabs>
        <w:ind w:left="360" w:hanging="360"/>
        <w:jc w:val="left"/>
        <w:rPr>
          <w:b w:val="0"/>
          <w:sz w:val="24"/>
          <w:szCs w:val="24"/>
        </w:rPr>
      </w:pPr>
      <w:r>
        <w:rPr>
          <w:b w:val="0"/>
          <w:sz w:val="24"/>
          <w:szCs w:val="24"/>
        </w:rPr>
        <w:t xml:space="preserve">[7] UL LLC. (2017). </w:t>
      </w:r>
      <w:r>
        <w:rPr>
          <w:b w:val="0"/>
          <w:i/>
          <w:sz w:val="24"/>
          <w:szCs w:val="24"/>
        </w:rPr>
        <w:t>Project Submittal Process FAQ</w:t>
      </w:r>
      <w:r>
        <w:rPr>
          <w:b w:val="0"/>
          <w:sz w:val="24"/>
          <w:szCs w:val="24"/>
        </w:rPr>
        <w:t xml:space="preserve"> [Online]. Available: </w:t>
      </w:r>
      <w:hyperlink r:id="rId11" w:history="1">
        <w:r w:rsidRPr="009543FC">
          <w:rPr>
            <w:rStyle w:val="Hyperlink"/>
            <w:b w:val="0"/>
            <w:sz w:val="24"/>
            <w:szCs w:val="24"/>
          </w:rPr>
          <w:t>http://www.ul.com/customer-resources/faq/product-submittal-process-faq/</w:t>
        </w:r>
      </w:hyperlink>
    </w:p>
    <w:p w14:paraId="54D24D5F" w14:textId="4B0F8CE2" w:rsidR="009D2F88" w:rsidRDefault="009D2F88" w:rsidP="004D1E95">
      <w:pPr>
        <w:pStyle w:val="Title"/>
        <w:tabs>
          <w:tab w:val="left" w:pos="450"/>
        </w:tabs>
        <w:ind w:left="360" w:hanging="360"/>
        <w:jc w:val="left"/>
        <w:rPr>
          <w:b w:val="0"/>
          <w:sz w:val="24"/>
          <w:szCs w:val="24"/>
        </w:rPr>
      </w:pPr>
      <w:r>
        <w:rPr>
          <w:b w:val="0"/>
          <w:sz w:val="24"/>
          <w:szCs w:val="24"/>
        </w:rPr>
        <w:t xml:space="preserve">[8] MET Laboratories, Inc. (2017). </w:t>
      </w:r>
      <w:r>
        <w:rPr>
          <w:b w:val="0"/>
          <w:i/>
          <w:sz w:val="24"/>
          <w:szCs w:val="24"/>
        </w:rPr>
        <w:t>6 Steps to Successful FC Testing &amp; Certification of Electrical Products</w:t>
      </w:r>
      <w:r>
        <w:rPr>
          <w:b w:val="0"/>
          <w:sz w:val="24"/>
          <w:szCs w:val="24"/>
        </w:rPr>
        <w:t xml:space="preserve"> [Online]. Available: </w:t>
      </w:r>
      <w:hyperlink r:id="rId12" w:history="1">
        <w:r w:rsidRPr="009543FC">
          <w:rPr>
            <w:rStyle w:val="Hyperlink"/>
            <w:b w:val="0"/>
            <w:sz w:val="24"/>
            <w:szCs w:val="24"/>
          </w:rPr>
          <w:t>http://www.ul.com/customer-resources/faq/product-submittal-process-faq/</w:t>
        </w:r>
      </w:hyperlink>
    </w:p>
    <w:p w14:paraId="2BF4E8E5" w14:textId="77777777" w:rsidR="009D2F88" w:rsidRPr="009D2F88" w:rsidRDefault="009D2F88" w:rsidP="004D1E95">
      <w:pPr>
        <w:pStyle w:val="Title"/>
        <w:tabs>
          <w:tab w:val="left" w:pos="450"/>
        </w:tabs>
        <w:ind w:left="360" w:hanging="360"/>
        <w:jc w:val="left"/>
        <w:rPr>
          <w:b w:val="0"/>
          <w:i/>
          <w:sz w:val="24"/>
          <w:szCs w:val="24"/>
        </w:rPr>
      </w:pPr>
    </w:p>
    <w:p w14:paraId="77236963" w14:textId="77777777" w:rsidR="009D2F88" w:rsidRPr="009D2F88" w:rsidRDefault="009D2F88" w:rsidP="004D1E95">
      <w:pPr>
        <w:pStyle w:val="Title"/>
        <w:tabs>
          <w:tab w:val="left" w:pos="450"/>
        </w:tabs>
        <w:ind w:left="360" w:hanging="360"/>
        <w:jc w:val="left"/>
        <w:rPr>
          <w:b w:val="0"/>
          <w:sz w:val="24"/>
          <w:szCs w:val="24"/>
        </w:rPr>
      </w:pPr>
    </w:p>
    <w:sectPr w:rsidR="009D2F88" w:rsidRPr="009D2F88" w:rsidSect="00E96704">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4186E" w14:textId="77777777" w:rsidR="000769D9" w:rsidRDefault="000769D9">
      <w:r>
        <w:separator/>
      </w:r>
    </w:p>
  </w:endnote>
  <w:endnote w:type="continuationSeparator" w:id="0">
    <w:p w14:paraId="55A3F66A" w14:textId="77777777" w:rsidR="000769D9" w:rsidRDefault="00076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173BCD39" w14:textId="394F65E6" w:rsidR="00FE544B" w:rsidRDefault="000769D9"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8E346C">
              <w:rPr>
                <w:b/>
                <w:bCs/>
                <w:noProof/>
              </w:rPr>
              <w:t>4</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8E346C">
              <w:rPr>
                <w:b/>
                <w:bCs/>
                <w:noProof/>
              </w:rPr>
              <w:t>4</w:t>
            </w:r>
            <w:r w:rsidR="00FE544B">
              <w:rPr>
                <w:b/>
                <w:bCs/>
                <w:szCs w:val="24"/>
              </w:rPr>
              <w:fldChar w:fldCharType="end"/>
            </w:r>
          </w:p>
        </w:sdtContent>
      </w:sdt>
    </w:sdtContent>
  </w:sdt>
  <w:p w14:paraId="6C3CBB74"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CDFDD" w14:textId="77777777" w:rsidR="000769D9" w:rsidRDefault="000769D9">
      <w:r>
        <w:separator/>
      </w:r>
    </w:p>
  </w:footnote>
  <w:footnote w:type="continuationSeparator" w:id="0">
    <w:p w14:paraId="737D4D05" w14:textId="77777777" w:rsidR="000769D9" w:rsidRDefault="00076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FAF82" w14:textId="2BCBF299"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091E9F">
      <w:t xml:space="preserve">Last Modified: </w:t>
    </w:r>
    <w:r w:rsidR="00091E9F">
      <w:fldChar w:fldCharType="begin"/>
    </w:r>
    <w:r w:rsidR="00091E9F">
      <w:instrText xml:space="preserve"> SAVEDATE  \@ "MM-dd-yyyy"  \* MERGEFORMAT </w:instrText>
    </w:r>
    <w:r w:rsidR="00091E9F">
      <w:fldChar w:fldCharType="separate"/>
    </w:r>
    <w:r w:rsidR="004D1E95">
      <w:rPr>
        <w:noProof/>
      </w:rPr>
      <w:t>03-28-2017</w:t>
    </w:r>
    <w:r w:rsidR="00091E9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630375A"/>
    <w:multiLevelType w:val="multilevel"/>
    <w:tmpl w:val="13DAF178"/>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301D7CF2"/>
    <w:multiLevelType w:val="hybridMultilevel"/>
    <w:tmpl w:val="4066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26F57FA"/>
    <w:multiLevelType w:val="hybridMultilevel"/>
    <w:tmpl w:val="AAC28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007305"/>
    <w:multiLevelType w:val="hybridMultilevel"/>
    <w:tmpl w:val="96967456"/>
    <w:lvl w:ilvl="0" w:tplc="B704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57B87"/>
    <w:multiLevelType w:val="hybridMultilevel"/>
    <w:tmpl w:val="67F241D2"/>
    <w:lvl w:ilvl="0" w:tplc="B704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2435B"/>
    <w:multiLevelType w:val="hybridMultilevel"/>
    <w:tmpl w:val="EA8A5856"/>
    <w:lvl w:ilvl="0" w:tplc="16702DDE">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985960"/>
    <w:multiLevelType w:val="multilevel"/>
    <w:tmpl w:val="F3E2C72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324D8"/>
    <w:multiLevelType w:val="hybridMultilevel"/>
    <w:tmpl w:val="6C06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656FF"/>
    <w:multiLevelType w:val="hybridMultilevel"/>
    <w:tmpl w:val="6A48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8B7866"/>
    <w:multiLevelType w:val="hybridMultilevel"/>
    <w:tmpl w:val="4F4A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7"/>
  </w:num>
  <w:num w:numId="3">
    <w:abstractNumId w:val="0"/>
  </w:num>
  <w:num w:numId="4">
    <w:abstractNumId w:val="6"/>
  </w:num>
  <w:num w:numId="5">
    <w:abstractNumId w:val="3"/>
  </w:num>
  <w:num w:numId="6">
    <w:abstractNumId w:val="18"/>
  </w:num>
  <w:num w:numId="7">
    <w:abstractNumId w:val="1"/>
  </w:num>
  <w:num w:numId="8">
    <w:abstractNumId w:val="12"/>
  </w:num>
  <w:num w:numId="9">
    <w:abstractNumId w:val="14"/>
  </w:num>
  <w:num w:numId="10">
    <w:abstractNumId w:val="13"/>
  </w:num>
  <w:num w:numId="11">
    <w:abstractNumId w:val="4"/>
  </w:num>
  <w:num w:numId="12">
    <w:abstractNumId w:val="11"/>
  </w:num>
  <w:num w:numId="13">
    <w:abstractNumId w:val="8"/>
  </w:num>
  <w:num w:numId="14">
    <w:abstractNumId w:val="9"/>
  </w:num>
  <w:num w:numId="15">
    <w:abstractNumId w:val="10"/>
  </w:num>
  <w:num w:numId="16">
    <w:abstractNumId w:val="7"/>
  </w:num>
  <w:num w:numId="17">
    <w:abstractNumId w:val="5"/>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174DF"/>
    <w:rsid w:val="00051A92"/>
    <w:rsid w:val="0007249E"/>
    <w:rsid w:val="000769D9"/>
    <w:rsid w:val="00091E9F"/>
    <w:rsid w:val="00092F71"/>
    <w:rsid w:val="00095963"/>
    <w:rsid w:val="000A0793"/>
    <w:rsid w:val="000B56ED"/>
    <w:rsid w:val="000B690E"/>
    <w:rsid w:val="000C0A47"/>
    <w:rsid w:val="000C3451"/>
    <w:rsid w:val="00111EA7"/>
    <w:rsid w:val="00121714"/>
    <w:rsid w:val="0013226A"/>
    <w:rsid w:val="00144996"/>
    <w:rsid w:val="00173AC5"/>
    <w:rsid w:val="00174C6D"/>
    <w:rsid w:val="00181BAE"/>
    <w:rsid w:val="00186A79"/>
    <w:rsid w:val="001B543C"/>
    <w:rsid w:val="001B687A"/>
    <w:rsid w:val="001D1DA5"/>
    <w:rsid w:val="001E3C99"/>
    <w:rsid w:val="001F221D"/>
    <w:rsid w:val="00204B17"/>
    <w:rsid w:val="00227D11"/>
    <w:rsid w:val="0024031D"/>
    <w:rsid w:val="00243AAC"/>
    <w:rsid w:val="00254D5C"/>
    <w:rsid w:val="00256D30"/>
    <w:rsid w:val="002A2745"/>
    <w:rsid w:val="002B1D0A"/>
    <w:rsid w:val="002D4E8E"/>
    <w:rsid w:val="00310E03"/>
    <w:rsid w:val="00321B62"/>
    <w:rsid w:val="0032500C"/>
    <w:rsid w:val="003323AB"/>
    <w:rsid w:val="003342D3"/>
    <w:rsid w:val="00346A29"/>
    <w:rsid w:val="003615A3"/>
    <w:rsid w:val="00375D1F"/>
    <w:rsid w:val="00376A27"/>
    <w:rsid w:val="0039221F"/>
    <w:rsid w:val="003971F3"/>
    <w:rsid w:val="003B3901"/>
    <w:rsid w:val="003F7CE8"/>
    <w:rsid w:val="00426D4E"/>
    <w:rsid w:val="004801CE"/>
    <w:rsid w:val="00481CBC"/>
    <w:rsid w:val="004862C7"/>
    <w:rsid w:val="00497CE8"/>
    <w:rsid w:val="004A1A3C"/>
    <w:rsid w:val="004A60F9"/>
    <w:rsid w:val="004B1141"/>
    <w:rsid w:val="004C6DCC"/>
    <w:rsid w:val="004D1E95"/>
    <w:rsid w:val="004D54B9"/>
    <w:rsid w:val="004E3706"/>
    <w:rsid w:val="004F63FF"/>
    <w:rsid w:val="00512101"/>
    <w:rsid w:val="005204A0"/>
    <w:rsid w:val="005229E6"/>
    <w:rsid w:val="005516F6"/>
    <w:rsid w:val="005708D6"/>
    <w:rsid w:val="00574339"/>
    <w:rsid w:val="00585552"/>
    <w:rsid w:val="00592310"/>
    <w:rsid w:val="00596312"/>
    <w:rsid w:val="005A6397"/>
    <w:rsid w:val="005C3159"/>
    <w:rsid w:val="005C7ED8"/>
    <w:rsid w:val="006003D9"/>
    <w:rsid w:val="00631D6A"/>
    <w:rsid w:val="00662B97"/>
    <w:rsid w:val="006760F0"/>
    <w:rsid w:val="00684BAA"/>
    <w:rsid w:val="006B410C"/>
    <w:rsid w:val="006E467C"/>
    <w:rsid w:val="006F4ACD"/>
    <w:rsid w:val="007138FC"/>
    <w:rsid w:val="00713A0F"/>
    <w:rsid w:val="00714CF9"/>
    <w:rsid w:val="00746812"/>
    <w:rsid w:val="00762913"/>
    <w:rsid w:val="0078609F"/>
    <w:rsid w:val="007948D5"/>
    <w:rsid w:val="007C7A9A"/>
    <w:rsid w:val="007F5062"/>
    <w:rsid w:val="00884079"/>
    <w:rsid w:val="008A041E"/>
    <w:rsid w:val="008A207A"/>
    <w:rsid w:val="008E346C"/>
    <w:rsid w:val="008F3B04"/>
    <w:rsid w:val="0091728C"/>
    <w:rsid w:val="00924BE5"/>
    <w:rsid w:val="00940EF4"/>
    <w:rsid w:val="00941611"/>
    <w:rsid w:val="00954693"/>
    <w:rsid w:val="009D2F88"/>
    <w:rsid w:val="009E2F6A"/>
    <w:rsid w:val="009E50E4"/>
    <w:rsid w:val="009F6801"/>
    <w:rsid w:val="00A05316"/>
    <w:rsid w:val="00A21A92"/>
    <w:rsid w:val="00A24E51"/>
    <w:rsid w:val="00A2545E"/>
    <w:rsid w:val="00A33599"/>
    <w:rsid w:val="00A71FF0"/>
    <w:rsid w:val="00AA1AA9"/>
    <w:rsid w:val="00AA6748"/>
    <w:rsid w:val="00AB307D"/>
    <w:rsid w:val="00B477B5"/>
    <w:rsid w:val="00B62BC2"/>
    <w:rsid w:val="00B91072"/>
    <w:rsid w:val="00BB3F27"/>
    <w:rsid w:val="00BF6572"/>
    <w:rsid w:val="00C0458D"/>
    <w:rsid w:val="00C21071"/>
    <w:rsid w:val="00C41B68"/>
    <w:rsid w:val="00C47283"/>
    <w:rsid w:val="00C620F0"/>
    <w:rsid w:val="00C801B4"/>
    <w:rsid w:val="00C86C05"/>
    <w:rsid w:val="00C86E6E"/>
    <w:rsid w:val="00CB2143"/>
    <w:rsid w:val="00CB7073"/>
    <w:rsid w:val="00CC1AD5"/>
    <w:rsid w:val="00CD7477"/>
    <w:rsid w:val="00CD78EB"/>
    <w:rsid w:val="00CE79EF"/>
    <w:rsid w:val="00CF0B40"/>
    <w:rsid w:val="00CF4939"/>
    <w:rsid w:val="00CF5C1D"/>
    <w:rsid w:val="00D52EBD"/>
    <w:rsid w:val="00D91471"/>
    <w:rsid w:val="00D943D6"/>
    <w:rsid w:val="00DC2D90"/>
    <w:rsid w:val="00DF6A55"/>
    <w:rsid w:val="00E00163"/>
    <w:rsid w:val="00E00879"/>
    <w:rsid w:val="00E14F63"/>
    <w:rsid w:val="00E175CF"/>
    <w:rsid w:val="00E26245"/>
    <w:rsid w:val="00E31243"/>
    <w:rsid w:val="00E60EB6"/>
    <w:rsid w:val="00E62354"/>
    <w:rsid w:val="00E811AB"/>
    <w:rsid w:val="00E96704"/>
    <w:rsid w:val="00F062C6"/>
    <w:rsid w:val="00F20C99"/>
    <w:rsid w:val="00F330D9"/>
    <w:rsid w:val="00F56AF1"/>
    <w:rsid w:val="00F575AD"/>
    <w:rsid w:val="00F635B1"/>
    <w:rsid w:val="00F63A7D"/>
    <w:rsid w:val="00FA17E9"/>
    <w:rsid w:val="00FA317A"/>
    <w:rsid w:val="00FC6F3C"/>
    <w:rsid w:val="00FE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C4AB0D"/>
  <w15:docId w15:val="{3A994895-656D-438F-90FB-65D4795B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B690E"/>
    <w:rPr>
      <w:b/>
      <w:sz w:val="28"/>
    </w:rPr>
  </w:style>
  <w:style w:type="paragraph" w:styleId="BalloonText">
    <w:name w:val="Balloon Text"/>
    <w:basedOn w:val="Normal"/>
    <w:link w:val="BalloonTextChar"/>
    <w:rsid w:val="00BB3F27"/>
    <w:rPr>
      <w:rFonts w:ascii="Tahoma" w:hAnsi="Tahoma" w:cs="Tahoma"/>
      <w:sz w:val="16"/>
      <w:szCs w:val="16"/>
    </w:rPr>
  </w:style>
  <w:style w:type="character" w:customStyle="1" w:styleId="BalloonTextChar">
    <w:name w:val="Balloon Text Char"/>
    <w:basedOn w:val="DefaultParagraphFont"/>
    <w:link w:val="BalloonText"/>
    <w:rsid w:val="00BB3F27"/>
    <w:rPr>
      <w:rFonts w:ascii="Tahoma" w:hAnsi="Tahoma" w:cs="Tahoma"/>
      <w:sz w:val="16"/>
      <w:szCs w:val="16"/>
    </w:rPr>
  </w:style>
  <w:style w:type="character" w:styleId="FollowedHyperlink">
    <w:name w:val="FollowedHyperlink"/>
    <w:basedOn w:val="DefaultParagraphFont"/>
    <w:semiHidden/>
    <w:unhideWhenUsed/>
    <w:rsid w:val="004C6DCC"/>
    <w:rPr>
      <w:color w:val="800080" w:themeColor="followedHyperlink"/>
      <w:u w:val="single"/>
    </w:rPr>
  </w:style>
  <w:style w:type="paragraph" w:styleId="ListParagraph">
    <w:name w:val="List Paragraph"/>
    <w:basedOn w:val="Normal"/>
    <w:uiPriority w:val="34"/>
    <w:qFormat/>
    <w:rsid w:val="003971F3"/>
    <w:pPr>
      <w:ind w:left="720"/>
      <w:contextualSpacing/>
    </w:pPr>
  </w:style>
  <w:style w:type="character" w:customStyle="1" w:styleId="apple-converted-space">
    <w:name w:val="apple-converted-space"/>
    <w:basedOn w:val="DefaultParagraphFont"/>
    <w:rsid w:val="003971F3"/>
  </w:style>
  <w:style w:type="character" w:styleId="CommentReference">
    <w:name w:val="annotation reference"/>
    <w:basedOn w:val="DefaultParagraphFont"/>
    <w:semiHidden/>
    <w:unhideWhenUsed/>
    <w:rsid w:val="000A0793"/>
    <w:rPr>
      <w:sz w:val="16"/>
      <w:szCs w:val="16"/>
    </w:rPr>
  </w:style>
  <w:style w:type="paragraph" w:styleId="CommentText">
    <w:name w:val="annotation text"/>
    <w:basedOn w:val="Normal"/>
    <w:link w:val="CommentTextChar"/>
    <w:semiHidden/>
    <w:unhideWhenUsed/>
    <w:rsid w:val="000A0793"/>
    <w:rPr>
      <w:sz w:val="20"/>
    </w:rPr>
  </w:style>
  <w:style w:type="character" w:customStyle="1" w:styleId="CommentTextChar">
    <w:name w:val="Comment Text Char"/>
    <w:basedOn w:val="DefaultParagraphFont"/>
    <w:link w:val="CommentText"/>
    <w:semiHidden/>
    <w:rsid w:val="000A0793"/>
  </w:style>
  <w:style w:type="paragraph" w:styleId="CommentSubject">
    <w:name w:val="annotation subject"/>
    <w:basedOn w:val="CommentText"/>
    <w:next w:val="CommentText"/>
    <w:link w:val="CommentSubjectChar"/>
    <w:semiHidden/>
    <w:unhideWhenUsed/>
    <w:rsid w:val="000A0793"/>
    <w:rPr>
      <w:b/>
      <w:bCs/>
    </w:rPr>
  </w:style>
  <w:style w:type="character" w:customStyle="1" w:styleId="CommentSubjectChar">
    <w:name w:val="Comment Subject Char"/>
    <w:basedOn w:val="CommentTextChar"/>
    <w:link w:val="CommentSubject"/>
    <w:semiHidden/>
    <w:rsid w:val="000A0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50612">
      <w:bodyDiv w:val="1"/>
      <w:marLeft w:val="0"/>
      <w:marRight w:val="0"/>
      <w:marTop w:val="0"/>
      <w:marBottom w:val="0"/>
      <w:divBdr>
        <w:top w:val="none" w:sz="0" w:space="0" w:color="auto"/>
        <w:left w:val="none" w:sz="0" w:space="0" w:color="auto"/>
        <w:bottom w:val="none" w:sz="0" w:space="0" w:color="auto"/>
        <w:right w:val="none" w:sz="0" w:space="0" w:color="auto"/>
      </w:divBdr>
    </w:div>
    <w:div w:id="1229615438">
      <w:bodyDiv w:val="1"/>
      <w:marLeft w:val="0"/>
      <w:marRight w:val="0"/>
      <w:marTop w:val="0"/>
      <w:marBottom w:val="0"/>
      <w:divBdr>
        <w:top w:val="none" w:sz="0" w:space="0" w:color="auto"/>
        <w:left w:val="none" w:sz="0" w:space="0" w:color="auto"/>
        <w:bottom w:val="none" w:sz="0" w:space="0" w:color="auto"/>
        <w:right w:val="none" w:sz="0" w:space="0" w:color="auto"/>
      </w:divBdr>
    </w:div>
    <w:div w:id="1371799681">
      <w:bodyDiv w:val="1"/>
      <w:marLeft w:val="0"/>
      <w:marRight w:val="0"/>
      <w:marTop w:val="0"/>
      <w:marBottom w:val="0"/>
      <w:divBdr>
        <w:top w:val="none" w:sz="0" w:space="0" w:color="auto"/>
        <w:left w:val="none" w:sz="0" w:space="0" w:color="auto"/>
        <w:bottom w:val="none" w:sz="0" w:space="0" w:color="auto"/>
        <w:right w:val="none" w:sz="0" w:space="0" w:color="auto"/>
      </w:divBdr>
    </w:div>
    <w:div w:id="1445542578">
      <w:bodyDiv w:val="1"/>
      <w:marLeft w:val="0"/>
      <w:marRight w:val="0"/>
      <w:marTop w:val="0"/>
      <w:marBottom w:val="0"/>
      <w:divBdr>
        <w:top w:val="none" w:sz="0" w:space="0" w:color="auto"/>
        <w:left w:val="none" w:sz="0" w:space="0" w:color="auto"/>
        <w:bottom w:val="none" w:sz="0" w:space="0" w:color="auto"/>
        <w:right w:val="none" w:sz="0" w:space="0" w:color="auto"/>
      </w:divBdr>
    </w:div>
    <w:div w:id="1492023558">
      <w:bodyDiv w:val="1"/>
      <w:marLeft w:val="0"/>
      <w:marRight w:val="0"/>
      <w:marTop w:val="0"/>
      <w:marBottom w:val="0"/>
      <w:divBdr>
        <w:top w:val="none" w:sz="0" w:space="0" w:color="auto"/>
        <w:left w:val="none" w:sz="0" w:space="0" w:color="auto"/>
        <w:bottom w:val="none" w:sz="0" w:space="0" w:color="auto"/>
        <w:right w:val="none" w:sz="0" w:space="0" w:color="auto"/>
      </w:divBdr>
    </w:div>
    <w:div w:id="1635866596">
      <w:bodyDiv w:val="1"/>
      <w:marLeft w:val="0"/>
      <w:marRight w:val="0"/>
      <w:marTop w:val="0"/>
      <w:marBottom w:val="0"/>
      <w:divBdr>
        <w:top w:val="none" w:sz="0" w:space="0" w:color="auto"/>
        <w:left w:val="none" w:sz="0" w:space="0" w:color="auto"/>
        <w:bottom w:val="none" w:sz="0" w:space="0" w:color="auto"/>
        <w:right w:val="none" w:sz="0" w:space="0" w:color="auto"/>
      </w:divBdr>
    </w:div>
    <w:div w:id="1680623211">
      <w:bodyDiv w:val="1"/>
      <w:marLeft w:val="0"/>
      <w:marRight w:val="0"/>
      <w:marTop w:val="0"/>
      <w:marBottom w:val="0"/>
      <w:divBdr>
        <w:top w:val="none" w:sz="0" w:space="0" w:color="auto"/>
        <w:left w:val="none" w:sz="0" w:space="0" w:color="auto"/>
        <w:bottom w:val="none" w:sz="0" w:space="0" w:color="auto"/>
        <w:right w:val="none" w:sz="0" w:space="0" w:color="auto"/>
      </w:divBdr>
    </w:div>
    <w:div w:id="1711955628">
      <w:bodyDiv w:val="1"/>
      <w:marLeft w:val="0"/>
      <w:marRight w:val="0"/>
      <w:marTop w:val="0"/>
      <w:marBottom w:val="0"/>
      <w:divBdr>
        <w:top w:val="none" w:sz="0" w:space="0" w:color="auto"/>
        <w:left w:val="none" w:sz="0" w:space="0" w:color="auto"/>
        <w:bottom w:val="none" w:sz="0" w:space="0" w:color="auto"/>
        <w:right w:val="none" w:sz="0" w:space="0" w:color="auto"/>
      </w:divBdr>
    </w:div>
    <w:div w:id="18111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s.ul.com/service/safety-certific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l.com/customer-resources/faq/product-submittal-process-fa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l.com/customer-resources/faq/product-submittal-process-fa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ransition.fcc.gov/bureaus/oet/info/documents/bulletins/oet62/oet62rev.pdf" TargetMode="External"/><Relationship Id="rId4" Type="http://schemas.openxmlformats.org/officeDocument/2006/relationships/settings" Target="settings.xml"/><Relationship Id="rId9" Type="http://schemas.openxmlformats.org/officeDocument/2006/relationships/hyperlink" Target="https://www.fcc.gov/about-fcc/what-we-do"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68FAF-82C8-4BCF-996D-8F241E0ED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Austin Cole Giannotti</cp:lastModifiedBy>
  <cp:revision>5</cp:revision>
  <cp:lastPrinted>2001-01-10T18:54:00Z</cp:lastPrinted>
  <dcterms:created xsi:type="dcterms:W3CDTF">2017-03-25T03:35:00Z</dcterms:created>
  <dcterms:modified xsi:type="dcterms:W3CDTF">2017-05-01T19:42:00Z</dcterms:modified>
</cp:coreProperties>
</file>