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66618"/>
    <w:p w14:paraId="6B29889B">
      <w:r>
        <w:rPr>
          <w:rFonts w:hint="eastAsia"/>
          <w:lang w:val="en-US" w:eastAsia="zh-CN"/>
        </w:rPr>
        <w:t>一周新闻总览_</w:t>
      </w:r>
      <w:r>
        <w:t>我是一个投行部一名实习生,领导要求我编写上一周的周报,周报内容的其中一页需要对“中国经济网“-“股市滚动新 闻“的上周发债政策相关的要文,以及与发债</w:t>
      </w:r>
      <w:r>
        <w:rPr>
          <w:rFonts w:hint="eastAsia"/>
        </w:rPr>
        <w:t>或者经济</w:t>
      </w:r>
      <w:r>
        <w:t>相关的重要新闻（一共需要八条新闻，习近平相关的新闻放在最前面 ，前六条为全国性的</w:t>
      </w:r>
      <w:r>
        <w:rPr>
          <w:rFonts w:hint="eastAsia"/>
        </w:rPr>
        <w:t>，</w:t>
      </w:r>
      <w:r>
        <w:t>网站链接</w:t>
      </w:r>
      <w:bookmarkStart w:id="0" w:name="_GoBack"/>
      <w:bookmarkEnd w:id="0"/>
      <w:r>
        <w:t>为: http://finance.ce.cn,后两条为四川省的</w:t>
      </w:r>
      <w:r>
        <w:rPr>
          <w:rFonts w:hint="eastAsia"/>
        </w:rPr>
        <w:t>，</w:t>
      </w:r>
      <w:r>
        <w:t>从四川日报（https://epaper.scdaily.cn/））进行总结(</w:t>
      </w:r>
      <w:r>
        <w:rPr>
          <w:rFonts w:hint="eastAsia"/>
          <w:lang w:eastAsia="zh-CN"/>
        </w:rPr>
        <w:t>【】</w:t>
      </w:r>
      <w:r>
        <w:t>月</w:t>
      </w:r>
      <w:r>
        <w:rPr>
          <w:rFonts w:hint="eastAsia"/>
          <w:lang w:eastAsia="zh-CN"/>
        </w:rPr>
        <w:t>【】</w:t>
      </w:r>
      <w:r>
        <w:t>日-</w:t>
      </w:r>
      <w:r>
        <w:rPr>
          <w:rFonts w:hint="eastAsia"/>
          <w:lang w:eastAsia="zh-CN"/>
        </w:rPr>
        <w:t>【】</w:t>
      </w:r>
      <w:r>
        <w:t>月</w:t>
      </w:r>
      <w:r>
        <w:rPr>
          <w:rFonts w:hint="eastAsia"/>
          <w:lang w:eastAsia="zh-CN"/>
        </w:rPr>
        <w:t>【】</w:t>
      </w:r>
      <w:r>
        <w:t>日)请你帮我提取内容提取出的格式用表格表示:相关政策/新闻,政策/新闻概述,网站链接形成一 个表格,表格样式如图所示 Clipboard_Screenshot.png</w:t>
      </w:r>
      <w:r>
        <w:rPr>
          <w:rFonts w:hint="eastAsia"/>
        </w:rPr>
        <w:t>。</w:t>
      </w:r>
    </w:p>
    <w:p w14:paraId="70B05B16"/>
    <w:p w14:paraId="078D135C"/>
    <w:p w14:paraId="23158AD5">
      <w:r>
        <w:rPr>
          <w:rFonts w:hint="eastAsia"/>
          <w:lang w:val="en-US" w:eastAsia="zh-CN"/>
        </w:rPr>
        <w:t>四川省一周政党人协人事变动_</w:t>
      </w:r>
      <w:r>
        <w:t>查找四川地区近一周（</w:t>
      </w:r>
      <w:r>
        <w:rPr>
          <w:rFonts w:hint="eastAsia"/>
          <w:lang w:eastAsia="zh-CN"/>
        </w:rPr>
        <w:t>【】</w:t>
      </w:r>
      <w:r>
        <w:t>.</w:t>
      </w:r>
      <w:r>
        <w:rPr>
          <w:rFonts w:hint="eastAsia"/>
          <w:lang w:eastAsia="zh-CN"/>
        </w:rPr>
        <w:t>【】</w:t>
      </w:r>
      <w:r>
        <w:t>-</w:t>
      </w:r>
      <w:r>
        <w:rPr>
          <w:rFonts w:hint="eastAsia"/>
          <w:lang w:eastAsia="zh-CN"/>
        </w:rPr>
        <w:t>【】</w:t>
      </w:r>
      <w:r>
        <w:t>.</w:t>
      </w:r>
      <w:r>
        <w:rPr>
          <w:rFonts w:hint="eastAsia"/>
          <w:lang w:eastAsia="zh-CN"/>
        </w:rPr>
        <w:t>【】</w:t>
      </w:r>
      <w:r>
        <w:t>）重要人事变动，四套班子（政府、党委、人大、政协），重点关注一二把手，最低到区县一级即可，以及经济相关的财政局、国资委等单位。按下面的顺序给出：地区 姓名 任职 简历 原任职领导</w:t>
      </w:r>
      <w:r>
        <w:rPr>
          <w:rFonts w:hint="eastAsia"/>
        </w:rPr>
        <w:t>，做成excel表格。</w:t>
      </w:r>
    </w:p>
    <w:p w14:paraId="6C44F20C"/>
    <w:p w14:paraId="18FB1F9C">
      <w:r>
        <w:rPr>
          <w:rFonts w:hint="eastAsia"/>
          <w:lang w:val="en-US" w:eastAsia="zh-CN"/>
        </w:rPr>
        <w:t>四川省一周落马情况_</w:t>
      </w:r>
      <w:r>
        <w:t>需要列出近一周四川省（</w:t>
      </w:r>
      <w:r>
        <w:rPr>
          <w:rFonts w:hint="eastAsia"/>
          <w:lang w:eastAsia="zh-CN"/>
        </w:rPr>
        <w:t>【】</w:t>
      </w:r>
      <w:r>
        <w:t>.</w:t>
      </w:r>
      <w:r>
        <w:rPr>
          <w:rFonts w:hint="eastAsia"/>
          <w:lang w:eastAsia="zh-CN"/>
        </w:rPr>
        <w:t>【】</w:t>
      </w:r>
      <w:r>
        <w:t>-</w:t>
      </w:r>
      <w:r>
        <w:rPr>
          <w:rFonts w:hint="eastAsia"/>
          <w:lang w:eastAsia="zh-CN"/>
        </w:rPr>
        <w:t>【】</w:t>
      </w:r>
      <w:r>
        <w:t>.</w:t>
      </w:r>
      <w:r>
        <w:rPr>
          <w:rFonts w:hint="eastAsia"/>
          <w:lang w:eastAsia="zh-CN"/>
        </w:rPr>
        <w:t>【】</w:t>
      </w:r>
      <w:r>
        <w:t>）（政府领导、地方国企领导，不需要写学校、医院这些领导）的落马调查情况，内容在公众号“廉洁四川”，按</w:t>
      </w:r>
      <w:r>
        <w:rPr>
          <w:rFonts w:hint="eastAsia"/>
        </w:rPr>
        <w:t xml:space="preserve"> </w:t>
      </w:r>
      <w:r>
        <w:t>地区 公告时间 涉及单位 事件 这个顺序列出表格，可以参考图片中的格式</w:t>
      </w:r>
      <w:r>
        <w:rPr>
          <w:rFonts w:hint="eastAsia"/>
          <w:lang w:eastAsia="zh-CN"/>
        </w:rPr>
        <w:t>【】</w:t>
      </w:r>
      <w:r>
        <w:rPr>
          <w:rFonts w:hint="eastAsia"/>
        </w:rPr>
        <w:t>。做成excel表格。</w:t>
      </w:r>
    </w:p>
    <w:p w14:paraId="1CD8CDF2"/>
    <w:p w14:paraId="66240815">
      <w:r>
        <w:rPr>
          <w:rFonts w:hint="eastAsia"/>
          <w:lang w:val="en-US" w:eastAsia="zh-CN"/>
        </w:rPr>
        <w:t>四川省一周国有企业人事变动_</w:t>
      </w:r>
      <w:r>
        <w:t>我是一名投行经理，正在撰写债券周报，需要阅读以下pdf找出近一周四川省国有企业董事长/总经理变动情况</w:t>
      </w:r>
      <w:r>
        <w:rPr>
          <w:rFonts w:hint="eastAsia"/>
        </w:rPr>
        <w:t>，</w:t>
      </w:r>
      <w:r>
        <w:t>列出excel表格，排列顺序如下：序号 、公司名称 、姓名 、任职 、简历 、原任职领导</w:t>
      </w:r>
    </w:p>
    <w:p w14:paraId="17BE8623"/>
    <w:p w14:paraId="61ED8AC4">
      <w:pPr>
        <w:rPr>
          <w:rFonts w:hint="eastAsia" w:ascii="宋体" w:hAnsi="宋体" w:cs="宋体"/>
          <w:kern w:val="0"/>
          <w:szCs w:val="24"/>
        </w:rPr>
      </w:pPr>
      <w:r>
        <w:rPr>
          <w:rFonts w:hint="eastAsia"/>
        </w:rPr>
        <w:t>四川省</w:t>
      </w:r>
      <w:r>
        <w:rPr>
          <w:rFonts w:hint="eastAsia"/>
          <w:lang w:val="en-US" w:eastAsia="zh-CN"/>
        </w:rPr>
        <w:t>一周新发行债券_</w:t>
      </w:r>
      <w:r>
        <w:rPr>
          <w:rFonts w:ascii="宋体" w:hAnsi="宋体" w:eastAsia="宋体" w:cs="宋体"/>
          <w:sz w:val="24"/>
          <w:szCs w:val="24"/>
        </w:rPr>
        <w:t>据以上图片中的信息整理excel表格，总的顺序是：区域（哪个市）、发行人名称、债券简称、债券类型、主体评级、债项评级、起息日、发行规模、票面利率、发行期限、主承销商、和担保人、还有上市地点。票面利率和规模保留两位小数，票面利率的单位是百分位。如果有特殊期限，把期限的内容换成特殊期限的比如2Y+3Y。一般中期票据改成中期票据，一般公司债改成小公募。主承销商需要写简称。</w:t>
      </w:r>
    </w:p>
    <w:p w14:paraId="48DADACC"/>
    <w:p w14:paraId="3ABAB189">
      <w:pPr>
        <w:rPr>
          <w:rFonts w:hint="eastAsia" w:ascii="宋体" w:hAnsi="宋体" w:cs="宋体"/>
          <w:kern w:val="0"/>
          <w:szCs w:val="24"/>
        </w:rPr>
      </w:pPr>
      <w:r>
        <w:rPr>
          <w:rFonts w:hint="eastAsia" w:ascii="宋体" w:hAnsi="宋体" w:cs="宋体"/>
          <w:kern w:val="0"/>
          <w:szCs w:val="24"/>
        </w:rPr>
        <w:t>AA+</w:t>
      </w:r>
      <w:r>
        <w:rPr>
          <w:rFonts w:hint="eastAsia" w:ascii="宋体" w:hAnsi="宋体" w:cs="宋体"/>
          <w:kern w:val="0"/>
          <w:szCs w:val="24"/>
          <w:lang w:val="en-US" w:eastAsia="zh-CN"/>
        </w:rPr>
        <w:t>和AA公司的信息_</w:t>
      </w:r>
      <w:r>
        <w:rPr>
          <w:rFonts w:ascii="宋体" w:hAnsi="宋体" w:cs="宋体"/>
          <w:kern w:val="0"/>
          <w:szCs w:val="24"/>
        </w:rPr>
        <w:t>据以上图片中的信息整理excel表格，总的顺序是：</w:t>
      </w:r>
      <w:r>
        <w:rPr>
          <w:rFonts w:hint="eastAsia" w:ascii="宋体" w:hAnsi="宋体" w:cs="宋体"/>
          <w:kern w:val="0"/>
          <w:szCs w:val="24"/>
        </w:rPr>
        <w:t>担保情况，省份，</w:t>
      </w:r>
      <w:r>
        <w:rPr>
          <w:rFonts w:ascii="宋体" w:hAnsi="宋体" w:cs="宋体"/>
          <w:kern w:val="0"/>
          <w:szCs w:val="24"/>
        </w:rPr>
        <w:t>债券简称、发行人名称、发行规模、发行期限、主体评级、债项评级、票面利率、起息日、到期日、主承销商、债券类型和担保人。需要先按有无担保划分，然后按省份划分。票面利率和规模保留两位小数，票面利率的单位是百分位。</w:t>
      </w:r>
      <w:r>
        <w:t>如果有特殊期限，把期限的内容换成特殊期限的比如2Y+3Y</w:t>
      </w:r>
      <w:r>
        <w:rPr>
          <w:rFonts w:hint="eastAsia"/>
        </w:rPr>
        <w:t>。</w:t>
      </w:r>
      <w:r>
        <w:rPr>
          <w:rFonts w:hint="eastAsia" w:ascii="宋体" w:hAnsi="宋体" w:cs="宋体"/>
          <w:kern w:val="0"/>
          <w:szCs w:val="24"/>
        </w:rPr>
        <w:t>一般中期票据改成中期票据，一般公司债改成小公募。主承销商改成简称</w:t>
      </w:r>
    </w:p>
    <w:p w14:paraId="2739B880"/>
    <w:p w14:paraId="1B4F795E"/>
    <w:p w14:paraId="2BBF8489">
      <w:pPr>
        <w:rPr>
          <w:rFonts w:hint="eastAsia"/>
          <w:b w:val="0"/>
          <w:bCs w:val="0"/>
        </w:rPr>
      </w:pPr>
      <w:r>
        <w:rPr>
          <w:rFonts w:hint="eastAsia"/>
          <w:lang w:val="en-US" w:eastAsia="zh-CN"/>
        </w:rPr>
        <w:t>正在审核的_</w:t>
      </w:r>
      <w:r>
        <w:rPr>
          <w:rFonts w:hint="eastAsia"/>
        </w:rPr>
        <w:t>把这个excel表格按上交所、深交所、银行间分成3个sheet,excel各科目如下：</w:t>
      </w:r>
      <w:r>
        <w:rPr>
          <w:b w:val="0"/>
          <w:bCs w:val="0"/>
        </w:rPr>
        <w:t>债券名称</w:t>
      </w:r>
      <w:r>
        <w:rPr>
          <w:rFonts w:hint="eastAsia"/>
          <w:b w:val="0"/>
          <w:bCs w:val="0"/>
        </w:rPr>
        <w:t>、</w:t>
      </w:r>
      <w:r>
        <w:rPr>
          <w:b w:val="0"/>
          <w:bCs w:val="0"/>
        </w:rPr>
        <w:t>债券种类</w:t>
      </w:r>
      <w:r>
        <w:rPr>
          <w:rFonts w:hint="eastAsia"/>
          <w:b w:val="0"/>
          <w:bCs w:val="0"/>
        </w:rPr>
        <w:t>、</w:t>
      </w:r>
      <w:r>
        <w:rPr>
          <w:b w:val="0"/>
          <w:bCs w:val="0"/>
        </w:rPr>
        <w:t>项目状态</w:t>
      </w:r>
      <w:r>
        <w:rPr>
          <w:rFonts w:hint="eastAsia"/>
          <w:b w:val="0"/>
          <w:bCs w:val="0"/>
        </w:rPr>
        <w:t>、</w:t>
      </w:r>
      <w:r>
        <w:rPr>
          <w:b w:val="0"/>
          <w:bCs w:val="0"/>
        </w:rPr>
        <w:t>规模(亿)</w:t>
      </w:r>
      <w:r>
        <w:rPr>
          <w:rFonts w:hint="eastAsia"/>
          <w:b w:val="0"/>
          <w:bCs w:val="0"/>
        </w:rPr>
        <w:t>、</w:t>
      </w:r>
      <w:r>
        <w:rPr>
          <w:b w:val="0"/>
          <w:bCs w:val="0"/>
        </w:rPr>
        <w:t>主承销商</w:t>
      </w:r>
      <w:r>
        <w:rPr>
          <w:rFonts w:hint="eastAsia"/>
          <w:b w:val="0"/>
          <w:bCs w:val="0"/>
        </w:rPr>
        <w:t>、</w:t>
      </w:r>
      <w:r>
        <w:rPr>
          <w:b w:val="0"/>
          <w:bCs w:val="0"/>
        </w:rPr>
        <w:t>更新日期</w:t>
      </w:r>
      <w:r>
        <w:rPr>
          <w:rFonts w:hint="eastAsia"/>
          <w:b w:val="0"/>
          <w:bCs w:val="0"/>
        </w:rPr>
        <w:t>。规模保留两位小数，主承销商写简称。</w:t>
      </w:r>
    </w:p>
    <w:p w14:paraId="59E7F634">
      <w:pPr>
        <w:widowControl/>
        <w:jc w:val="left"/>
        <w:rPr>
          <w:rFonts w:hint="eastAsia" w:ascii="宋体" w:hAnsi="宋体" w:cs="宋体"/>
          <w:kern w:val="0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1E2CC6"/>
    <w:multiLevelType w:val="multilevel"/>
    <w:tmpl w:val="211E2CC6"/>
    <w:lvl w:ilvl="0" w:tentative="0">
      <w:start w:val="1"/>
      <w:numFmt w:val="chineseCounting"/>
      <w:pStyle w:val="2"/>
      <w:suff w:val="space"/>
      <w:lvlText w:val="第%1节"/>
      <w:lvlJc w:val="left"/>
      <w:pPr>
        <w:ind w:left="0" w:firstLine="0"/>
      </w:pPr>
      <w:rPr>
        <w:rFonts w:hint="eastAsia" w:ascii="黑体" w:hAnsi="黑体" w:eastAsia="黑体"/>
        <w:b w:val="0"/>
        <w:i w:val="0"/>
        <w:sz w:val="32"/>
      </w:rPr>
    </w:lvl>
    <w:lvl w:ilvl="1" w:tentative="0">
      <w:start w:val="1"/>
      <w:numFmt w:val="chineseCounting"/>
      <w:pStyle w:val="4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 w:tentative="0">
      <w:start w:val="1"/>
      <w:numFmt w:val="chineseCounting"/>
      <w:pStyle w:val="5"/>
      <w:suff w:val="nothing"/>
      <w:lvlText w:val="（%3）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pStyle w:val="6"/>
      <w:suff w:val="nothing"/>
      <w:lvlText w:val="%4、"/>
      <w:lvlJc w:val="left"/>
      <w:pPr>
        <w:ind w:left="0" w:firstLine="0"/>
      </w:pPr>
      <w:rPr>
        <w:rFonts w:hint="default" w:ascii="Times New Roman" w:hAnsi="Times New Roman" w:cs="Times New Roman"/>
        <w:b/>
        <w:i w:val="0"/>
        <w:sz w:val="24"/>
      </w:rPr>
    </w:lvl>
    <w:lvl w:ilvl="4" w:tentative="0">
      <w:start w:val="1"/>
      <w:numFmt w:val="decimal"/>
      <w:pStyle w:val="7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0"/>
      </w:pPr>
      <w:rPr>
        <w:rFonts w:hint="default" w:ascii="Times New Roman" w:hAnsi="Times New Roman" w:cs="Times New Roman"/>
        <w:b w:val="0"/>
        <w:i w:val="0"/>
        <w:sz w:val="24"/>
        <w:u w:val="none"/>
      </w:rPr>
    </w:lvl>
    <w:lvl w:ilvl="6" w:tentative="0">
      <w:start w:val="1"/>
      <w:numFmt w:val="decimalEnclosedCircle"/>
      <w:pStyle w:val="9"/>
      <w:suff w:val="nothing"/>
      <w:lvlText w:val="%7"/>
      <w:lvlJc w:val="left"/>
      <w:pPr>
        <w:ind w:left="0" w:firstLine="0"/>
      </w:pPr>
      <w:rPr>
        <w:rFonts w:hint="default" w:ascii="Times New Roman" w:hAnsi="Times New Roman" w:cs="Times New Roman"/>
        <w:b w:val="0"/>
        <w:i w:val="0"/>
        <w:sz w:val="24"/>
        <w:lang w:val="en-US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9E9"/>
    <w:rsid w:val="00003434"/>
    <w:rsid w:val="00012CE2"/>
    <w:rsid w:val="0003667D"/>
    <w:rsid w:val="00060647"/>
    <w:rsid w:val="00075A78"/>
    <w:rsid w:val="00087737"/>
    <w:rsid w:val="000E0BD4"/>
    <w:rsid w:val="00120D4F"/>
    <w:rsid w:val="00151ADE"/>
    <w:rsid w:val="00192BDD"/>
    <w:rsid w:val="001A2596"/>
    <w:rsid w:val="001D5664"/>
    <w:rsid w:val="001D6FBF"/>
    <w:rsid w:val="001D7DC1"/>
    <w:rsid w:val="001E7971"/>
    <w:rsid w:val="001F5C2F"/>
    <w:rsid w:val="002003CE"/>
    <w:rsid w:val="002117AC"/>
    <w:rsid w:val="00221BF8"/>
    <w:rsid w:val="002275FA"/>
    <w:rsid w:val="00252422"/>
    <w:rsid w:val="002752B9"/>
    <w:rsid w:val="00284A88"/>
    <w:rsid w:val="002919E1"/>
    <w:rsid w:val="002A5932"/>
    <w:rsid w:val="00301862"/>
    <w:rsid w:val="0031037B"/>
    <w:rsid w:val="00323F3C"/>
    <w:rsid w:val="00324F72"/>
    <w:rsid w:val="00340763"/>
    <w:rsid w:val="00351917"/>
    <w:rsid w:val="003665BA"/>
    <w:rsid w:val="00370753"/>
    <w:rsid w:val="00382926"/>
    <w:rsid w:val="003A3C28"/>
    <w:rsid w:val="003A6F9C"/>
    <w:rsid w:val="003C1E07"/>
    <w:rsid w:val="003E2E84"/>
    <w:rsid w:val="00425BB5"/>
    <w:rsid w:val="004317BB"/>
    <w:rsid w:val="004463CD"/>
    <w:rsid w:val="00460ACC"/>
    <w:rsid w:val="004A09A3"/>
    <w:rsid w:val="004B1074"/>
    <w:rsid w:val="004C3C12"/>
    <w:rsid w:val="004D142A"/>
    <w:rsid w:val="005075E2"/>
    <w:rsid w:val="00510AEF"/>
    <w:rsid w:val="00543AA2"/>
    <w:rsid w:val="005471C0"/>
    <w:rsid w:val="00556977"/>
    <w:rsid w:val="0056049C"/>
    <w:rsid w:val="00565C78"/>
    <w:rsid w:val="0058586B"/>
    <w:rsid w:val="005B7287"/>
    <w:rsid w:val="005D2F41"/>
    <w:rsid w:val="00614719"/>
    <w:rsid w:val="00617713"/>
    <w:rsid w:val="00630214"/>
    <w:rsid w:val="00635CD3"/>
    <w:rsid w:val="00647EBA"/>
    <w:rsid w:val="00651980"/>
    <w:rsid w:val="0069044E"/>
    <w:rsid w:val="006A19E9"/>
    <w:rsid w:val="006A3ECA"/>
    <w:rsid w:val="006A3ECB"/>
    <w:rsid w:val="006B6478"/>
    <w:rsid w:val="006C23CC"/>
    <w:rsid w:val="006E0FD6"/>
    <w:rsid w:val="006E15DD"/>
    <w:rsid w:val="00701130"/>
    <w:rsid w:val="007279B8"/>
    <w:rsid w:val="00734BE6"/>
    <w:rsid w:val="00746AB1"/>
    <w:rsid w:val="0076144B"/>
    <w:rsid w:val="00764380"/>
    <w:rsid w:val="007650DC"/>
    <w:rsid w:val="00781F7D"/>
    <w:rsid w:val="00797315"/>
    <w:rsid w:val="007B6A94"/>
    <w:rsid w:val="007C0D6A"/>
    <w:rsid w:val="007E13FD"/>
    <w:rsid w:val="007E1548"/>
    <w:rsid w:val="007F3296"/>
    <w:rsid w:val="008308A2"/>
    <w:rsid w:val="00834876"/>
    <w:rsid w:val="00836BBC"/>
    <w:rsid w:val="00842733"/>
    <w:rsid w:val="00852505"/>
    <w:rsid w:val="00874050"/>
    <w:rsid w:val="0088215C"/>
    <w:rsid w:val="008B2704"/>
    <w:rsid w:val="008B42A3"/>
    <w:rsid w:val="008C2120"/>
    <w:rsid w:val="008C54B6"/>
    <w:rsid w:val="008E4294"/>
    <w:rsid w:val="00913A3E"/>
    <w:rsid w:val="00914A2B"/>
    <w:rsid w:val="0091604F"/>
    <w:rsid w:val="00934D41"/>
    <w:rsid w:val="00945598"/>
    <w:rsid w:val="009735CC"/>
    <w:rsid w:val="009B4D25"/>
    <w:rsid w:val="009B7F1B"/>
    <w:rsid w:val="009D1834"/>
    <w:rsid w:val="009E33F5"/>
    <w:rsid w:val="00A0229E"/>
    <w:rsid w:val="00A10F3E"/>
    <w:rsid w:val="00A21B70"/>
    <w:rsid w:val="00A3142C"/>
    <w:rsid w:val="00A36504"/>
    <w:rsid w:val="00A41BDE"/>
    <w:rsid w:val="00A43C18"/>
    <w:rsid w:val="00A47184"/>
    <w:rsid w:val="00A548F4"/>
    <w:rsid w:val="00A54B60"/>
    <w:rsid w:val="00A57224"/>
    <w:rsid w:val="00A6382A"/>
    <w:rsid w:val="00A730E8"/>
    <w:rsid w:val="00A73D06"/>
    <w:rsid w:val="00AA47C9"/>
    <w:rsid w:val="00AB2357"/>
    <w:rsid w:val="00AB2B57"/>
    <w:rsid w:val="00AC7233"/>
    <w:rsid w:val="00AD0821"/>
    <w:rsid w:val="00AF2045"/>
    <w:rsid w:val="00B06A78"/>
    <w:rsid w:val="00B16710"/>
    <w:rsid w:val="00B339CB"/>
    <w:rsid w:val="00B345DC"/>
    <w:rsid w:val="00B45C73"/>
    <w:rsid w:val="00B62C71"/>
    <w:rsid w:val="00B842E7"/>
    <w:rsid w:val="00B84492"/>
    <w:rsid w:val="00B9703A"/>
    <w:rsid w:val="00BA65E3"/>
    <w:rsid w:val="00BB37A4"/>
    <w:rsid w:val="00BB3DFD"/>
    <w:rsid w:val="00C1198B"/>
    <w:rsid w:val="00C33045"/>
    <w:rsid w:val="00C97EBD"/>
    <w:rsid w:val="00CB5808"/>
    <w:rsid w:val="00CB6D32"/>
    <w:rsid w:val="00CD2729"/>
    <w:rsid w:val="00CE5A5C"/>
    <w:rsid w:val="00CF567A"/>
    <w:rsid w:val="00D0340A"/>
    <w:rsid w:val="00D370BC"/>
    <w:rsid w:val="00D72A84"/>
    <w:rsid w:val="00D96BA1"/>
    <w:rsid w:val="00DA0CEA"/>
    <w:rsid w:val="00DB61BD"/>
    <w:rsid w:val="00DB6713"/>
    <w:rsid w:val="00DC3CD2"/>
    <w:rsid w:val="00DC5D00"/>
    <w:rsid w:val="00DE236F"/>
    <w:rsid w:val="00E3283D"/>
    <w:rsid w:val="00E37C2E"/>
    <w:rsid w:val="00E37D3F"/>
    <w:rsid w:val="00E56E4C"/>
    <w:rsid w:val="00E80272"/>
    <w:rsid w:val="00E93E8C"/>
    <w:rsid w:val="00EA14F1"/>
    <w:rsid w:val="00EE0117"/>
    <w:rsid w:val="00F02DE8"/>
    <w:rsid w:val="00F03CE5"/>
    <w:rsid w:val="00F05EF2"/>
    <w:rsid w:val="00F10522"/>
    <w:rsid w:val="00F1454F"/>
    <w:rsid w:val="00F14848"/>
    <w:rsid w:val="00F14C1E"/>
    <w:rsid w:val="00F22152"/>
    <w:rsid w:val="00F319B5"/>
    <w:rsid w:val="00F576E7"/>
    <w:rsid w:val="00FA36D7"/>
    <w:rsid w:val="00FC5D63"/>
    <w:rsid w:val="00FD666B"/>
    <w:rsid w:val="00FE3A01"/>
    <w:rsid w:val="00FF2DE4"/>
    <w:rsid w:val="00FF3803"/>
    <w:rsid w:val="00FF625A"/>
    <w:rsid w:val="0D660F9A"/>
    <w:rsid w:val="31900AF9"/>
    <w:rsid w:val="5B1F5716"/>
    <w:rsid w:val="5E7C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2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next w:val="3"/>
    <w:link w:val="20"/>
    <w:autoRedefine/>
    <w:qFormat/>
    <w:uiPriority w:val="1"/>
    <w:pPr>
      <w:keepNext/>
      <w:keepLines/>
      <w:pageBreakBefore/>
      <w:numPr>
        <w:ilvl w:val="0"/>
        <w:numId w:val="1"/>
      </w:numPr>
      <w:spacing w:before="50" w:beforeLines="50" w:after="50" w:afterLines="50" w:line="360" w:lineRule="auto"/>
      <w:jc w:val="center"/>
      <w:outlineLvl w:val="0"/>
    </w:pPr>
    <w:rPr>
      <w:rFonts w:ascii="Times New Roman" w:hAnsi="Times New Roman" w:eastAsia="黑体" w:cs="Times New Roman"/>
      <w:bCs/>
      <w:kern w:val="0"/>
      <w:sz w:val="32"/>
      <w:szCs w:val="44"/>
      <w:lang w:val="en-US" w:eastAsia="zh-CN" w:bidi="ar-SA"/>
    </w:rPr>
  </w:style>
  <w:style w:type="paragraph" w:styleId="4">
    <w:name w:val="heading 2"/>
    <w:next w:val="3"/>
    <w:link w:val="21"/>
    <w:autoRedefine/>
    <w:qFormat/>
    <w:uiPriority w:val="1"/>
    <w:pPr>
      <w:keepNext/>
      <w:keepLines/>
      <w:numPr>
        <w:ilvl w:val="1"/>
        <w:numId w:val="1"/>
      </w:numPr>
      <w:spacing w:before="50" w:beforeLines="50" w:afterLines="50" w:line="360" w:lineRule="auto"/>
      <w:jc w:val="both"/>
      <w:outlineLvl w:val="1"/>
    </w:pPr>
    <w:rPr>
      <w:rFonts w:ascii="Times New Roman" w:hAnsi="Times New Roman" w:eastAsia="黑体" w:cs="Times New Roman"/>
      <w:bCs/>
      <w:kern w:val="2"/>
      <w:sz w:val="28"/>
      <w:szCs w:val="32"/>
      <w:lang w:val="en-US" w:eastAsia="zh-CN" w:bidi="ar-SA"/>
    </w:rPr>
  </w:style>
  <w:style w:type="paragraph" w:styleId="5">
    <w:name w:val="heading 3"/>
    <w:next w:val="3"/>
    <w:link w:val="22"/>
    <w:autoRedefine/>
    <w:qFormat/>
    <w:uiPriority w:val="1"/>
    <w:pPr>
      <w:keepNext/>
      <w:keepLines/>
      <w:numPr>
        <w:ilvl w:val="2"/>
        <w:numId w:val="1"/>
      </w:numPr>
      <w:spacing w:before="50" w:beforeLines="50" w:afterLines="50" w:line="360" w:lineRule="auto"/>
      <w:jc w:val="both"/>
      <w:outlineLvl w:val="2"/>
    </w:pPr>
    <w:rPr>
      <w:rFonts w:ascii="Times New Roman" w:hAnsi="Times New Roman" w:eastAsia="黑体" w:cs="Times New Roman"/>
      <w:bCs/>
      <w:color w:val="000000"/>
      <w:kern w:val="0"/>
      <w:sz w:val="24"/>
      <w:szCs w:val="24"/>
      <w:lang w:val="en-US" w:eastAsia="ar-SA" w:bidi="ar-SA"/>
    </w:rPr>
  </w:style>
  <w:style w:type="paragraph" w:styleId="6">
    <w:name w:val="heading 4"/>
    <w:next w:val="3"/>
    <w:link w:val="23"/>
    <w:autoRedefine/>
    <w:qFormat/>
    <w:uiPriority w:val="1"/>
    <w:pPr>
      <w:keepNext/>
      <w:keepLines/>
      <w:numPr>
        <w:ilvl w:val="3"/>
        <w:numId w:val="1"/>
      </w:numPr>
      <w:spacing w:before="50" w:beforeLines="50" w:after="50" w:afterLines="5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4"/>
      <w:szCs w:val="28"/>
      <w:lang w:val="en-US" w:eastAsia="zh-CN" w:bidi="ar-SA"/>
    </w:rPr>
  </w:style>
  <w:style w:type="paragraph" w:styleId="7">
    <w:name w:val="heading 5"/>
    <w:next w:val="3"/>
    <w:link w:val="24"/>
    <w:autoRedefine/>
    <w:qFormat/>
    <w:uiPriority w:val="1"/>
    <w:pPr>
      <w:keepNext/>
      <w:keepLines/>
      <w:numPr>
        <w:ilvl w:val="4"/>
        <w:numId w:val="1"/>
      </w:numPr>
      <w:spacing w:before="50" w:beforeLines="50" w:after="50" w:afterLines="50" w:line="360" w:lineRule="auto"/>
      <w:ind w:firstLine="482"/>
      <w:outlineLvl w:val="4"/>
    </w:pPr>
    <w:rPr>
      <w:rFonts w:ascii="Times New Roman" w:hAnsi="Times New Roman" w:eastAsia="宋体" w:cs="Times New Roman"/>
      <w:bCs/>
      <w:kern w:val="2"/>
      <w:sz w:val="24"/>
      <w:szCs w:val="28"/>
      <w:lang w:val="en-US" w:eastAsia="zh-CN" w:bidi="ar-SA"/>
    </w:rPr>
  </w:style>
  <w:style w:type="paragraph" w:styleId="8">
    <w:name w:val="heading 6"/>
    <w:next w:val="3"/>
    <w:link w:val="25"/>
    <w:autoRedefine/>
    <w:qFormat/>
    <w:uiPriority w:val="1"/>
    <w:pPr>
      <w:numPr>
        <w:ilvl w:val="5"/>
        <w:numId w:val="1"/>
      </w:numPr>
      <w:spacing w:before="50" w:beforeLines="50" w:after="50" w:afterLines="50" w:line="360" w:lineRule="auto"/>
      <w:jc w:val="both"/>
      <w:outlineLvl w:val="5"/>
    </w:pPr>
    <w:rPr>
      <w:rFonts w:ascii="Times New Roman" w:hAnsi="Times New Roman" w:eastAsia="宋体" w:cs="Times New Roman"/>
      <w:bCs/>
      <w:kern w:val="2"/>
      <w:sz w:val="24"/>
      <w:szCs w:val="24"/>
      <w:lang w:val="en-US" w:eastAsia="zh-CN" w:bidi="ar-SA"/>
    </w:rPr>
  </w:style>
  <w:style w:type="paragraph" w:styleId="9">
    <w:name w:val="heading 7"/>
    <w:next w:val="3"/>
    <w:link w:val="26"/>
    <w:autoRedefine/>
    <w:unhideWhenUsed/>
    <w:qFormat/>
    <w:uiPriority w:val="2"/>
    <w:pPr>
      <w:keepNext/>
      <w:keepLines/>
      <w:numPr>
        <w:ilvl w:val="6"/>
        <w:numId w:val="1"/>
      </w:numPr>
      <w:spacing w:before="50" w:beforeLines="50" w:after="50" w:afterLines="50" w:line="360" w:lineRule="auto"/>
      <w:outlineLvl w:val="6"/>
    </w:pPr>
    <w:rPr>
      <w:rFonts w:ascii="Times New Roman" w:hAnsi="Times New Roman" w:eastAsia="宋体" w:cs="Times New Roman"/>
      <w:bCs/>
      <w:kern w:val="2"/>
      <w:sz w:val="24"/>
      <w:szCs w:val="24"/>
      <w:lang w:val="en-US" w:eastAsia="zh-CN" w:bidi="ar-SA"/>
    </w:rPr>
  </w:style>
  <w:style w:type="paragraph" w:styleId="10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autoRedefine/>
    <w:qFormat/>
    <w:uiPriority w:val="0"/>
    <w:pPr>
      <w:spacing w:before="50" w:beforeLines="50"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3"/>
      <w:lang w:val="en-US" w:eastAsia="zh-CN" w:bidi="ar-SA"/>
    </w:rPr>
  </w:style>
  <w:style w:type="paragraph" w:styleId="12">
    <w:name w:val="Body Text"/>
    <w:basedOn w:val="1"/>
    <w:link w:val="31"/>
    <w:autoRedefine/>
    <w:qFormat/>
    <w:uiPriority w:val="0"/>
    <w:pPr>
      <w:widowControl/>
      <w:spacing w:before="100" w:beforeAutospacing="1" w:after="100" w:afterAutospacing="1"/>
    </w:pPr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  <w:rPr>
      <w:rFonts w:eastAsia="黑体"/>
    </w:rPr>
  </w:style>
  <w:style w:type="paragraph" w:styleId="14">
    <w:name w:val="toc 1"/>
    <w:basedOn w:val="1"/>
    <w:next w:val="1"/>
    <w:autoRedefine/>
    <w:unhideWhenUsed/>
    <w:qFormat/>
    <w:uiPriority w:val="39"/>
    <w:rPr>
      <w:rFonts w:eastAsia="黑体"/>
    </w:rPr>
  </w:style>
  <w:style w:type="paragraph" w:styleId="15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420" w:leftChars="200"/>
    </w:pPr>
    <w:rPr>
      <w:rFonts w:eastAsia="黑体"/>
    </w:rPr>
  </w:style>
  <w:style w:type="paragraph" w:styleId="17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标题 1 字符"/>
    <w:basedOn w:val="19"/>
    <w:link w:val="2"/>
    <w:qFormat/>
    <w:uiPriority w:val="1"/>
    <w:rPr>
      <w:rFonts w:ascii="Times New Roman" w:hAnsi="Times New Roman" w:eastAsia="黑体" w:cs="Times New Roman"/>
      <w:bCs/>
      <w:kern w:val="0"/>
      <w:sz w:val="32"/>
      <w:szCs w:val="44"/>
    </w:rPr>
  </w:style>
  <w:style w:type="character" w:customStyle="1" w:styleId="21">
    <w:name w:val="标题 2 字符"/>
    <w:basedOn w:val="19"/>
    <w:link w:val="4"/>
    <w:qFormat/>
    <w:uiPriority w:val="1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22">
    <w:name w:val="标题 3 字符"/>
    <w:basedOn w:val="19"/>
    <w:link w:val="5"/>
    <w:qFormat/>
    <w:uiPriority w:val="1"/>
    <w:rPr>
      <w:rFonts w:ascii="Times New Roman" w:hAnsi="Times New Roman" w:eastAsia="黑体" w:cs="Times New Roman"/>
      <w:bCs/>
      <w:color w:val="000000"/>
      <w:kern w:val="0"/>
      <w:sz w:val="24"/>
      <w:szCs w:val="24"/>
      <w:lang w:eastAsia="ar-SA"/>
    </w:rPr>
  </w:style>
  <w:style w:type="character" w:customStyle="1" w:styleId="23">
    <w:name w:val="标题 4 字符"/>
    <w:basedOn w:val="19"/>
    <w:link w:val="6"/>
    <w:qFormat/>
    <w:uiPriority w:val="1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24">
    <w:name w:val="标题 5 字符"/>
    <w:basedOn w:val="19"/>
    <w:link w:val="7"/>
    <w:qFormat/>
    <w:uiPriority w:val="1"/>
    <w:rPr>
      <w:rFonts w:ascii="Times New Roman" w:hAnsi="Times New Roman" w:eastAsia="宋体" w:cs="Times New Roman"/>
      <w:bCs/>
      <w:sz w:val="24"/>
      <w:szCs w:val="28"/>
    </w:rPr>
  </w:style>
  <w:style w:type="character" w:customStyle="1" w:styleId="25">
    <w:name w:val="标题 6 字符"/>
    <w:basedOn w:val="19"/>
    <w:link w:val="8"/>
    <w:qFormat/>
    <w:uiPriority w:val="1"/>
    <w:rPr>
      <w:rFonts w:ascii="Times New Roman" w:hAnsi="Times New Roman" w:eastAsia="宋体" w:cs="Times New Roman"/>
      <w:bCs/>
      <w:sz w:val="24"/>
      <w:szCs w:val="24"/>
    </w:rPr>
  </w:style>
  <w:style w:type="character" w:customStyle="1" w:styleId="26">
    <w:name w:val="标题 7 字符"/>
    <w:basedOn w:val="19"/>
    <w:link w:val="9"/>
    <w:qFormat/>
    <w:uiPriority w:val="2"/>
    <w:rPr>
      <w:rFonts w:ascii="Times New Roman" w:hAnsi="Times New Roman" w:eastAsia="宋体" w:cs="Times New Roman"/>
      <w:bCs/>
      <w:sz w:val="24"/>
      <w:szCs w:val="24"/>
    </w:rPr>
  </w:style>
  <w:style w:type="paragraph" w:customStyle="1" w:styleId="27">
    <w:name w:val="表格后说明"/>
    <w:next w:val="3"/>
    <w:autoRedefine/>
    <w:qFormat/>
    <w:uiPriority w:val="3"/>
    <w:pPr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28">
    <w:name w:val="表格前单位"/>
    <w:next w:val="3"/>
    <w:autoRedefine/>
    <w:qFormat/>
    <w:uiPriority w:val="2"/>
    <w:pPr>
      <w:keepNext/>
      <w:jc w:val="righ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table" w:customStyle="1" w:styleId="29">
    <w:name w:val="报告表格"/>
    <w:basedOn w:val="18"/>
    <w:qFormat/>
    <w:uiPriority w:val="99"/>
    <w:rPr>
      <w:sz w:val="18"/>
    </w:rPr>
  </w:style>
  <w:style w:type="paragraph" w:customStyle="1" w:styleId="30">
    <w:name w:val="TOC Heading"/>
    <w:basedOn w:val="2"/>
    <w:next w:val="1"/>
    <w:unhideWhenUsed/>
    <w:qFormat/>
    <w:uiPriority w:val="39"/>
    <w:pPr>
      <w:pageBreakBefore w:val="0"/>
      <w:numPr>
        <w:numId w:val="0"/>
      </w:numPr>
      <w:snapToGrid w:val="0"/>
      <w:spacing w:before="240" w:beforeLines="0" w:after="0" w:afterLines="0" w:line="259" w:lineRule="auto"/>
      <w:outlineLvl w:val="9"/>
    </w:pPr>
    <w:rPr>
      <w:bCs w:val="0"/>
      <w:szCs w:val="32"/>
    </w:rPr>
  </w:style>
  <w:style w:type="character" w:customStyle="1" w:styleId="31">
    <w:name w:val="正文文本 字符"/>
    <w:basedOn w:val="19"/>
    <w:link w:val="12"/>
    <w:qFormat/>
    <w:uiPriority w:val="0"/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character" w:customStyle="1" w:styleId="32">
    <w:name w:val="标题 8 字符"/>
    <w:basedOn w:val="19"/>
    <w:link w:val="10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9"/>
    <w:link w:val="11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9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9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9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9"/>
    <w:link w:val="40"/>
    <w:qFormat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949</Words>
  <Characters>1102</Characters>
  <Lines>7</Lines>
  <Paragraphs>2</Paragraphs>
  <TotalTime>3312</TotalTime>
  <ScaleCrop>false</ScaleCrop>
  <LinksUpToDate>false</LinksUpToDate>
  <CharactersWithSpaces>1121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2026-08-07T07:21:00Z</dcterms:created>
  <dc:creator>Guiya Xu</dc:creator>
  <cp:lastModifiedBy>徐贵丫</cp:lastModifiedBy>
  <dcterms:modified xsi:type="dcterms:W3CDTF">2026-09-10T06:23:08Z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eyJoZGlkIjoiNzhmMWJlZjlhYzYxYTRlZjUyZjY1NGQzODdlNTIzNjUiLCJ1c2VySWQiOiIxNzU0MDY2NDUyIn0=</vt:lpwstr>
  </property>
  <property fmtid="{D5CDD505-2E9C-101B-9397-08002B2CF9AE}" pid="3" name="KSOProductBuildVer">
    <vt:lpwstr>2052-12.1.0.28505</vt:lpwstr>
  </property>
  <property fmtid="{D5CDD505-2E9C-101B-9397-08002B2CF9AE}" pid="4" name="ICV">
    <vt:lpwstr>19D024CD784649918310A97103CE5DBC_12</vt:lpwstr>
  </property>
</Properties>
</file>