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2" w:name="X0b22bf6df29d4855adc13b37f033195bc669984"/>
    <w:p>
      <w:pPr>
        <w:pStyle w:val="Heading2"/>
      </w:pPr>
      <w:r>
        <w:rPr>
          <w:lang w:val="de"/>
        </w:rPr>
        <w:t xml:space="preserve">Vision — was das Programm am Ende können soll</w:t>
      </w:r>
    </w:p>
    <w:p>
      <w:pPr>
        <w:pStyle w:val="FirstParagraph"/>
      </w:pPr>
      <w:r>
        <w:rPr>
          <w:lang w:val="de"/>
        </w:rPr>
        <w:t xml:space="preserve">Ein Satz vorweg, an dem sich alles Weitere messen lassen muss:</w:t>
      </w:r>
    </w:p>
    <w:p>
      <w:pPr>
        <w:pStyle w:val="BlockText"/>
      </w:pPr>
      <w:r>
        <w:rPr>
          <w:b/>
          <w:bCs/>
          <w:lang w:val="de"/>
        </w:rPr>
        <w:t xml:space="preserve">Eine einzelne Leistungserbringerin rechnet ihre Leistungen selbst mit den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gesetzlichen Kassen ab — ohne Abrechnungsstelle, ohne Fachwissen über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Datenformat und ohne die Sorge, dass eine fehlerhafte Datei erst Wochen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später auffällt.</w:t>
      </w:r>
    </w:p>
    <w:p>
      <w:pPr>
        <w:pStyle w:val="FirstParagraph"/>
      </w:pPr>
      <w:r>
        <w:rPr>
          <w:lang w:val="de"/>
        </w:rPr>
        <w:t xml:space="preserve">Ausformuliert heißt das: am Ende kann das Programm 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kann das Programm …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Woran man merkt, dass es stimmt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versicherte Personen, die Leistungserbringerin, Leistungsfälle und was sie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Kurs ist in wenigen Minuten erfasst, ohne Handbuch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 einem Zeitraum eine Lieferung erzeugen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 Empfänger eine, im vorgeschriebenen 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„März, diese drei Kurse” wird eine fertige Datei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Vor dem Versand prüfen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in verständlicher Sprache sagen, was 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Bericht nennt die Stelle und was zu tun ist, nicht nur den Feldnamen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zustellen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auf dem vorgeschriebenen Weg, an die zuständige Datenannahmestelle, verschlüsselt und signiert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nimmt sie an, ohne dass jemand nachfassen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Antwort einordnen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angenommen, fachlich zurückgewiesen, Syntaxfehler, technischer Fehler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 nach dem Lesen, ob sie korrigieren, neu erzeugen oder nur erneut senden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 Zurückweisung nachbearbeiten</w:t>
            </w:r>
            <w:r>
              <w:rPr>
                <w:lang w:val="de"/>
              </w:rPr>
              <w:t xml:space="preserve">, ohne alles neu zu erfassen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korrigierte Abrechnung geht als neue Lieferung hinaus, mit sauberer Nummer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Einen weiteren Leistungsbereich aufnehmen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Einträge, nicht über Umbau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Rehabilitationssport neben Hebammenhilfe, ohne dass eine Klasse sich 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Sich rechnen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die Jahre weniger kosten als der Anteil, den eine Abrechnungsstelle nimmt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Summe aus Gebühren und Pflegeaufwand bleibt unter diesem Anteil</w:t>
            </w:r>
          </w:p>
        </w:tc>
      </w:tr>
    </w:tbl>
    <w:p>
      <w:pPr>
        <w:pStyle w:val="BodyText"/>
      </w:pPr>
      <w:r>
        <w:rPr>
          <w:lang w:val="de"/>
        </w:rPr>
        <w:t xml:space="preserve">Und das alles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einem einzelnen Rechner, ohne Installation und ohne dass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Gesundheitsdaten das Haus verlassen.</w:t>
      </w:r>
    </w:p>
    <w:bookmarkStart w:id="10" w:name="der-finanzielle-punkt"/>
    <w:p>
      <w:pPr>
        <w:pStyle w:val="Heading3"/>
      </w:pPr>
      <w:r>
        <w:rPr>
          <w:lang w:val="de"/>
        </w:rPr>
        <w:t xml:space="preserve">Der finanzielle Punkt</w:t>
      </w:r>
    </w:p>
    <w:p>
      <w:pPr>
        <w:pStyle w:val="FirstParagraph"/>
      </w:pPr>
      <w:r>
        <w:rPr>
          <w:lang w:val="de"/>
        </w:rPr>
        <w:t xml:space="preserve">Punkt 8 ist kein Anhängsel, sondern die Bedingung, unter der das ganze Vorhaben</w:t>
      </w:r>
      <w:r>
        <w:rPr>
          <w:lang w:val="de"/>
        </w:rPr>
        <w:t xml:space="preserve"> </w:t>
      </w:r>
      <w:r>
        <w:rPr>
          <w:lang w:val="de"/>
        </w:rPr>
        <w:t xml:space="preserve">steht. Ein Programm, das funktioniert und trotzdem teurer ist als der Weg über</w:t>
      </w:r>
      <w:r>
        <w:rPr>
          <w:lang w:val="de"/>
        </w:rPr>
        <w:t xml:space="preserve"> </w:t>
      </w:r>
      <w:r>
        <w:rPr>
          <w:lang w:val="de"/>
        </w:rPr>
        <w:t xml:space="preserve">einen Dienstleister, hat sein Ziel verfehlt.</w:t>
      </w:r>
    </w:p>
    <w:p>
      <w:pPr>
        <w:pStyle w:val="BodyText"/>
      </w:pPr>
      <w:r>
        <w:rPr>
          <w:lang w:val="de"/>
        </w:rPr>
        <w:t xml:space="preserve">Die beiden Wege haben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unterschiedlich geformte Kosten</w:t>
      </w:r>
      <w:r>
        <w:rPr>
          <w:lang w:val="de"/>
        </w:rPr>
        <w:t xml:space="preserve"> </w:t>
      </w:r>
      <w:r>
        <w:rPr>
          <w:lang w:val="de"/>
        </w:rPr>
        <w:t xml:space="preserve">— das ist der Kern der</w:t>
      </w:r>
      <w:r>
        <w:rPr>
          <w:lang w:val="de"/>
        </w:rPr>
        <w:t xml:space="preserve"> </w:t>
      </w:r>
      <w:r>
        <w:rPr>
          <w:lang w:val="de"/>
        </w:rPr>
        <w:t xml:space="preserve">Sache: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Selbst abrechnen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Art der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Anteil am abgerechneten Betrag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fester Betrag im Jahr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Wächst mit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dem Umsatz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— der Betrag bleibt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Läuft weiter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abgerechnet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abgerechnet wird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Zusätzlich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eigene Zeit für Pflege und Änderungen</w:t>
            </w:r>
          </w:p>
        </w:tc>
      </w:tr>
    </w:tbl>
    <w:p>
      <w:pPr>
        <w:pStyle w:val="BodyText"/>
      </w:pPr>
      <w:r>
        <w:rPr>
          <w:lang w:val="de"/>
        </w:rPr>
        <w:t xml:space="preserve">Daraus folgt eine einfache Regel: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Prozentkosten wachsen mit, Festkosten nicht.</w:t>
      </w:r>
      <w:r>
        <w:rPr>
          <w:lang w:val="de"/>
        </w:rPr>
        <w:t xml:space="preserve"> </w:t>
      </w:r>
      <w:r>
        <w:rPr>
          <w:lang w:val="de"/>
        </w:rPr>
        <w:t xml:space="preserve">Unterhalb eines bestimmten Jahresumsatzes gewinnt der Dienstleister, oberhalb der</w:t>
      </w:r>
      <w:r>
        <w:rPr>
          <w:lang w:val="de"/>
        </w:rPr>
        <w:t xml:space="preserve"> </w:t>
      </w:r>
      <w:r>
        <w:rPr>
          <w:lang w:val="de"/>
        </w:rPr>
        <w:t xml:space="preserve">eigene Weg. Wo dieser Punkt liegt, hängt an Zahlen, die hier noch nicht alle</w:t>
      </w:r>
      <w:r>
        <w:rPr>
          <w:lang w:val="de"/>
        </w:rPr>
        <w:t xml:space="preserve"> </w:t>
      </w:r>
      <w:r>
        <w:rPr>
          <w:lang w:val="de"/>
        </w:rPr>
        <w:t xml:space="preserve">vorliegen.</w:t>
      </w:r>
    </w:p>
    <w:p>
      <w:pPr>
        <w:pStyle w:val="BodyText"/>
      </w:pPr>
      <w:r>
        <w:rPr>
          <w:lang w:val="de"/>
        </w:rPr>
        <w:t xml:space="preserve">Zwei davon sind bereits bekannt und gehören in die Rechnung: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Posten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Zertifikat für die Übermittlung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ersten Jahr mehr als in den folgenden,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je Betriebsstätte und Jahr, nicht je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Betriebsnummer für den Abrechnungsverkehr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gebührenfrei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laufende Pflege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Rechnung, aber Zeit — die Vorgaben ändern sich jährlich</w:t>
            </w:r>
          </w:p>
        </w:tc>
      </w:tr>
    </w:tbl>
    <w:p>
      <w:pPr>
        <w:pStyle w:val="BodyText"/>
      </w:pPr>
      <w:r>
        <w:rPr>
          <w:lang w:val="de"/>
        </w:rPr>
        <w:t xml:space="preserve">Der letzte Posten ist der, den man beim Rechnen vergisst.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Programm,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niemand pflegt, wird nicht billiger — es hört auf zu funktionieren</w:t>
      </w:r>
      <w:r>
        <w:rPr>
          <w:lang w:val="de"/>
        </w:rPr>
        <w:t xml:space="preserve">, weil ein</w:t>
      </w:r>
      <w:r>
        <w:rPr>
          <w:lang w:val="de"/>
        </w:rPr>
        <w:t xml:space="preserve"> </w:t>
      </w:r>
      <w:r>
        <w:rPr>
          <w:lang w:val="de"/>
        </w:rPr>
        <w:t xml:space="preserve">Schlüsselverzeichnis wechselt oder eine Formatfassung abgelöst wird. Deshalb</w:t>
      </w:r>
      <w:r>
        <w:rPr>
          <w:lang w:val="de"/>
        </w:rPr>
        <w:t xml:space="preserve"> </w:t>
      </w:r>
      <w:r>
        <w:rPr>
          <w:lang w:val="de"/>
        </w:rPr>
        <w:t xml:space="preserve">zählt Pflege in dieser Rechnung als Kosten, auch wenn keine Rechnung dafür kommt.</w:t>
      </w:r>
    </w:p>
    <w:p>
      <w:pPr>
        <w:pStyle w:val="BodyText"/>
      </w:pPr>
      <w:r>
        <w:rPr>
          <w:lang w:val="de"/>
        </w:rPr>
        <w:t xml:space="preserve">Diese Gegenüberstellung wird in Teil 23 mit den dann bekannten Zahlen</w:t>
      </w:r>
      <w:r>
        <w:rPr>
          <w:lang w:val="de"/>
        </w:rPr>
        <w:t xml:space="preserve"> </w:t>
      </w:r>
      <w:r>
        <w:rPr>
          <w:lang w:val="de"/>
        </w:rPr>
        <w:t xml:space="preserve">nachgerechnet — und zwar ergebnisoffen. Es ist ein zulässiges Ergebnis dieses</w:t>
      </w:r>
      <w:r>
        <w:rPr>
          <w:lang w:val="de"/>
        </w:rPr>
        <w:t xml:space="preserve"> </w:t>
      </w:r>
      <w:r>
        <w:rPr>
          <w:lang w:val="de"/>
        </w:rPr>
        <w:t xml:space="preserve">Projekts, dass sich der eigene Weg nicht lohnt.</w:t>
      </w:r>
    </w:p>
    <w:bookmarkEnd w:id="10"/>
    <w:bookmarkStart w:id="11" w:name="was-hier-noch-offen-ist"/>
    <w:p>
      <w:pPr>
        <w:pStyle w:val="Heading3"/>
      </w:pPr>
      <w:r>
        <w:rPr>
          <w:lang w:val="de"/>
        </w:rPr>
        <w:t xml:space="preserve">Was hier noch offen ist</w:t>
      </w:r>
    </w:p>
    <w:p>
      <w:pPr>
        <w:pStyle w:val="FirstParagraph"/>
      </w:pPr>
      <w:r>
        <w:rPr>
          <w:lang w:val="de"/>
        </w:rPr>
        <w:t xml:space="preserve">Nicht jeder Punkt ist am Ende dieses Teils entschieden, und nicht jeder ist</w:t>
      </w:r>
      <w:r>
        <w:rPr>
          <w:lang w:val="de"/>
        </w:rPr>
        <w:t xml:space="preserve"> </w:t>
      </w:r>
      <w:r>
        <w:rPr>
          <w:lang w:val="de"/>
        </w:rPr>
        <w:t xml:space="preserve">allein durch Programmieren erreichbar — Punkt 4 hängt an Zulassungen, die niemand</w:t>
      </w:r>
      <w:r>
        <w:rPr>
          <w:lang w:val="de"/>
        </w:rPr>
        <w:t xml:space="preserve"> </w:t>
      </w:r>
      <w:r>
        <w:rPr>
          <w:lang w:val="de"/>
        </w:rPr>
        <w:t xml:space="preserve">schreiben kann. Das ist Gegenstand von Teil 04.</w:t>
      </w:r>
    </w:p>
    <w:bookmarkEnd w:id="11"/>
    <w:bookmarkEnd w:id="12"/>
    <w:bookmarkStart w:id="13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3"/>
    <w:bookmarkStart w:id="18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4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4"/>
    <w:bookmarkStart w:id="15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5"/>
    <w:bookmarkStart w:id="16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6"/>
    <w:bookmarkStart w:id="17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7"/>
    <w:bookmarkEnd w:id="18"/>
    <w:bookmarkStart w:id="20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p>
      <w:pPr>
        <w:pStyle w:val="BodyText"/>
      </w:pPr>
      <w:r>
        <w:rPr>
          <w:lang w:val="de"/>
        </w:rPr>
        <w:t xml:space="preserve">Von den sieben Punkten der Vision werden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ersten fünf zum Bauauftrag</w:t>
      </w:r>
      <w:r>
        <w:rPr>
          <w:lang w:val="de"/>
        </w:rPr>
        <w:t xml:space="preserve"> </w:t>
      </w:r>
      <w:r>
        <w:rPr>
          <w:lang w:val="de"/>
        </w:rPr>
        <w:t xml:space="preserve">— gegliedert in fünf Kernfähigkeiten. Die Punkte 6 und 7, Nachbearbeitung einer</w:t>
      </w:r>
      <w:r>
        <w:rPr>
          <w:lang w:val="de"/>
        </w:rPr>
        <w:t xml:space="preserve"> </w:t>
      </w:r>
      <w:r>
        <w:rPr>
          <w:lang w:val="de"/>
        </w:rPr>
        <w:t xml:space="preserve">Zurückweisung und ein weiterer Leistungsbereich, bleiben Ziel, aber nicht</w:t>
      </w:r>
      <w:r>
        <w:rPr>
          <w:lang w:val="de"/>
        </w:rPr>
        <w:t xml:space="preserve"> </w:t>
      </w:r>
      <w:r>
        <w:rPr>
          <w:lang w:val="de"/>
        </w:rPr>
        <w:t xml:space="preserve">Gegenstand des ersten Durchgangs.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9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9"/>
    <w:bookmarkEnd w:id="20"/>
    <w:bookmarkStart w:id="31" w:name="ergebnis"/>
    <w:p>
      <w:pPr>
        <w:pStyle w:val="Heading2"/>
      </w:pPr>
      <w:r>
        <w:rPr>
          <w:lang w:val="de"/>
        </w:rPr>
        <w:t xml:space="preserve">Ergebnis</w:t>
      </w:r>
    </w:p>
    <w:bookmarkStart w:id="21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21"/>
    <w:bookmarkStart w:id="25" w:name="womit-begonnen-wird"/>
    <w:p>
      <w:pPr>
        <w:pStyle w:val="Heading3"/>
      </w:pPr>
      <w:r>
        <w:rPr>
          <w:lang w:val="de"/>
        </w:rPr>
        <w:t xml:space="preserve">Womit begonnen wird</w:t>
      </w:r>
    </w:p>
    <w:p>
      <w:pPr>
        <w:pStyle w:val="FirstParagraph"/>
      </w:pPr>
      <w:r>
        <w:rPr>
          <w:lang w:val="de"/>
        </w:rPr>
        <w:t xml:space="preserve">Ein Klassenbild des ganzen Programms wäre an dieser Stelle unbrauchbar: zu</w:t>
      </w:r>
      <w:r>
        <w:rPr>
          <w:lang w:val="de"/>
        </w:rPr>
        <w:t xml:space="preserve"> </w:t>
      </w:r>
      <w:r>
        <w:rPr>
          <w:lang w:val="de"/>
        </w:rPr>
        <w:t xml:space="preserve">groß, um es zu besprechen, und zu früh, um es zu verantworten. Stattdessen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Ausschnitt von elf Klassen</w:t>
      </w:r>
      <w:r>
        <w:rPr>
          <w:lang w:val="de"/>
        </w:rPr>
        <w:t xml:space="preserve"> </w:t>
      </w:r>
      <w:r>
        <w:rPr>
          <w:lang w:val="de"/>
        </w:rPr>
        <w:t xml:space="preserve">— der Bereich, in dem aus einer Abrechnung</w:t>
      </w:r>
      <w:r>
        <w:rPr>
          <w:lang w:val="de"/>
        </w:rPr>
        <w:t xml:space="preserve"> </w:t>
      </w:r>
      <w:r>
        <w:rPr>
          <w:lang w:val="de"/>
        </w:rPr>
        <w:t xml:space="preserve">die Nachricht entsteht. Er ist der Anfang, weil hier die Datei erzeugt wird,</w:t>
      </w:r>
      <w:r>
        <w:rPr>
          <w:lang w:val="de"/>
        </w:rPr>
        <w:t xml:space="preserve"> </w:t>
      </w:r>
      <w:r>
        <w:rPr>
          <w:lang w:val="de"/>
        </w:rPr>
        <w:t xml:space="preserve">um die es im ganzen Vorhaben geht.</w:t>
      </w:r>
    </w:p>
    <w:p>
      <w:pPr>
        <w:pStyle w:val="CaptionedFigure"/>
      </w:pPr>
      <w:r>
        <w:drawing>
          <wp:inline>
            <wp:extent cx="5334000" cy="3435546"/>
            <wp:effectExtent b="0" l="0" r="0" t="0"/>
            <wp:docPr descr="Ausschnitt Nachrichtenerzeugung" title="" id="23" name="Picture"/>
            <a:graphic>
              <a:graphicData uri="http://schemas.openxmlformats.org/drawingml/2006/picture">
                <pic:pic>
                  <pic:nvPicPr>
                    <pic:cNvPr descr="../GKVTransmitter_Vision_Nachrichtenerzeugu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Ausschnitt Nachrichtenerzeugung</w:t>
      </w:r>
    </w:p>
    <w:p>
      <w:pPr>
        <w:pStyle w:val="BodyText"/>
      </w:pPr>
      <w:r>
        <w:rPr>
          <w:lang w:val="de"/>
        </w:rPr>
        <w:t xml:space="preserve">Drei Dinge lassen sich daran schon besprechen, bevor eine Zeile geändert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Worüber zu reden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DtaFactory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hat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keinen Zustand</w:t>
            </w:r>
            <w:r>
              <w:rPr>
                <w:lang w:val="de"/>
              </w:rPr>
              <w:t xml:space="preserve">, nur statische Methoden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Bequem beim Aufrufen, aber nicht austauschbar und im Test nicht ersetzbar. Ob das so bleibt, ist eine der ersten Fragen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Leistungsparameter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fällt bei unlesbarer Blaupause auf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Vorbelegung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zurück, statt abzubrechen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Vertretbar, weil die Prüfung ohnehin folgt — aber genau diese Rückfallebene stand einmal auf einem plausiblen Betrag statt auf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bildet den Abrechnungscode auf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Sammelgruppenschlüssel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einziger Buchstabe im Nachrichtenkopf. Steht dort der falsche, sieht die Datei fehlerfrei aus und wird trotzdem zurückgewiesen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 die gestrichelte Linie zurück: Die Prüfung arbeitet nicht auf</w:t>
      </w:r>
      <w:r>
        <w:rPr>
          <w:lang w:val="de"/>
        </w:rPr>
        <w:t xml:space="preserve"> </w:t>
      </w:r>
      <w:r>
        <w:rPr>
          <w:lang w:val="de"/>
        </w:rPr>
        <w:t xml:space="preserve">dem, was die Erzeugung im Speicher hatte,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liest die fertige Datei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wieder ein</w:t>
      </w:r>
      <w:r>
        <w:rPr>
          <w:lang w:val="de"/>
        </w:rPr>
        <w:t xml:space="preserve"> </w:t>
      </w:r>
      <w:r>
        <w:rPr>
          <w:lang w:val="de"/>
        </w:rPr>
        <w:t xml:space="preserve">—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. Deshalb fällt ein Fehler</w:t>
      </w:r>
      <w:r>
        <w:rPr>
          <w:lang w:val="de"/>
        </w:rPr>
        <w:t xml:space="preserve"> </w:t>
      </w:r>
      <w:r>
        <w:rPr>
          <w:lang w:val="de"/>
        </w:rPr>
        <w:t xml:space="preserve">auf, der erst beim Zusammensetzen entsteht, und deshalb lässt sich mit</w:t>
      </w:r>
      <w:r>
        <w:rPr>
          <w:lang w:val="de"/>
        </w:rPr>
        <w:t xml:space="preserve"> </w:t>
      </w:r>
      <w:r>
        <w:rPr>
          <w:lang w:val="de"/>
        </w:rPr>
        <w:t xml:space="preserve">demselben Werkzeug auch eine fremde Datei prüfen.</w:t>
      </w:r>
    </w:p>
    <w:p>
      <w:pPr>
        <w:pStyle w:val="BodyText"/>
      </w:pPr>
      <w:r>
        <w:rPr>
          <w:lang w:val="de"/>
        </w:rPr>
        <w:t xml:space="preserve">Das fachliche Übersichtsmodell — dieselbe Sache, aber vollständig und als</w:t>
      </w:r>
      <w:r>
        <w:rPr>
          <w:lang w:val="de"/>
        </w:rPr>
        <w:t xml:space="preserve"> </w:t>
      </w:r>
      <w:r>
        <w:rPr>
          <w:lang w:val="de"/>
        </w:rPr>
        <w:t xml:space="preserve">Begriffe statt als Klassen — folgt in Teil 02. Das vollständige Klassenbild</w:t>
      </w:r>
      <w:r>
        <w:rPr>
          <w:lang w:val="de"/>
        </w:rPr>
        <w:t xml:space="preserve"> </w:t>
      </w:r>
      <w:r>
        <w:rPr>
          <w:lang w:val="de"/>
        </w:rPr>
        <w:t xml:space="preserve">kommt in Teil 06, wenn genug entschieden ist, um es zu verantworten.</w:t>
      </w:r>
    </w:p>
    <w:bookmarkEnd w:id="25"/>
    <w:bookmarkStart w:id="29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Anders als der Ausschnitt oben zeigt das zweite Bild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ganze Breite</w:t>
      </w:r>
      <w:r>
        <w:rPr>
          <w:lang w:val="de"/>
        </w:rPr>
        <w:t xml:space="preserve"> </w:t>
      </w:r>
      <w:r>
        <w:rPr>
          <w:lang w:val="de"/>
        </w:rPr>
        <w:t xml:space="preserve">— aber</w:t>
      </w:r>
      <w:r>
        <w:rPr>
          <w:lang w:val="de"/>
        </w:rPr>
        <w:t xml:space="preserve"> </w:t>
      </w:r>
      <w:r>
        <w:rPr>
          <w:lang w:val="de"/>
        </w:rPr>
        <w:t xml:space="preserve">auf fachlicher Ebene, nicht als Schema: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  <w:r>
        <w:rPr>
          <w:lang w:val="de"/>
        </w:rPr>
        <w:t xml:space="preserve"> </w:t>
      </w:r>
      <w:r>
        <w:rPr>
          <w:lang w:val="de"/>
        </w:rPr>
        <w:t xml:space="preserve">Ein Datenmodell verträgt das, ein Klassenbild nicht; deshalb ist das</w:t>
      </w:r>
      <w:r>
        <w:rPr>
          <w:lang w:val="de"/>
        </w:rPr>
        <w:t xml:space="preserve"> </w:t>
      </w:r>
      <w:r>
        <w:rPr>
          <w:lang w:val="de"/>
        </w:rPr>
        <w:t xml:space="preserve">eine vollständig und das andere ein Ausschnitt.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7" name="Picture"/>
            <a:graphic>
              <a:graphicData uri="http://schemas.openxmlformats.org/drawingml/2006/picture">
                <pic:pic>
                  <pic:nvPicPr>
                    <pic:cNvPr descr="../GKVTransmitter_Vision_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Auffällig darin ist ein Kasten, der in der Vision noch harmlos aussieht: Die</w:t>
      </w:r>
      <w:r>
        <w:rPr>
          <w:lang w:val="de"/>
        </w:rPr>
        <w:t xml:space="preserve"> </w:t>
      </w:r>
      <w:r>
        <w:rPr>
          <w:lang w:val="de"/>
        </w:rPr>
        <w:t xml:space="preserve">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 an eine Annahmestelle. Wie</w:t>
      </w:r>
      <w:r>
        <w:rPr>
          <w:lang w:val="de"/>
        </w:rPr>
        <w:t xml:space="preserve"> </w:t>
      </w:r>
      <w:r>
        <w:rPr>
          <w:lang w:val="de"/>
        </w:rPr>
        <w:t xml:space="preserve">sich diese Unterscheidung auswirkt, war zu diesem Zeitpunkt nicht absehbar — sie</w:t>
      </w:r>
      <w:r>
        <w:rPr>
          <w:lang w:val="de"/>
        </w:rPr>
        <w:t xml:space="preserve"> </w:t>
      </w:r>
      <w:r>
        <w:rPr>
          <w:lang w:val="de"/>
        </w:rPr>
        <w:t xml:space="preserve">wird in Teil 04 zum Thema.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9"/>
    <w:bookmarkStart w:id="30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30"/>
    <w:bookmarkEnd w:id="31"/>
    <w:bookmarkStart w:id="32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