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8.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30"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p>
      <w:pPr>
        <w:pStyle w:val="BlockText"/>
      </w:pPr>
      <w:r>
        <w:rPr>
          <w:b/>
          <w:bCs/>
          <w:lang w:val="de-DE"/>
        </w:rPr>
        <w:t xml:space="preserve">Für den echten Betrieb ist diese Zuordnung zu eng.</w:t>
      </w:r>
      <w:r>
        <w:rPr>
          <w:lang w:val="de-DE"/>
        </w:rPr>
        <w:t xml:space="preserve"> </w:t>
      </w:r>
      <w:r>
        <w:rPr>
          <w:lang w:val="de-DE"/>
        </w:rPr>
        <w:t xml:space="preserve">Empfänger einer Lieferung ist nicht die einzelne Krankenkasse, sondern die</w:t>
      </w:r>
      <w:r>
        <w:rPr>
          <w:lang w:val="de-DE"/>
        </w:rPr>
        <w:t xml:space="preserve"> </w:t>
      </w:r>
      <w:r>
        <w:rPr>
          <w:b/>
          <w:bCs/>
          <w:lang w:val="de-DE"/>
        </w:rPr>
        <w:t xml:space="preserve">Datenannahmestelle mit Entschlüsselungsbefugnis</w:t>
      </w:r>
      <w:r>
        <w:rPr>
          <w:lang w:val="de-DE"/>
        </w:rPr>
        <w:t xml:space="preserve"> </w:t>
      </w:r>
      <w:r>
        <w:rPr>
          <w:lang w:val="de-DE"/>
        </w:rPr>
        <w:t xml:space="preserve">ihrer Kassenart. Siehe „Der Weg zur Kasse”.</w:t>
      </w:r>
    </w:p>
    <w:bookmarkEnd w:id="26"/>
    <w:bookmarkStart w:id="27" w:name="art-der-erzeugten-dateien"/>
    <w:p>
      <w:pPr>
        <w:pStyle w:val="Heading2"/>
      </w:pPr>
      <w:r>
        <w:rPr>
          <w:lang w:val="de-DE"/>
        </w:rPr>
        <w:t xml:space="preserve">Art der erzeugten Dateien</w:t>
      </w:r>
    </w:p>
    <w:p>
      <w:pPr>
        <w:pStyle w:val="FirstParagraph"/>
      </w:pPr>
      <w:r>
        <w:rPr>
          <w:lang w:val="de-DE"/>
        </w:rPr>
        <w:t xml:space="preserve">Die letzte Stelle des</w:t>
      </w:r>
      <w:r>
        <w:rPr>
          <w:lang w:val="de-DE"/>
        </w:rPr>
        <w:t xml:space="preserve"> </w:t>
      </w:r>
      <w:r>
        <w:rPr>
          <w:rStyle w:val="VerbatimChar"/>
          <w:lang w:val="de-DE"/>
        </w:rPr>
        <w:t xml:space="preserve">UNB</w:t>
      </w:r>
      <w:r>
        <w:rPr>
          <w:lang w:val="de-DE"/>
        </w:rPr>
        <w:t xml:space="preserve">-Segments sagt, wofür sich eine Datei ausgibt: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Wert</w:t>
            </w:r>
          </w:p>
        </w:tc>
        <w:tc>
          <w:tcPr/>
          <w:p>
            <w:pPr>
              <w:pStyle w:val="Compact"/>
            </w:pPr>
            <w:r>
              <w:rPr>
                <w:lang w:val="de-DE"/>
              </w:rPr>
              <w:t xml:space="preserve">Bedeutung</w:t>
            </w:r>
          </w:p>
        </w:tc>
        <w:tc>
          <w:tcPr/>
          <w:p>
            <w:pPr>
              <w:pStyle w:val="Compact"/>
            </w:pPr>
            <w:r>
              <w:rPr>
                <w:lang w:val="de-DE"/>
              </w:rPr>
              <w:t xml:space="preserve">Folge</w:t>
            </w:r>
          </w:p>
        </w:tc>
      </w:tr>
      <w:tr>
        <w:tc>
          <w:tcPr/>
          <w:p>
            <w:pPr>
              <w:pStyle w:val="Compact"/>
            </w:pPr>
            <w:r>
              <w:rPr>
                <w:rStyle w:val="VerbatimChar"/>
                <w:lang w:val="de-DE"/>
              </w:rPr>
              <w:t xml:space="preserve">0</w:t>
            </w:r>
          </w:p>
        </w:tc>
        <w:tc>
          <w:tcPr/>
          <w:p>
            <w:pPr>
              <w:pStyle w:val="Compact"/>
            </w:pPr>
            <w:r>
              <w:rPr>
                <w:lang w:val="de-DE"/>
              </w:rPr>
              <w:t xml:space="preserve">Testdatei</w:t>
            </w:r>
          </w:p>
        </w:tc>
        <w:tc>
          <w:tcPr/>
          <w:p>
            <w:pPr>
              <w:pStyle w:val="Compact"/>
            </w:pPr>
            <w:r>
              <w:rPr>
                <w:lang w:val="de-DE"/>
              </w:rPr>
              <w:t xml:space="preserve">wird angenommen, aber nicht verarbeitet</w:t>
            </w:r>
          </w:p>
        </w:tc>
      </w:tr>
      <w:tr>
        <w:tc>
          <w:tcPr/>
          <w:p>
            <w:pPr>
              <w:pStyle w:val="Compact"/>
            </w:pPr>
            <w:r>
              <w:rPr>
                <w:rStyle w:val="VerbatimChar"/>
                <w:lang w:val="de-DE"/>
              </w:rPr>
              <w:t xml:space="preserve">1</w:t>
            </w:r>
          </w:p>
        </w:tc>
        <w:tc>
          <w:tcPr/>
          <w:p>
            <w:pPr>
              <w:pStyle w:val="Compact"/>
            </w:pPr>
            <w:r>
              <w:rPr>
                <w:lang w:val="de-DE"/>
              </w:rPr>
              <w:t xml:space="preserve">Erprobungsdatei</w:t>
            </w:r>
          </w:p>
        </w:tc>
        <w:tc>
          <w:tcPr/>
          <w:p>
            <w:pPr>
              <w:pStyle w:val="Compact"/>
            </w:pPr>
            <w:r>
              <w:rPr>
                <w:lang w:val="de-DE"/>
              </w:rPr>
              <w:t xml:space="preserve">wird verarbeitet und geprüft, aber</w:t>
            </w:r>
            <w:r>
              <w:rPr>
                <w:lang w:val="de-DE"/>
              </w:rPr>
              <w:t xml:space="preserve"> </w:t>
            </w:r>
            <w:r>
              <w:rPr>
                <w:b/>
                <w:bCs/>
                <w:lang w:val="de-DE"/>
              </w:rPr>
              <w:t xml:space="preserve">nicht bezahlt</w:t>
            </w:r>
          </w:p>
        </w:tc>
      </w:tr>
      <w:tr>
        <w:tc>
          <w:tcPr/>
          <w:p>
            <w:pPr>
              <w:pStyle w:val="Compact"/>
            </w:pPr>
            <w:r>
              <w:rPr>
                <w:rStyle w:val="VerbatimChar"/>
                <w:lang w:val="de-DE"/>
              </w:rPr>
              <w:t xml:space="preserve">2</w:t>
            </w:r>
          </w:p>
        </w:tc>
        <w:tc>
          <w:tcPr/>
          <w:p>
            <w:pPr>
              <w:pStyle w:val="Compact"/>
            </w:pPr>
            <w:r>
              <w:rPr>
                <w:lang w:val="de-DE"/>
              </w:rPr>
              <w:t xml:space="preserve">Echtdatei</w:t>
            </w:r>
          </w:p>
        </w:tc>
        <w:tc>
          <w:tcPr/>
          <w:p>
            <w:pPr>
              <w:pStyle w:val="Compact"/>
            </w:pPr>
            <w:r>
              <w:rPr>
                <w:lang w:val="de-DE"/>
              </w:rPr>
              <w:t xml:space="preserve">gilt als Forderung</w:t>
            </w:r>
          </w:p>
        </w:tc>
      </w:tr>
    </w:tbl>
    <w:p>
      <w:pPr>
        <w:pStyle w:val="BodyText"/>
      </w:pPr>
      <w:r>
        <w:rPr>
          <w:lang w:val="de-DE"/>
        </w:rPr>
        <w:t xml:space="preserve">Einstellbar unter „Einstellungen”; die Vorgabe ist</w:t>
      </w:r>
      <w:r>
        <w:rPr>
          <w:lang w:val="de-DE"/>
        </w:rPr>
        <w:t xml:space="preserve"> </w:t>
      </w:r>
      <w:r>
        <w:rPr>
          <w:b/>
          <w:bCs/>
          <w:lang w:val="de-DE"/>
        </w:rPr>
        <w:t xml:space="preserve">Erprobung</w:t>
      </w:r>
      <w:r>
        <w:rPr>
          <w:lang w:val="de-DE"/>
        </w:rPr>
        <w:t xml:space="preserve">. Das Programm wechselt nicht von selbst in den Echtbetrieb — auch dann nicht, wenn die Einstellungsdatei fehlt oder unlesbar ist.</w:t>
      </w:r>
    </w:p>
    <w:bookmarkEnd w:id="27"/>
    <w:bookmarkStart w:id="28"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8"/>
    <w:bookmarkStart w:id="29"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9"/>
    <w:bookmarkEnd w:id="30"/>
    <w:bookmarkStart w:id="36" w:name="der-weg-zur-kasse"/>
    <w:p>
      <w:pPr>
        <w:pStyle w:val="Heading1"/>
      </w:pPr>
      <w:r>
        <w:rPr>
          <w:lang w:val="de-DE"/>
        </w:rPr>
        <w:t xml:space="preserve">Der Weg zur Kasse</w:t>
      </w:r>
    </w:p>
    <w:p>
      <w:pPr>
        <w:pStyle w:val="FirstParagraph"/>
      </w:pPr>
      <w:r>
        <w:rPr>
          <w:lang w:val="de-DE"/>
        </w:rPr>
        <w:t xml:space="preserve">Dieses Kapitel beschreibt, wie eine Lieferung tatsächlich zur Krankenkasse gelangt, was davon das Programm leistet und was dafür noch fehlt. Grundlage ist die</w:t>
      </w:r>
      <w:r>
        <w:rPr>
          <w:lang w:val="de-DE"/>
        </w:rPr>
        <w:t xml:space="preserve"> </w:t>
      </w:r>
      <w:r>
        <w:rPr>
          <w:b/>
          <w:bCs/>
          <w:lang w:val="de-DE"/>
        </w:rPr>
        <w:t xml:space="preserve">Technische Anlage</w:t>
      </w:r>
      <w:r>
        <w:rPr>
          <w:lang w:val="de-DE"/>
        </w:rPr>
        <w:t xml:space="preserve"> </w:t>
      </w:r>
      <w:r>
        <w:rPr>
          <w:lang w:val="de-DE"/>
        </w:rPr>
        <w:t xml:space="preserve">(Anlage 1 zu den Richtlinien nach § 302 SGB V, Version 21, Stand 15.01.2026), die dem Projekt vorliegt.</w:t>
      </w:r>
    </w:p>
    <w:bookmarkStart w:id="31" w:name="der-vorgesehene-weg"/>
    <w:p>
      <w:pPr>
        <w:pStyle w:val="Heading2"/>
      </w:pPr>
      <w:r>
        <w:rPr>
          <w:lang w:val="de-DE"/>
        </w:rPr>
        <w:t xml:space="preserve">Der vorgesehene Weg</w:t>
      </w:r>
    </w:p>
    <w:p>
      <w:pPr>
        <w:pStyle w:val="SourceCode"/>
      </w:pPr>
      <w:r>
        <w:rPr>
          <w:rStyle w:val="VerbatimChar"/>
          <w:lang w:val="de-DE"/>
        </w:rPr>
        <w:t xml:space="preserve">Leistungserbringerin (eigenes IK)</w:t>
      </w:r>
      <w:r>
        <w:br/>
      </w:r>
      <w:r>
        <w:rPr>
          <w:rStyle w:val="VerbatimChar"/>
          <w:lang w:val="de-DE"/>
        </w:rPr>
        <w:t xml:space="preserve">      │  Nutzdatendatei (UNB … UNZ) + Auftragsdatei</w:t>
      </w:r>
      <w:r>
        <w:br/>
      </w:r>
      <w:r>
        <w:rPr>
          <w:rStyle w:val="VerbatimChar"/>
          <w:lang w:val="de-DE"/>
        </w:rPr>
        <w:t xml:space="preserve">      │  signiert und verschlüsselt</w:t>
      </w:r>
      <w:r>
        <w:br/>
      </w:r>
      <w:r>
        <w:rPr>
          <w:rStyle w:val="VerbatimChar"/>
          <w:lang w:val="de-DE"/>
        </w:rPr>
        <w:t xml:space="preserve">      ▼</w:t>
      </w:r>
      <w:r>
        <w:br/>
      </w:r>
      <w:r>
        <w:rPr>
          <w:rStyle w:val="VerbatimChar"/>
          <w:lang w:val="de-DE"/>
        </w:rPr>
        <w:t xml:space="preserve">Datenannahmestelle mit Entschlüsselungsbefugnis   ← je Kassenart eine</w:t>
      </w:r>
      <w:r>
        <w:br/>
      </w:r>
      <w:r>
        <w:rPr>
          <w:rStyle w:val="VerbatimChar"/>
          <w:lang w:val="de-DE"/>
        </w:rPr>
        <w:t xml:space="preserve">      │  Prüfstufe 1  Datei und Dateistruktur</w:t>
      </w:r>
      <w:r>
        <w:br/>
      </w:r>
      <w:r>
        <w:rPr>
          <w:rStyle w:val="VerbatimChar"/>
          <w:lang w:val="de-DE"/>
        </w:rPr>
        <w:t xml:space="preserve">      │  Prüfstufe 2  Syntax</w:t>
      </w:r>
      <w:r>
        <w:br/>
      </w:r>
      <w:r>
        <w:rPr>
          <w:rStyle w:val="VerbatimChar"/>
          <w:lang w:val="de-DE"/>
        </w:rPr>
        <w:t xml:space="preserve">      │  Prüfstufe 3  Inhalte der Datenelemente</w:t>
      </w:r>
      <w:r>
        <w:br/>
      </w:r>
      <w:r>
        <w:rPr>
          <w:rStyle w:val="VerbatimChar"/>
          <w:lang w:val="de-DE"/>
        </w:rPr>
        <w:t xml:space="preserve">      ▼</w:t>
      </w:r>
      <w:r>
        <w:br/>
      </w:r>
      <w:r>
        <w:rPr>
          <w:rStyle w:val="VerbatimChar"/>
          <w:lang w:val="de-DE"/>
        </w:rPr>
        <w:t xml:space="preserve">Krankenkasse</w:t>
      </w:r>
      <w:r>
        <w:br/>
      </w:r>
      <w:r>
        <w:rPr>
          <w:rStyle w:val="VerbatimChar"/>
          <w:lang w:val="de-DE"/>
        </w:rPr>
        <w:t xml:space="preserve">      │  Prüfstufe 4  vertrags-, versicherungs- und leistungsrechtlich</w:t>
      </w:r>
      <w:r>
        <w:br/>
      </w:r>
      <w:r>
        <w:rPr>
          <w:rStyle w:val="VerbatimChar"/>
          <w:lang w:val="de-DE"/>
        </w:rPr>
        <w:t xml:space="preserve">      ▼</w:t>
      </w:r>
      <w:r>
        <w:br/>
      </w:r>
      <w:r>
        <w:rPr>
          <w:rStyle w:val="VerbatimChar"/>
          <w:lang w:val="de-DE"/>
        </w:rPr>
        <w:t xml:space="preserve">Bezahlung  oder  Zurückweisung</w:t>
      </w:r>
    </w:p>
    <w:p>
      <w:pPr>
        <w:pStyle w:val="FirstParagraph"/>
      </w:pPr>
      <w:r>
        <w:rPr>
          <w:lang w:val="de-DE"/>
        </w:rPr>
        <w:t xml:space="preserve">Drei Punkte daran werden regelmäßig unterschätzt:</w:t>
      </w:r>
    </w:p>
    <w:p>
      <w:pPr>
        <w:pStyle w:val="BodyText"/>
      </w:pPr>
      <w:r>
        <w:rPr>
          <w:b/>
          <w:bCs/>
          <w:lang w:val="de-DE"/>
        </w:rPr>
        <w:t xml:space="preserve">Empfänger ist die Datenannahmestelle, nicht die Kasse.</w:t>
      </w:r>
      <w:r>
        <w:rPr>
          <w:lang w:val="de-DE"/>
        </w:rPr>
        <w:t xml:space="preserve"> </w:t>
      </w:r>
      <w:r>
        <w:rPr>
          <w:lang w:val="de-DE"/>
        </w:rPr>
        <w:t xml:space="preserve">Für jede Datenannahmestelle mit Entschlüsselungsbefugnis ist</w:t>
      </w:r>
      <w:r>
        <w:rPr>
          <w:lang w:val="de-DE"/>
        </w:rPr>
        <w:t xml:space="preserve"> </w:t>
      </w:r>
      <w:r>
        <w:rPr>
          <w:b/>
          <w:bCs/>
          <w:lang w:val="de-DE"/>
        </w:rPr>
        <w:t xml:space="preserve">je Kassenart eine</w:t>
      </w:r>
      <w:r>
        <w:rPr>
          <w:lang w:val="de-DE"/>
        </w:rPr>
        <w:t xml:space="preserve"> </w:t>
      </w:r>
      <w:r>
        <w:rPr>
          <w:lang w:val="de-DE"/>
        </w:rPr>
        <w:t xml:space="preserve">Nutzdatendatei zu erstellen. Welche Stelle für welche Kasse zuständig ist, steht in der</w:t>
      </w:r>
      <w:r>
        <w:rPr>
          <w:lang w:val="de-DE"/>
        </w:rPr>
        <w:t xml:space="preserve"> </w:t>
      </w:r>
      <w:r>
        <w:rPr>
          <w:b/>
          <w:bCs/>
          <w:lang w:val="de-DE"/>
        </w:rPr>
        <w:t xml:space="preserve">Kostenträgerdatei</w:t>
      </w:r>
      <w:r>
        <w:rPr>
          <w:lang w:val="de-DE"/>
        </w:rPr>
        <w:t xml:space="preserve"> </w:t>
      </w:r>
      <w:r>
        <w:rPr>
          <w:lang w:val="de-DE"/>
        </w:rPr>
        <w:t xml:space="preserve">der jeweiligen Kassenart — nicht im Programm und nicht in dieser Dokumentation.</w:t>
      </w:r>
    </w:p>
    <w:p>
      <w:pPr>
        <w:pStyle w:val="BodyText"/>
      </w:pPr>
      <w:r>
        <w:rPr>
          <w:b/>
          <w:bCs/>
          <w:lang w:val="de-DE"/>
        </w:rPr>
        <w:t xml:space="preserve">Zu jeder Nutzdatendatei gehört eine Auftragsdatei.</w:t>
      </w:r>
      <w:r>
        <w:rPr>
          <w:lang w:val="de-DE"/>
        </w:rPr>
        <w:t xml:space="preserve"> </w:t>
      </w:r>
      <w:r>
        <w:rPr>
          <w:lang w:val="de-DE"/>
        </w:rPr>
        <w:t xml:space="preserve">Sie ist in den „Richtlinien für den Datenaustausch mit den gesetzlichen Krankenkassen” beschrieben. Ohne sie ist eine Lieferung unvollständig.</w:t>
      </w:r>
    </w:p>
    <w:p>
      <w:pPr>
        <w:pStyle w:val="BodyText"/>
      </w:pPr>
      <w:r>
        <w:rPr>
          <w:b/>
          <w:bCs/>
          <w:lang w:val="de-DE"/>
        </w:rPr>
        <w:t xml:space="preserve">Die Erprobung ist vorgeschrieben, nicht optional.</w:t>
      </w:r>
      <w:r>
        <w:rPr>
          <w:lang w:val="de-DE"/>
        </w:rPr>
        <w:t xml:space="preserve"> </w:t>
      </w:r>
      <w:r>
        <w:rPr>
          <w:lang w:val="de-DE"/>
        </w:rPr>
        <w:t xml:space="preserve">Vor der erstmaligen Durchführung und vor jeder Änderung des Verfahrens sind die Einzelheiten mit dem Empfänger abzustimmen und die ordnungsgemäße Verarbeitung zu erproben.</w:t>
      </w:r>
    </w:p>
    <w:bookmarkEnd w:id="31"/>
    <w:bookmarkStart w:id="32" w:name="was-das-programm-davon-leistet"/>
    <w:p>
      <w:pPr>
        <w:pStyle w:val="Heading2"/>
      </w:pPr>
      <w:r>
        <w:rPr>
          <w:lang w:val="de-DE"/>
        </w:rPr>
        <w:t xml:space="preserve">Was das Programm davon leistet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Schritt</w:t>
            </w:r>
          </w:p>
        </w:tc>
        <w:tc>
          <w:tcPr/>
          <w:p>
            <w:pPr>
              <w:pStyle w:val="Compact"/>
            </w:pPr>
            <w:r>
              <w:rPr>
                <w:lang w:val="de-DE"/>
              </w:rPr>
              <w:t xml:space="preserve">Stand</w:t>
            </w:r>
          </w:p>
        </w:tc>
      </w:tr>
      <w:tr>
        <w:tc>
          <w:tcPr/>
          <w:p>
            <w:pPr>
              <w:pStyle w:val="Compact"/>
            </w:pPr>
            <w:r>
              <w:rPr>
                <w:lang w:val="de-DE"/>
              </w:rPr>
              <w:t xml:space="preserve">Nutzdaten erzeugen (SLGA + SLLA)</w:t>
            </w:r>
          </w:p>
        </w:tc>
        <w:tc>
          <w:tcPr/>
          <w:p>
            <w:pPr>
              <w:pStyle w:val="Compact"/>
            </w:pPr>
            <w:r>
              <w:rPr>
                <w:lang w:val="de-DE"/>
              </w:rPr>
              <w:t xml:space="preserve">vollständig</w:t>
            </w:r>
          </w:p>
        </w:tc>
      </w:tr>
      <w:tr>
        <w:tc>
          <w:tcPr/>
          <w:p>
            <w:pPr>
              <w:pStyle w:val="Compact"/>
            </w:pPr>
            <w:r>
              <w:rPr>
                <w:lang w:val="de-DE"/>
              </w:rPr>
              <w:t xml:space="preserve">Prüfstufen 1 bis 3 vorab selbst durchlaufen</w:t>
            </w:r>
          </w:p>
        </w:tc>
        <w:tc>
          <w:tcPr/>
          <w:p>
            <w:pPr>
              <w:pStyle w:val="Compact"/>
            </w:pPr>
            <w:r>
              <w:rPr>
                <w:lang w:val="de-DE"/>
              </w:rPr>
              <w:t xml:space="preserve">weitgehend, sieben Regeln</w:t>
            </w:r>
          </w:p>
        </w:tc>
      </w:tr>
      <w:tr>
        <w:tc>
          <w:tcPr/>
          <w:p>
            <w:pPr>
              <w:pStyle w:val="Compact"/>
            </w:pPr>
            <w:r>
              <w:rPr>
                <w:lang w:val="de-DE"/>
              </w:rPr>
              <w:t xml:space="preserve">Datenaustauschreferenz fortlaufend und dauerhaft vergeben</w:t>
            </w:r>
          </w:p>
        </w:tc>
        <w:tc>
          <w:tcPr/>
          <w:p>
            <w:pPr>
              <w:pStyle w:val="Compact"/>
            </w:pPr>
            <w:r>
              <w:rPr>
                <w:lang w:val="de-DE"/>
              </w:rPr>
              <w:t xml:space="preserve">vollständig</w:t>
            </w:r>
          </w:p>
        </w:tc>
      </w:tr>
      <w:tr>
        <w:tc>
          <w:tcPr/>
          <w:p>
            <w:pPr>
              <w:pStyle w:val="Compact"/>
            </w:pPr>
            <w:r>
              <w:rPr>
                <w:lang w:val="de-DE"/>
              </w:rPr>
              <w:t xml:space="preserve">Art der Datei (Test / Erprobung / Echt)</w:t>
            </w:r>
          </w:p>
        </w:tc>
        <w:tc>
          <w:tcPr/>
          <w:p>
            <w:pPr>
              <w:pStyle w:val="Compact"/>
            </w:pPr>
            <w:r>
              <w:rPr>
                <w:lang w:val="de-DE"/>
              </w:rPr>
              <w:t xml:space="preserve">einstellbar</w:t>
            </w:r>
          </w:p>
        </w:tc>
      </w:tr>
      <w:tr>
        <w:tc>
          <w:tcPr/>
          <w:p>
            <w:pPr>
              <w:pStyle w:val="Compact"/>
            </w:pPr>
            <w:r>
              <w:rPr>
                <w:lang w:val="de-DE"/>
              </w:rPr>
              <w:t xml:space="preserve">Auftragsdatei</w:t>
            </w:r>
          </w:p>
        </w:tc>
        <w:tc>
          <w:tcPr/>
          <w:p>
            <w:pPr>
              <w:pStyle w:val="Compact"/>
            </w:pPr>
            <w:r>
              <w:rPr>
                <w:b/>
                <w:bCs/>
                <w:lang w:val="de-DE"/>
              </w:rPr>
              <w:t xml:space="preserve">fehlt</w:t>
            </w:r>
          </w:p>
        </w:tc>
      </w:tr>
      <w:tr>
        <w:tc>
          <w:tcPr/>
          <w:p>
            <w:pPr>
              <w:pStyle w:val="Compact"/>
            </w:pPr>
            <w:r>
              <w:rPr>
                <w:lang w:val="de-DE"/>
              </w:rPr>
              <w:t xml:space="preserve">Signatur und Verschlüsselung</w:t>
            </w:r>
          </w:p>
        </w:tc>
        <w:tc>
          <w:tcPr/>
          <w:p>
            <w:pPr>
              <w:pStyle w:val="Compact"/>
            </w:pPr>
            <w:r>
              <w:rPr>
                <w:b/>
                <w:bCs/>
                <w:lang w:val="de-DE"/>
              </w:rPr>
              <w:t xml:space="preserve">fehlt</w:t>
            </w:r>
          </w:p>
        </w:tc>
      </w:tr>
      <w:tr>
        <w:tc>
          <w:tcPr/>
          <w:p>
            <w:pPr>
              <w:pStyle w:val="Compact"/>
            </w:pPr>
            <w:r>
              <w:rPr>
                <w:lang w:val="de-DE"/>
              </w:rPr>
              <w:t xml:space="preserve">Zuordnung zur Datenannahmestelle statt zur Kasse</w:t>
            </w:r>
          </w:p>
        </w:tc>
        <w:tc>
          <w:tcPr/>
          <w:p>
            <w:pPr>
              <w:pStyle w:val="Compact"/>
            </w:pPr>
            <w:r>
              <w:rPr>
                <w:b/>
                <w:bCs/>
                <w:lang w:val="de-DE"/>
              </w:rPr>
              <w:t xml:space="preserve">fehlt</w:t>
            </w:r>
          </w:p>
        </w:tc>
      </w:tr>
      <w:tr>
        <w:tc>
          <w:tcPr/>
          <w:p>
            <w:pPr>
              <w:pStyle w:val="Compact"/>
            </w:pPr>
            <w:r>
              <w:rPr>
                <w:lang w:val="de-DE"/>
              </w:rPr>
              <w:t xml:space="preserve">Übertragung selbst</w:t>
            </w:r>
          </w:p>
        </w:tc>
        <w:tc>
          <w:tcPr/>
          <w:p>
            <w:pPr>
              <w:pStyle w:val="Compact"/>
            </w:pPr>
            <w:r>
              <w:rPr>
                <w:lang w:val="de-DE"/>
              </w:rPr>
              <w:t xml:space="preserve">dateibasiert, kein realer Weg</w:t>
            </w:r>
          </w:p>
        </w:tc>
      </w:tr>
    </w:tbl>
    <w:p>
      <w:pPr>
        <w:pStyle w:val="BodyText"/>
      </w:pPr>
      <w:r>
        <w:rPr>
          <w:lang w:val="de-DE"/>
        </w:rPr>
        <w:t xml:space="preserve">Die eigene Prüfung vor dem Versand ist kein Beiwerk: der Absender hat sicherzustellen, dass</w:t>
      </w:r>
      <w:r>
        <w:rPr>
          <w:lang w:val="de-DE"/>
        </w:rPr>
        <w:t xml:space="preserve"> </w:t>
      </w:r>
      <w:r>
        <w:rPr>
          <w:b/>
          <w:bCs/>
          <w:lang w:val="de-DE"/>
        </w:rPr>
        <w:t xml:space="preserve">nur geprüfte Datensätze übermittelt werden</w:t>
      </w:r>
      <w:r>
        <w:rPr>
          <w:lang w:val="de-DE"/>
        </w:rPr>
        <w:t xml:space="preserve">. Genau dafür ist die Prüfstufe im Programm das Tor vor dem Versand.</w:t>
      </w:r>
    </w:p>
    <w:bookmarkEnd w:id="32"/>
    <w:bookmarkStart w:id="33" w:name="drei-mögliche-wege"/>
    <w:p>
      <w:pPr>
        <w:pStyle w:val="Heading2"/>
      </w:pPr>
      <w:r>
        <w:rPr>
          <w:lang w:val="de-DE"/>
        </w:rPr>
        <w:t xml:space="preserve">Drei mögliche Wege</w:t>
      </w:r>
    </w:p>
    <w:p>
      <w:pPr>
        <w:pStyle w:val="FirstParagraph"/>
      </w:pPr>
      <w:r>
        <w:rPr>
          <w:b/>
          <w:bCs/>
          <w:lang w:val="de-DE"/>
        </w:rPr>
        <w:t xml:space="preserve">A — Selbst übermitteln.</w:t>
      </w:r>
      <w:r>
        <w:rPr>
          <w:lang w:val="de-DE"/>
        </w:rPr>
        <w:t xml:space="preserve"> </w:t>
      </w:r>
      <w:r>
        <w:rPr>
          <w:lang w:val="de-DE"/>
        </w:rPr>
        <w:t xml:space="preserve">Eigenes Betriebsstätten-IK, eigenes Zertifikat, eigener Transportweg. Volle Kontrolle, keine laufenden Kosten je Rechnung. Dafür sind Schlüsselverwaltung, Auftragsdatei, Transportprotokoll und eine Erprobung je Annahmestelle nötig — und die Verantwortung für jede Übermittlung liegt bei der Leistungserbringerin.</w:t>
      </w:r>
    </w:p>
    <w:p>
      <w:pPr>
        <w:pStyle w:val="BodyText"/>
      </w:pPr>
      <w:r>
        <w:rPr>
          <w:b/>
          <w:bCs/>
          <w:lang w:val="de-DE"/>
        </w:rPr>
        <w:t xml:space="preserve">B — Über eine Abrechnungsstelle.</w:t>
      </w:r>
      <w:r>
        <w:rPr>
          <w:lang w:val="de-DE"/>
        </w:rPr>
        <w:t xml:space="preserve"> </w:t>
      </w:r>
      <w:r>
        <w:rPr>
          <w:lang w:val="de-DE"/>
        </w:rPr>
        <w:t xml:space="preserve">Ein Dienstleister übernimmt Übermittlung und häufig auch das Inkasso. Die Technische Anlage sieht dafür ausdrücklich die</w:t>
      </w:r>
      <w:r>
        <w:rPr>
          <w:lang w:val="de-DE"/>
        </w:rPr>
        <w:t xml:space="preserve"> </w:t>
      </w:r>
      <w:r>
        <w:rPr>
          <w:b/>
          <w:bCs/>
          <w:lang w:val="de-DE"/>
        </w:rPr>
        <w:t xml:space="preserve">Rechnungsart 2</w:t>
      </w:r>
      <w:r>
        <w:rPr>
          <w:lang w:val="de-DE"/>
        </w:rPr>
        <w:t xml:space="preserve"> </w:t>
      </w:r>
      <w:r>
        <w:rPr>
          <w:lang w:val="de-DE"/>
        </w:rPr>
        <w:t xml:space="preserve">vor: der Dienstleister fasst die Rechnungen zusammen, Rechnungssteller bleibt die einzelne Leistungserbringerin, die Zahlung geht an deren IK. Der Einstieg ist deutlich einfacher, es entstehen Kosten je Rechnung, und eine Abhängigkeit.</w:t>
      </w:r>
    </w:p>
    <w:p>
      <w:pPr>
        <w:pStyle w:val="BodyText"/>
      </w:pPr>
      <w:r>
        <w:rPr>
          <w:b/>
          <w:bCs/>
          <w:lang w:val="de-DE"/>
        </w:rPr>
        <w:t xml:space="preserve">C — Erzeugen und prüfen, Übergabe als Datei.</w:t>
      </w:r>
      <w:r>
        <w:rPr>
          <w:lang w:val="de-DE"/>
        </w:rPr>
        <w:t xml:space="preserve"> </w:t>
      </w:r>
      <w:r>
        <w:rPr>
          <w:lang w:val="de-DE"/>
        </w:rPr>
        <w:t xml:space="preserve">Der heutige Stand: das Programm erstellt die geprüfte Datei, die Übermittlung geschieht auf anderem Weg.</w:t>
      </w:r>
    </w:p>
    <w:p>
      <w:pPr>
        <w:pStyle w:val="BodyText"/>
      </w:pPr>
      <w:r>
        <w:rPr>
          <w:b/>
          <w:bCs/>
          <w:lang w:val="de-DE"/>
        </w:rPr>
        <w:t xml:space="preserve">Empfehlung: C, dann B, dann A.</w:t>
      </w:r>
      <w:r>
        <w:rPr>
          <w:lang w:val="de-DE"/>
        </w:rPr>
        <w:t xml:space="preserve"> </w:t>
      </w:r>
      <w:r>
        <w:rPr>
          <w:lang w:val="de-DE"/>
        </w:rPr>
        <w:t xml:space="preserve">Das Programm erzeugt und prüft bereits vollständig; was fehlt, ist ausschließlich der Transport. Wer zuerst über eine Abrechnungsstelle geht, kann abrechnen, während der eigene Weg vorbereitet wird — und die dabei zurückkommenden Beanstandungen sind die beste Vorbereitung auf die Erprobung.</w:t>
      </w:r>
    </w:p>
    <w:p>
      <w:pPr>
        <w:pStyle w:val="BodyText"/>
      </w:pPr>
      <w:r>
        <w:rPr>
          <w:b/>
          <w:bCs/>
          <w:lang w:val="de-DE"/>
        </w:rPr>
        <w:t xml:space="preserve">Der Umbau bleibt in jedem Fall klein</w:t>
      </w:r>
      <w:r>
        <w:rPr>
          <w:lang w:val="de-DE"/>
        </w:rPr>
        <w:t xml:space="preserve">, weil er hinter einer einzigen Schnittstelle liegt:</w:t>
      </w:r>
      <w:r>
        <w:rPr>
          <w:lang w:val="de-DE"/>
        </w:rPr>
        <w:t xml:space="preserve"> </w:t>
      </w:r>
      <w:r>
        <w:rPr>
          <w:rStyle w:val="VerbatimChar"/>
          <w:lang w:val="de-DE"/>
        </w:rPr>
        <w:t xml:space="preserve">BillingOfficeTransport</w:t>
      </w:r>
      <w:r>
        <w:rPr>
          <w:lang w:val="de-DE"/>
        </w:rPr>
        <w:t xml:space="preserve">. Erzeugung, Prüfung, Zuordnung und Auswertung der Rückmeldungen bleiben unverändert.</w:t>
      </w:r>
    </w:p>
    <w:bookmarkEnd w:id="33"/>
    <w:bookmarkStart w:id="34" w:name="was-zu-beschaffen-ist"/>
    <w:p>
      <w:pPr>
        <w:pStyle w:val="Heading2"/>
      </w:pPr>
      <w:r>
        <w:rPr>
          <w:lang w:val="de-DE"/>
        </w:rPr>
        <w:t xml:space="preserve">Was zu beschaffen ist</w:t>
      </w:r>
    </w:p>
    <w:p>
      <w:pPr>
        <w:pStyle w:val="FirstParagraph"/>
      </w:pPr>
      <w:r>
        <w:rPr>
          <w:lang w:val="de-DE"/>
        </w:rPr>
        <w:t xml:space="preserve">Keiner dieser Punkte lässt sich programmieren:</w:t>
      </w:r>
    </w:p>
    <w:p>
      <w:pPr>
        <w:pStyle w:val="Compact"/>
        <w:numPr>
          <w:ilvl w:val="0"/>
          <w:numId w:val="1004"/>
        </w:numPr>
      </w:pPr>
      <w:r>
        <w:rPr>
          <w:lang w:val="de-DE"/>
        </w:rPr>
        <w:t xml:space="preserve">ein eigenes</w:t>
      </w:r>
      <w:r>
        <w:rPr>
          <w:lang w:val="de-DE"/>
        </w:rPr>
        <w:t xml:space="preserve"> </w:t>
      </w:r>
      <w:r>
        <w:rPr>
          <w:b/>
          <w:bCs/>
          <w:lang w:val="de-DE"/>
        </w:rPr>
        <w:t xml:space="preserve">Betriebsstätten-IK</w:t>
      </w:r>
    </w:p>
    <w:p>
      <w:pPr>
        <w:pStyle w:val="Compact"/>
        <w:numPr>
          <w:ilvl w:val="0"/>
          <w:numId w:val="1004"/>
        </w:numPr>
      </w:pPr>
      <w:r>
        <w:rPr>
          <w:lang w:val="de-DE"/>
        </w:rPr>
        <w:t xml:space="preserve">ein</w:t>
      </w:r>
      <w:r>
        <w:rPr>
          <w:lang w:val="de-DE"/>
        </w:rPr>
        <w:t xml:space="preserve"> </w:t>
      </w:r>
      <w:r>
        <w:rPr>
          <w:b/>
          <w:bCs/>
          <w:lang w:val="de-DE"/>
        </w:rPr>
        <w:t xml:space="preserve">Zertifikat</w:t>
      </w:r>
      <w:r>
        <w:rPr>
          <w:lang w:val="de-DE"/>
        </w:rPr>
        <w:t xml:space="preserve"> </w:t>
      </w:r>
      <w:r>
        <w:rPr>
          <w:lang w:val="de-DE"/>
        </w:rPr>
        <w:t xml:space="preserve">einer anerkannten Stelle für Signatur und Verschlüsselung</w:t>
      </w:r>
    </w:p>
    <w:p>
      <w:pPr>
        <w:pStyle w:val="Compact"/>
        <w:numPr>
          <w:ilvl w:val="0"/>
          <w:numId w:val="1004"/>
        </w:numPr>
      </w:pPr>
      <w:r>
        <w:rPr>
          <w:b/>
          <w:bCs/>
          <w:lang w:val="de-DE"/>
        </w:rPr>
        <w:t xml:space="preserve">Zugangsdaten</w:t>
      </w:r>
      <w:r>
        <w:rPr>
          <w:lang w:val="de-DE"/>
        </w:rPr>
        <w:t xml:space="preserve"> </w:t>
      </w:r>
      <w:r>
        <w:rPr>
          <w:lang w:val="de-DE"/>
        </w:rPr>
        <w:t xml:space="preserve">der Datenannahmestelle</w:t>
      </w:r>
    </w:p>
    <w:p>
      <w:pPr>
        <w:pStyle w:val="Compact"/>
        <w:numPr>
          <w:ilvl w:val="0"/>
          <w:numId w:val="1004"/>
        </w:numPr>
      </w:pPr>
      <w:r>
        <w:rPr>
          <w:lang w:val="de-DE"/>
        </w:rPr>
        <w:t xml:space="preserve">die</w:t>
      </w:r>
      <w:r>
        <w:rPr>
          <w:lang w:val="de-DE"/>
        </w:rPr>
        <w:t xml:space="preserve"> </w:t>
      </w:r>
      <w:r>
        <w:rPr>
          <w:b/>
          <w:bCs/>
          <w:lang w:val="de-DE"/>
        </w:rPr>
        <w:t xml:space="preserve">Kostenträgerdatei</w:t>
      </w:r>
      <w:r>
        <w:rPr>
          <w:lang w:val="de-DE"/>
        </w:rPr>
        <w:t xml:space="preserve"> </w:t>
      </w:r>
      <w:r>
        <w:rPr>
          <w:lang w:val="de-DE"/>
        </w:rPr>
        <w:t xml:space="preserve">der jeweiligen Kassenart</w:t>
      </w:r>
    </w:p>
    <w:p>
      <w:pPr>
        <w:pStyle w:val="Compact"/>
        <w:numPr>
          <w:ilvl w:val="0"/>
          <w:numId w:val="1004"/>
        </w:numPr>
      </w:pPr>
      <w:r>
        <w:rPr>
          <w:lang w:val="de-DE"/>
        </w:rPr>
        <w:t xml:space="preserve">die beiden fehlenden Unterlagen:</w:t>
      </w:r>
      <w:r>
        <w:rPr>
          <w:lang w:val="de-DE"/>
        </w:rPr>
        <w:t xml:space="preserve"> </w:t>
      </w:r>
      <w:r>
        <w:rPr>
          <w:b/>
          <w:bCs/>
          <w:lang w:val="de-DE"/>
        </w:rPr>
        <w:t xml:space="preserve">Anhang 1 zur Anlage 1, Kapitel 4</w:t>
      </w:r>
      <w:r>
        <w:rPr>
          <w:lang w:val="de-DE"/>
        </w:rPr>
        <w:t xml:space="preserve"> </w:t>
      </w:r>
      <w:r>
        <w:rPr>
          <w:lang w:val="de-DE"/>
        </w:rPr>
        <w:t xml:space="preserve">(Übermittlungsverfahren) und</w:t>
      </w:r>
      <w:r>
        <w:rPr>
          <w:lang w:val="de-DE"/>
        </w:rPr>
        <w:t xml:space="preserve"> </w:t>
      </w:r>
      <w:r>
        <w:rPr>
          <w:b/>
          <w:bCs/>
          <w:lang w:val="de-DE"/>
        </w:rPr>
        <w:t xml:space="preserve">Anhang 2 zur Anlage 1, Kapitel 9</w:t>
      </w:r>
      <w:r>
        <w:rPr>
          <w:lang w:val="de-DE"/>
        </w:rPr>
        <w:t xml:space="preserve"> </w:t>
      </w:r>
      <w:r>
        <w:rPr>
          <w:lang w:val="de-DE"/>
        </w:rPr>
        <w:t xml:space="preserve">(Testverfahren)</w:t>
      </w:r>
    </w:p>
    <w:p>
      <w:pPr>
        <w:pStyle w:val="Compact"/>
        <w:numPr>
          <w:ilvl w:val="0"/>
          <w:numId w:val="1004"/>
        </w:numPr>
      </w:pPr>
      <w:r>
        <w:rPr>
          <w:lang w:val="de-DE"/>
        </w:rPr>
        <w:t xml:space="preserve">die gültigen</w:t>
      </w:r>
      <w:r>
        <w:rPr>
          <w:lang w:val="de-DE"/>
        </w:rPr>
        <w:t xml:space="preserve"> </w:t>
      </w:r>
      <w:r>
        <w:rPr>
          <w:b/>
          <w:bCs/>
          <w:lang w:val="de-DE"/>
        </w:rPr>
        <w:t xml:space="preserve">Abrechnungspositionsnummern</w:t>
      </w:r>
      <w:r>
        <w:rPr>
          <w:lang w:val="de-DE"/>
        </w:rPr>
        <w:t xml:space="preserve"> </w:t>
      </w:r>
      <w:r>
        <w:rPr>
          <w:lang w:val="de-DE"/>
        </w:rPr>
        <w:t xml:space="preserve">und das</w:t>
      </w:r>
      <w:r>
        <w:rPr>
          <w:lang w:val="de-DE"/>
        </w:rPr>
        <w:t xml:space="preserve"> </w:t>
      </w:r>
      <w:r>
        <w:rPr>
          <w:b/>
          <w:bCs/>
          <w:lang w:val="de-DE"/>
        </w:rPr>
        <w:t xml:space="preserve">Tarifkennzeichen</w:t>
      </w:r>
      <w:r>
        <w:rPr>
          <w:lang w:val="de-DE"/>
        </w:rPr>
        <w:t xml:space="preserve"> </w:t>
      </w:r>
      <w:r>
        <w:rPr>
          <w:lang w:val="de-DE"/>
        </w:rPr>
        <w:t xml:space="preserve">aus Anlage 3 beziehungsweise dem Vertrag</w:t>
      </w:r>
    </w:p>
    <w:bookmarkEnd w:id="34"/>
    <w:bookmarkStart w:id="35" w:name="pflichten-neben-der-übermittlung"/>
    <w:p>
      <w:pPr>
        <w:pStyle w:val="Heading2"/>
      </w:pPr>
      <w:r>
        <w:rPr>
          <w:lang w:val="de-DE"/>
        </w:rPr>
        <w:t xml:space="preserve">Pflichten neben der Übermittlung</w:t>
      </w:r>
    </w:p>
    <w:p>
      <w:pPr>
        <w:pStyle w:val="FirstParagraph"/>
      </w:pPr>
      <w:r>
        <w:rPr>
          <w:lang w:val="de-DE"/>
        </w:rPr>
        <w:t xml:space="preserve">Die Technische Anlage verlangt zweierlei, das nicht in der Datei steht:</w:t>
      </w:r>
    </w:p>
    <w:p>
      <w:pPr>
        <w:pStyle w:val="Compact"/>
        <w:numPr>
          <w:ilvl w:val="0"/>
          <w:numId w:val="1005"/>
        </w:numPr>
      </w:pPr>
      <w:r>
        <w:rPr>
          <w:lang w:val="de-DE"/>
        </w:rPr>
        <w:t xml:space="preserve">Über den Datenaustausch ist eine</w:t>
      </w:r>
      <w:r>
        <w:rPr>
          <w:lang w:val="de-DE"/>
        </w:rPr>
        <w:t xml:space="preserve"> </w:t>
      </w:r>
      <w:r>
        <w:rPr>
          <w:b/>
          <w:bCs/>
          <w:lang w:val="de-DE"/>
        </w:rPr>
        <w:t xml:space="preserve">Dokumentation</w:t>
      </w:r>
      <w:r>
        <w:rPr>
          <w:lang w:val="de-DE"/>
        </w:rPr>
        <w:t xml:space="preserve"> </w:t>
      </w:r>
      <w:r>
        <w:rPr>
          <w:lang w:val="de-DE"/>
        </w:rPr>
        <w:t xml:space="preserve">zu führen und</w:t>
      </w:r>
      <w:r>
        <w:rPr>
          <w:lang w:val="de-DE"/>
        </w:rPr>
        <w:t xml:space="preserve"> </w:t>
      </w:r>
      <w:r>
        <w:rPr>
          <w:b/>
          <w:bCs/>
          <w:lang w:val="de-DE"/>
        </w:rPr>
        <w:t xml:space="preserve">mindestens zwei Jahre</w:t>
      </w:r>
      <w:r>
        <w:rPr>
          <w:lang w:val="de-DE"/>
        </w:rPr>
        <w:t xml:space="preserve"> </w:t>
      </w:r>
      <w:r>
        <w:rPr>
          <w:lang w:val="de-DE"/>
        </w:rPr>
        <w:t xml:space="preserve">aufzubewahren — von der Initiierung bis zur Quittierung.</w:t>
      </w:r>
    </w:p>
    <w:p>
      <w:pPr>
        <w:pStyle w:val="Compact"/>
        <w:numPr>
          <w:ilvl w:val="0"/>
          <w:numId w:val="1005"/>
        </w:numPr>
      </w:pPr>
      <w:r>
        <w:rPr>
          <w:lang w:val="de-DE"/>
        </w:rPr>
        <w:t xml:space="preserve">Eine</w:t>
      </w:r>
      <w:r>
        <w:rPr>
          <w:lang w:val="de-DE"/>
        </w:rPr>
        <w:t xml:space="preserve"> </w:t>
      </w:r>
      <w:r>
        <w:rPr>
          <w:b/>
          <w:bCs/>
          <w:lang w:val="de-DE"/>
        </w:rPr>
        <w:t xml:space="preserve">Sicherungskopie</w:t>
      </w:r>
      <w:r>
        <w:rPr>
          <w:lang w:val="de-DE"/>
        </w:rPr>
        <w:t xml:space="preserve"> </w:t>
      </w:r>
      <w:r>
        <w:rPr>
          <w:lang w:val="de-DE"/>
        </w:rPr>
        <w:t xml:space="preserve">der Daten ist bis zur Bezahlung vorzuhalten, damit sich eine verlorene oder zurückgewiesene Lieferung rekonstruieren lässt.</w:t>
      </w:r>
    </w:p>
    <w:p>
      <w:pPr>
        <w:pStyle w:val="FirstParagraph"/>
      </w:pPr>
      <w:r>
        <w:rPr>
          <w:lang w:val="de-DE"/>
        </w:rPr>
        <w:t xml:space="preserve">Beides ist im Programm bisher nicht abgebildet und gehört zum Weg in den Echtbetrieb.</w:t>
      </w:r>
    </w:p>
    <w:bookmarkEnd w:id="35"/>
    <w:bookmarkEnd w:id="36"/>
    <w:bookmarkStart w:id="51" w:name="aufbau-des-programms"/>
    <w:p>
      <w:pPr>
        <w:pStyle w:val="Heading1"/>
      </w:pPr>
      <w:r>
        <w:rPr>
          <w:lang w:val="de-DE"/>
        </w:rPr>
        <w:t xml:space="preserve">Aufbau des Programms</w:t>
      </w:r>
    </w:p>
    <w:bookmarkStart w:id="37"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7"/>
    <w:bookmarkStart w:id="41"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9" name="Picture"/>
            <a:graphic>
              <a:graphicData uri="http://schemas.openxmlformats.org/drawingml/2006/picture">
                <pic:pic>
                  <pic:nvPicPr>
                    <pic:cNvPr descr="GKVTransmitter_Domaene.png" id="40" name="Picture"/>
                    <pic:cNvPicPr>
                      <a:picLocks noChangeArrowheads="1" noChangeAspect="1"/>
                    </pic:cNvPicPr>
                  </pic:nvPicPr>
                  <pic:blipFill>
                    <a:blip r:embed="rId38"/>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41"/>
    <w:bookmarkStart w:id="45"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43" name="Picture"/>
            <a:graphic>
              <a:graphicData uri="http://schemas.openxmlformats.org/drawingml/2006/picture">
                <pic:pic>
                  <pic:nvPicPr>
                    <pic:cNvPr descr="GKVTransmitter_DTA_und_Versand.png" id="44" name="Picture"/>
                    <pic:cNvPicPr>
                      <a:picLocks noChangeArrowheads="1" noChangeAspect="1"/>
                    </pic:cNvPicPr>
                  </pic:nvPicPr>
                  <pic:blipFill>
                    <a:blip r:embed="rId42"/>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45"/>
    <w:bookmarkStart w:id="49"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47" name="Picture"/>
            <a:graphic>
              <a:graphicData uri="http://schemas.openxmlformats.org/drawingml/2006/picture">
                <pic:pic>
                  <pic:nvPicPr>
                    <pic:cNvPr descr="GKVTransmitter_Praesentation_und_Persistenz.png" id="48" name="Picture"/>
                    <pic:cNvPicPr>
                      <a:picLocks noChangeArrowheads="1" noChangeAspect="1"/>
                    </pic:cNvPicPr>
                  </pic:nvPicPr>
                  <pic:blipFill>
                    <a:blip r:embed="rId46"/>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9"/>
    <w:bookmarkStart w:id="50"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50"/>
    <w:bookmarkEnd w:id="51"/>
    <w:bookmarkStart w:id="54" w:name="konfiguration"/>
    <w:p>
      <w:pPr>
        <w:pStyle w:val="Heading1"/>
      </w:pPr>
      <w:r>
        <w:rPr>
          <w:lang w:val="de-DE"/>
        </w:rPr>
        <w:t xml:space="preserve">Konfiguration</w:t>
      </w:r>
    </w:p>
    <w:bookmarkStart w:id="52" w:name="einstellungen-in-der-anwendung"/>
    <w:p>
      <w:pPr>
        <w:pStyle w:val="Heading2"/>
      </w:pPr>
      <w:r>
        <w:rPr>
          <w:lang w:val="de-DE"/>
        </w:rPr>
        <w:t xml:space="preserve">Einstellungen in der Anwendung</w:t>
      </w:r>
    </w:p>
    <w:p>
      <w:pPr>
        <w:pStyle w:val="FirstParagraph"/>
      </w:pPr>
      <w:r>
        <w:rPr>
          <w:lang w:val="de-DE"/>
        </w:rPr>
        <w:t xml:space="preserve">Was sich im Bereich „Einstellungen” wählen lässt, steht in</w:t>
      </w:r>
      <w:r>
        <w:rPr>
          <w:lang w:val="de-DE"/>
        </w:rPr>
        <w:t xml:space="preserve"> </w:t>
      </w:r>
      <w:r>
        <w:rPr>
          <w:rStyle w:val="VerbatimChar"/>
          <w:lang w:val="de-DE"/>
        </w:rPr>
        <w:t xml:space="preserve">einstellungen.json</w:t>
      </w:r>
      <w:r>
        <w:rPr>
          <w:lang w:val="de-DE"/>
        </w:rPr>
        <w:t xml:space="preserve"> </w:t>
      </w:r>
      <w:r>
        <w:rPr>
          <w:lang w:val="de-DE"/>
        </w:rPr>
        <w:t xml:space="preserve">im Ablageort der Daten —</w:t>
      </w:r>
      <w:r>
        <w:rPr>
          <w:lang w:val="de-DE"/>
        </w:rPr>
        <w:t xml:space="preserve"> </w:t>
      </w:r>
      <w:r>
        <w:rPr>
          <w:b/>
          <w:bCs/>
          <w:lang w:val="de-DE"/>
        </w:rPr>
        <w:t xml:space="preserve">neben der Datenbank, nicht im Programmordner</w:t>
      </w:r>
      <w:r>
        <w:rPr>
          <w:lang w:val="de-DE"/>
        </w:rPr>
        <w:t xml:space="preserve">. Wer die Daten sichert oder auf einen anderen Rechner mitnimmt, nimmt diese Datei 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Schlüssel</w:t>
            </w:r>
          </w:p>
        </w:tc>
        <w:tc>
          <w:tcPr/>
          <w:p>
            <w:pPr>
              <w:pStyle w:val="Compact"/>
            </w:pPr>
            <w:r>
              <w:rPr>
                <w:lang w:val="de-DE"/>
              </w:rPr>
              <w:t xml:space="preserve">Werte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darstellung</w:t>
            </w:r>
          </w:p>
        </w:tc>
        <w:tc>
          <w:tcPr/>
          <w:p>
            <w:pPr>
              <w:pStyle w:val="Compact"/>
            </w:pPr>
            <w:r>
              <w:rPr>
                <w:rStyle w:val="VerbatimChar"/>
                <w:lang w:val="de-DE"/>
              </w:rPr>
              <w:t xml:space="preserve">hell</w:t>
            </w:r>
            <w:r>
              <w:rPr>
                <w:lang w:val="de-DE"/>
              </w:rPr>
              <w:t xml:space="preserve">,</w:t>
            </w:r>
            <w:r>
              <w:rPr>
                <w:lang w:val="de-DE"/>
              </w:rPr>
              <w:t xml:space="preserve"> </w:t>
            </w:r>
            <w:r>
              <w:rPr>
                <w:rStyle w:val="VerbatimChar"/>
                <w:lang w:val="de-DE"/>
              </w:rPr>
              <w:t xml:space="preserve">dunkel</w:t>
            </w:r>
          </w:p>
        </w:tc>
        <w:tc>
          <w:tcPr/>
          <w:p>
            <w:pPr>
              <w:pStyle w:val="Compact"/>
            </w:pPr>
            <w:r>
              <w:rPr>
                <w:rStyle w:val="VerbatimChar"/>
                <w:lang w:val="de-DE"/>
              </w:rPr>
              <w:t xml:space="preserve">hell</w:t>
            </w:r>
          </w:p>
        </w:tc>
        <w:tc>
          <w:tcPr/>
          <w:p>
            <w:pPr>
              <w:pStyle w:val="Compact"/>
            </w:pPr>
            <w:r>
              <w:rPr>
                <w:lang w:val="de-DE"/>
              </w:rPr>
              <w:t xml:space="preserve">helle oder dunkle Oberfläche</w:t>
            </w:r>
          </w:p>
        </w:tc>
      </w:tr>
      <w:tr>
        <w:tc>
          <w:tcPr/>
          <w:p>
            <w:pPr>
              <w:pStyle w:val="Compact"/>
            </w:pPr>
            <w:r>
              <w:rPr>
                <w:rStyle w:val="VerbatimChar"/>
                <w:lang w:val="de-DE"/>
              </w:rPr>
              <w:t xml:space="preserve">uebermittlungsart</w:t>
            </w:r>
          </w:p>
        </w:tc>
        <w:tc>
          <w:tcPr/>
          <w:p>
            <w:pPr>
              <w:pStyle w:val="Compact"/>
            </w:pPr>
            <w:r>
              <w:rPr>
                <w:rStyle w:val="VerbatimChar"/>
                <w:lang w:val="de-DE"/>
              </w:rPr>
              <w:t xml:space="preserve">test</w:t>
            </w:r>
            <w:r>
              <w:rPr>
                <w:lang w:val="de-DE"/>
              </w:rPr>
              <w:t xml:space="preserve">,</w:t>
            </w:r>
            <w:r>
              <w:rPr>
                <w:lang w:val="de-DE"/>
              </w:rPr>
              <w:t xml:space="preserve"> </w:t>
            </w:r>
            <w:r>
              <w:rPr>
                <w:rStyle w:val="VerbatimChar"/>
                <w:lang w:val="de-DE"/>
              </w:rPr>
              <w:t xml:space="preserve">erprobung</w:t>
            </w:r>
            <w:r>
              <w:rPr>
                <w:lang w:val="de-DE"/>
              </w:rPr>
              <w:t xml:space="preserve">,</w:t>
            </w:r>
            <w:r>
              <w:rPr>
                <w:lang w:val="de-DE"/>
              </w:rPr>
              <w:t xml:space="preserve"> </w:t>
            </w:r>
            <w:r>
              <w:rPr>
                <w:rStyle w:val="VerbatimChar"/>
                <w:lang w:val="de-DE"/>
              </w:rPr>
              <w:t xml:space="preserve">echt</w:t>
            </w:r>
          </w:p>
        </w:tc>
        <w:tc>
          <w:tcPr/>
          <w:p>
            <w:pPr>
              <w:pStyle w:val="Compact"/>
            </w:pPr>
            <w:r>
              <w:rPr>
                <w:rStyle w:val="VerbatimChar"/>
                <w:lang w:val="de-DE"/>
              </w:rPr>
              <w:t xml:space="preserve">erprobung</w:t>
            </w:r>
          </w:p>
        </w:tc>
        <w:tc>
          <w:tcPr/>
          <w:p>
            <w:pPr>
              <w:pStyle w:val="Compact"/>
            </w:pPr>
            <w:r>
              <w:rPr>
                <w:lang w:val="de-DE"/>
              </w:rPr>
              <w:t xml:space="preserve">wofür sich erzeugte Dateien ausgeben</w:t>
            </w:r>
          </w:p>
        </w:tc>
      </w:tr>
    </w:tbl>
    <w:p>
      <w:pPr>
        <w:pStyle w:val="BodyText"/>
      </w:pPr>
      <w:r>
        <w:rPr>
          <w:lang w:val="de-DE"/>
        </w:rPr>
        <w:t xml:space="preserve">Jede Änderung wirkt sofort und wird sofort geschrieben. Ist die Datei beschädigt oder nicht lesbar, gelten die Vorgaben und die Anwendung startet trotzdem — eine Farbwahl ist nichts, wofür ein Programm nicht aufgehen darf.</w:t>
      </w:r>
    </w:p>
    <w:p>
      <w:pPr>
        <w:pStyle w:val="BodyText"/>
      </w:pPr>
      <w:r>
        <w:rPr>
          <w:b/>
          <w:bCs/>
          <w:lang w:val="de-DE"/>
        </w:rPr>
        <w:t xml:space="preserve">Zugangsdaten und Schlüssel gehören nicht in diese Datei.</w:t>
      </w:r>
      <w:r>
        <w:rPr>
          <w:lang w:val="de-DE"/>
        </w:rPr>
        <w:t xml:space="preserve"> </w:t>
      </w:r>
      <w:r>
        <w:rPr>
          <w:lang w:val="de-DE"/>
        </w:rPr>
        <w:t xml:space="preserve">Sie liegt im Klartext im Benutzerprofil. Sobald ein echter Übermittlungsweg Zugangsdaten braucht, gehören diese in den Anmeldeinformationsspeicher des Betriebssystems.</w:t>
      </w:r>
    </w:p>
    <w:bookmarkEnd w:id="52"/>
    <w:bookmarkStart w:id="53" w:name="beim-start"/>
    <w:p>
      <w:pPr>
        <w:pStyle w:val="Heading2"/>
      </w:pPr>
      <w:r>
        <w:rPr>
          <w:lang w:val="de-DE"/>
        </w:rPr>
        <w:t xml:space="preserve">Beim Start</w:t>
      </w:r>
    </w:p>
    <w:p>
      <w:pPr>
        <w:pStyle w:val="FirstParagraph"/>
      </w:pPr>
      <w:r>
        <w:rPr>
          <w:lang w:val="de-DE"/>
        </w:rPr>
        <w:t xml:space="preserve">Alle folgenden Angaben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53"/>
    <w:bookmarkEnd w:id="54"/>
    <w:bookmarkStart w:id="59" w:name="entwicklung"/>
    <w:p>
      <w:pPr>
        <w:pStyle w:val="Heading1"/>
      </w:pPr>
      <w:r>
        <w:rPr>
          <w:lang w:val="de-DE"/>
        </w:rPr>
        <w:t xml:space="preserve">Entwicklung</w:t>
      </w:r>
    </w:p>
    <w:bookmarkStart w:id="55"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55"/>
    <w:bookmarkStart w:id="56"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56"/>
    <w:bookmarkStart w:id="57"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57"/>
    <w:bookmarkStart w:id="58"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58"/>
    <w:bookmarkEnd w:id="59"/>
    <w:bookmarkStart w:id="64" w:name="fachliche-grundlagen"/>
    <w:p>
      <w:pPr>
        <w:pStyle w:val="Heading1"/>
      </w:pPr>
      <w:r>
        <w:rPr>
          <w:lang w:val="de-DE"/>
        </w:rPr>
        <w:t xml:space="preserve">Fachliche Grundlagen</w:t>
      </w:r>
    </w:p>
    <w:bookmarkStart w:id="60"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60"/>
    <w:bookmarkStart w:id="61" w:name="formate"/>
    <w:p>
      <w:pPr>
        <w:pStyle w:val="Heading2"/>
      </w:pPr>
      <w:r>
        <w:rPr>
          <w:lang w:val="de-DE"/>
        </w:rPr>
        <w:t xml:space="preserve">Formate</w:t>
      </w:r>
    </w:p>
    <w:p>
      <w:pPr>
        <w:pStyle w:val="Compact"/>
        <w:numPr>
          <w:ilvl w:val="0"/>
          <w:numId w:val="1006"/>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6"/>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6"/>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61"/>
    <w:bookmarkStart w:id="62"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62"/>
    <w:bookmarkStart w:id="63"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7"/>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7"/>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7"/>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7"/>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7"/>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63"/>
    <w:bookmarkEnd w:id="64"/>
    <w:bookmarkStart w:id="65"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8"/>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 Siehe „Der Weg zur Kasse”.</w:t>
      </w:r>
    </w:p>
    <w:p>
      <w:pPr>
        <w:pStyle w:val="Compact"/>
        <w:numPr>
          <w:ilvl w:val="0"/>
          <w:numId w:val="1008"/>
        </w:numPr>
      </w:pPr>
      <w:r>
        <w:rPr>
          <w:lang w:val="de-DE"/>
        </w:rPr>
        <w:t xml:space="preserve">Die</w:t>
      </w:r>
      <w:r>
        <w:rPr>
          <w:lang w:val="de-DE"/>
        </w:rPr>
        <w:t xml:space="preserve"> </w:t>
      </w:r>
      <w:r>
        <w:rPr>
          <w:b/>
          <w:bCs/>
          <w:lang w:val="de-DE"/>
        </w:rPr>
        <w:t xml:space="preserve">Auftragsdatei</w:t>
      </w:r>
      <w:r>
        <w:rPr>
          <w:lang w:val="de-DE"/>
        </w:rPr>
        <w:t xml:space="preserve">, die zu jeder Nutzdatendatei gehört, wird nicht erzeugt.</w:t>
      </w:r>
    </w:p>
    <w:p>
      <w:pPr>
        <w:pStyle w:val="Compact"/>
        <w:numPr>
          <w:ilvl w:val="0"/>
          <w:numId w:val="1008"/>
        </w:numPr>
      </w:pPr>
      <w:r>
        <w:rPr>
          <w:lang w:val="de-DE"/>
        </w:rPr>
        <w:t xml:space="preserve">Die Zuordnung erfolgt zur einzelnen Krankenkasse; vorgesehen ist die Zuordnung zur</w:t>
      </w:r>
      <w:r>
        <w:rPr>
          <w:lang w:val="de-DE"/>
        </w:rPr>
        <w:t xml:space="preserve"> </w:t>
      </w:r>
      <w:r>
        <w:rPr>
          <w:b/>
          <w:bCs/>
          <w:lang w:val="de-DE"/>
        </w:rPr>
        <w:t xml:space="preserve">Datenannahmestelle je Kassenart</w:t>
      </w:r>
      <w:r>
        <w:rPr>
          <w:lang w:val="de-DE"/>
        </w:rPr>
        <w:t xml:space="preserve">.</w:t>
      </w:r>
    </w:p>
    <w:p>
      <w:pPr>
        <w:pStyle w:val="Compact"/>
        <w:numPr>
          <w:ilvl w:val="0"/>
          <w:numId w:val="1008"/>
        </w:numPr>
      </w:pPr>
      <w:r>
        <w:rPr>
          <w:lang w:val="de-DE"/>
        </w:rPr>
        <w:t xml:space="preserve">Die vorgeschriebene</w:t>
      </w:r>
      <w:r>
        <w:rPr>
          <w:lang w:val="de-DE"/>
        </w:rPr>
        <w:t xml:space="preserve"> </w:t>
      </w:r>
      <w:r>
        <w:rPr>
          <w:b/>
          <w:bCs/>
          <w:lang w:val="de-DE"/>
        </w:rPr>
        <w:t xml:space="preserve">Dokumentation des Datenaustauschs</w:t>
      </w:r>
      <w:r>
        <w:rPr>
          <w:lang w:val="de-DE"/>
        </w:rPr>
        <w:t xml:space="preserve"> </w:t>
      </w:r>
      <w:r>
        <w:rPr>
          <w:lang w:val="de-DE"/>
        </w:rPr>
        <w:t xml:space="preserve">(zwei Jahre) und die</w:t>
      </w:r>
      <w:r>
        <w:rPr>
          <w:lang w:val="de-DE"/>
        </w:rPr>
        <w:t xml:space="preserve"> </w:t>
      </w:r>
      <w:r>
        <w:rPr>
          <w:b/>
          <w:bCs/>
          <w:lang w:val="de-DE"/>
        </w:rPr>
        <w:t xml:space="preserve">Sicherungskopie bis zur Bezahlung</w:t>
      </w:r>
      <w:r>
        <w:rPr>
          <w:lang w:val="de-DE"/>
        </w:rPr>
        <w:t xml:space="preserve"> </w:t>
      </w:r>
      <w:r>
        <w:rPr>
          <w:lang w:val="de-DE"/>
        </w:rPr>
        <w:t xml:space="preserve">sind nicht abgebildet.</w:t>
      </w:r>
    </w:p>
    <w:p>
      <w:pPr>
        <w:pStyle w:val="Compact"/>
        <w:numPr>
          <w:ilvl w:val="0"/>
          <w:numId w:val="1008"/>
        </w:numPr>
      </w:pPr>
      <w:r>
        <w:rPr>
          <w:lang w:val="de-DE"/>
        </w:rPr>
        <w:t xml:space="preserve">Die Daten liegen</w:t>
      </w:r>
      <w:r>
        <w:rPr>
          <w:lang w:val="de-DE"/>
        </w:rPr>
        <w:t xml:space="preserve"> </w:t>
      </w:r>
      <w:r>
        <w:rPr>
          <w:b/>
          <w:bCs/>
          <w:lang w:val="de-DE"/>
        </w:rPr>
        <w:t xml:space="preserve">unverschlüsselt</w:t>
      </w:r>
      <w:r>
        <w:rPr>
          <w:lang w:val="de-DE"/>
        </w:rPr>
        <w:t xml:space="preserve"> </w:t>
      </w:r>
      <w:r>
        <w:rPr>
          <w:lang w:val="de-DE"/>
        </w:rPr>
        <w:t xml:space="preserve">im Benutzerprofil. Es gibt keine Anmeldung und kein Protokoll darüber, wer was geändert hat.</w:t>
      </w:r>
    </w:p>
    <w:p>
      <w:pPr>
        <w:pStyle w:val="Compact"/>
        <w:numPr>
          <w:ilvl w:val="0"/>
          <w:numId w:val="1008"/>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8"/>
        </w:numPr>
      </w:pPr>
      <w:r>
        <w:rPr>
          <w:lang w:val="de-DE"/>
        </w:rPr>
        <w:t xml:space="preserve">Es gibt keine Stornierung und keine Nachberechnung.</w:t>
      </w:r>
    </w:p>
    <w:p>
      <w:pPr>
        <w:pStyle w:val="Compact"/>
        <w:numPr>
          <w:ilvl w:val="0"/>
          <w:numId w:val="1008"/>
        </w:numPr>
      </w:pPr>
      <w:r>
        <w:rPr>
          <w:lang w:val="de-DE"/>
        </w:rPr>
        <w:t xml:space="preserve">Der Umsatzsteuersatz ist mit 19 fest hinterlegt.</w:t>
      </w:r>
    </w:p>
    <w:p>
      <w:pPr>
        <w:pStyle w:val="Compact"/>
        <w:numPr>
          <w:ilvl w:val="0"/>
          <w:numId w:val="1008"/>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8"/>
        </w:numPr>
      </w:pPr>
      <w:r>
        <w:rPr>
          <w:lang w:val="de-DE"/>
        </w:rPr>
        <w:t xml:space="preserve">Die Anwendung ist auf einen Benutzer und einen Rechner ausgelegt. Ein gemeinsamer Zugriff mehrerer Arbeitsplätze auf dieselbe Datenbank ist nicht vorgesehen.</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2026-09-07T15:59:47Z</dcterms:created>
  <dcterms:modified xsi:type="dcterms:W3CDTF">2026-09-07T15:59:47Z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