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de"/>
        </w:rPr>
        <w:t xml:space="preserve">Teil 02 — Fachliche Grundlagen</w:t>
      </w:r>
    </w:p>
    <w:p>
      <w:pPr>
        <w:pStyle w:val="Subtitle"/>
      </w:pPr>
      <w:r>
        <w:rPr>
          <w:lang w:val="de"/>
        </w:rPr>
        <w:t xml:space="preserve">GKV-Abrechnung — Projektdokumentation</w:t>
      </w:r>
    </w:p>
    <w:bookmarkStart w:id="9" w:name="ausgangslage"/>
    <w:p>
      <w:pPr>
        <w:pStyle w:val="Heading2"/>
      </w:pPr>
      <w:r>
        <w:rPr>
          <w:lang w:val="de"/>
        </w:rPr>
        <w:t xml:space="preserve">Ausgangslage</w:t>
      </w:r>
    </w:p>
    <w:p>
      <w:pPr>
        <w:pStyle w:val="FirstParagraph"/>
      </w:pPr>
      <w:r>
        <w:rPr>
          <w:lang w:val="de"/>
        </w:rPr>
        <w:t xml:space="preserve">Teil 01 hat festgelegt,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was</w:t>
      </w:r>
      <w:r>
        <w:rPr>
          <w:lang w:val="de"/>
        </w:rPr>
        <w:t xml:space="preserve"> </w:t>
      </w:r>
      <w:r>
        <w:rPr>
          <w:lang w:val="de"/>
        </w:rPr>
        <w:t xml:space="preserve">entstehen soll: ein Programm, das eine prüffähige</w:t>
      </w:r>
      <w:r>
        <w:rPr>
          <w:lang w:val="de"/>
        </w:rPr>
        <w:t xml:space="preserve"> </w:t>
      </w:r>
      <w:r>
        <w:rPr>
          <w:lang w:val="de"/>
        </w:rPr>
        <w:t xml:space="preserve">Abrechnungsdatei erzeugt. Was dabei stillschweigend vorausgesetzt wurde: dass</w:t>
      </w:r>
      <w:r>
        <w:rPr>
          <w:lang w:val="de"/>
        </w:rPr>
        <w:t xml:space="preserve"> </w:t>
      </w:r>
      <w:r>
        <w:rPr>
          <w:lang w:val="de"/>
        </w:rPr>
        <w:t xml:space="preserve">jemand weiß, wie eine solche Datei aussieht.</w:t>
      </w:r>
    </w:p>
    <w:p>
      <w:pPr>
        <w:pStyle w:val="BodyText"/>
      </w:pPr>
      <w:r>
        <w:rPr>
          <w:lang w:val="de"/>
        </w:rPr>
        <w:t xml:space="preserve">Das war zu diesem Zeitpunkt nicht der Fall. Bekannt war das Ziel, nicht das</w:t>
      </w:r>
      <w:r>
        <w:rPr>
          <w:lang w:val="de"/>
        </w:rPr>
        <w:t xml:space="preserve"> </w:t>
      </w:r>
      <w:r>
        <w:rPr>
          <w:lang w:val="de"/>
        </w:rPr>
        <w:t xml:space="preserve">Verfahren.</w:t>
      </w:r>
    </w:p>
    <w:bookmarkEnd w:id="9"/>
    <w:bookmarkStart w:id="10" w:name="ziel-dieses-teils"/>
    <w:p>
      <w:pPr>
        <w:pStyle w:val="Heading2"/>
      </w:pPr>
      <w:r>
        <w:rPr>
          <w:lang w:val="de"/>
        </w:rPr>
        <w:t xml:space="preserve">Ziel dieses Teils</w:t>
      </w:r>
    </w:p>
    <w:p>
      <w:pPr>
        <w:pStyle w:val="FirstParagraph"/>
      </w:pPr>
      <w:r>
        <w:rPr>
          <w:lang w:val="de"/>
        </w:rPr>
        <w:t xml:space="preserve">Die Fachlichkeit so weit durchdringen, dass sich darüber reden lässt — welche</w:t>
      </w:r>
      <w:r>
        <w:rPr>
          <w:lang w:val="de"/>
        </w:rPr>
        <w:t xml:space="preserve"> </w:t>
      </w:r>
      <w:r>
        <w:rPr>
          <w:lang w:val="de"/>
        </w:rPr>
        <w:t xml:space="preserve">Beteiligten es gibt, wie eine Nachricht aufgebaut ist, welche Regeln zwingend</w:t>
      </w:r>
      <w:r>
        <w:rPr>
          <w:lang w:val="de"/>
        </w:rPr>
        <w:t xml:space="preserve"> </w:t>
      </w:r>
      <w:r>
        <w:rPr>
          <w:lang w:val="de"/>
        </w:rPr>
        <w:t xml:space="preserve">sind.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Kein Entwurf, keine Klassen; erst die Begriffe.</w:t>
      </w:r>
    </w:p>
    <w:bookmarkEnd w:id="10"/>
    <w:bookmarkStart w:id="17" w:name="überlegungen"/>
    <w:p>
      <w:pPr>
        <w:pStyle w:val="Heading2"/>
      </w:pPr>
      <w:r>
        <w:rPr>
          <w:lang w:val="de"/>
        </w:rPr>
        <w:t xml:space="preserve">Überlegungen</w:t>
      </w:r>
    </w:p>
    <w:bookmarkStart w:id="11" w:name="woher-die-wahrheit-kommt"/>
    <w:p>
      <w:pPr>
        <w:pStyle w:val="Heading3"/>
      </w:pPr>
      <w:r>
        <w:rPr>
          <w:lang w:val="de"/>
        </w:rPr>
        <w:t xml:space="preserve">Woher die Wahrheit kommt</w:t>
      </w:r>
    </w:p>
    <w:p>
      <w:pPr>
        <w:pStyle w:val="FirstParagraph"/>
      </w:pPr>
      <w:r>
        <w:rPr>
          <w:lang w:val="de"/>
        </w:rPr>
        <w:t xml:space="preserve">Die erste Frage war nicht fachlich, sondern eine der Quellen: Wonach richtet man</w:t>
      </w:r>
      <w:r>
        <w:rPr>
          <w:lang w:val="de"/>
        </w:rPr>
        <w:t xml:space="preserve"> </w:t>
      </w:r>
      <w:r>
        <w:rPr>
          <w:lang w:val="de"/>
        </w:rPr>
        <w:t xml:space="preserve">sich?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Quelle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Taugt wofür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Taugt nicht wofür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Verbindliche Anlagen und Anhänge der Vereinbarung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Regel selbst — sie sind die Vorgabe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einen schnellen Einstieg; sie sind umfangreich und setzen viel voraus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echte, angenommene Beispieldatei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zu sehen, wie es aussehen muss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Verallgemeinerung — sie zeigt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einen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Fall, nicht die Regel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Erklärungen im Netz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Orientierung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alles, worauf es ankommt</w:t>
            </w:r>
          </w:p>
        </w:tc>
      </w:tr>
    </w:tbl>
    <w:p>
      <w:pPr>
        <w:pStyle w:val="BodyText"/>
      </w:pPr>
      <w:r>
        <w:rPr>
          <w:lang w:val="de"/>
        </w:rPr>
        <w:t xml:space="preserve">Daraus wurde eine Arbeitsregel, die das ganze Projekt trägt:</w:t>
      </w:r>
    </w:p>
    <w:p>
      <w:pPr>
        <w:pStyle w:val="BlockText"/>
      </w:pPr>
      <w:r>
        <w:rPr>
          <w:b/>
          <w:bCs/>
          <w:lang w:val="de"/>
        </w:rPr>
        <w:t xml:space="preserve">Ein Wert, den man aus einer Beispieldatei abschreibt, ist so lange eine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Vermutung, bis er in einer Vorgabe steht.</w:t>
      </w:r>
    </w:p>
    <w:p>
      <w:pPr>
        <w:pStyle w:val="FirstParagraph"/>
      </w:pPr>
      <w:r>
        <w:rPr>
          <w:lang w:val="de"/>
        </w:rPr>
        <w:t xml:space="preserve">Diese Regel ist nicht theoretisch. Sie wurde erst aufgestellt, nachdem genau das</w:t>
      </w:r>
      <w:r>
        <w:rPr>
          <w:lang w:val="de"/>
        </w:rPr>
        <w:t xml:space="preserve"> </w:t>
      </w:r>
      <w:r>
        <w:rPr>
          <w:lang w:val="de"/>
        </w:rPr>
        <w:t xml:space="preserve">schiefgegangen war — siehe</w:t>
      </w:r>
      <w:r>
        <w:rPr>
          <w:lang w:val="de"/>
        </w:rPr>
        <w:t xml:space="preserve"> </w:t>
      </w:r>
      <w:r>
        <w:rPr>
          <w:i/>
          <w:iCs/>
          <w:lang w:val="de"/>
        </w:rPr>
        <w:t xml:space="preserve">Was dabei schiefging</w:t>
      </w:r>
      <w:r>
        <w:rPr>
          <w:lang w:val="de"/>
        </w:rPr>
        <w:t xml:space="preserve">.</w:t>
      </w:r>
    </w:p>
    <w:bookmarkEnd w:id="11"/>
    <w:bookmarkStart w:id="12" w:name="wer-beteiligt-ist"/>
    <w:p>
      <w:pPr>
        <w:pStyle w:val="Heading3"/>
      </w:pPr>
      <w:r>
        <w:rPr>
          <w:lang w:val="de"/>
        </w:rPr>
        <w:t xml:space="preserve">Wer beteiligt ist</w:t>
      </w:r>
    </w:p>
    <w:p>
      <w:pPr>
        <w:pStyle w:val="FirstParagraph"/>
      </w:pPr>
      <w:r>
        <w:rPr>
          <w:lang w:val="de"/>
        </w:rPr>
        <w:t xml:space="preserve">Jede Einrichtung im Abrechnungsverkehr trägt ein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Institutionskennzeichen</w:t>
      </w:r>
      <w:r>
        <w:rPr>
          <w:lang w:val="de"/>
        </w:rPr>
        <w:t xml:space="preserve">:</w:t>
      </w:r>
      <w:r>
        <w:rPr>
          <w:lang w:val="de"/>
        </w:rPr>
        <w:t xml:space="preserve"> </w:t>
      </w:r>
      <w:r>
        <w:rPr>
          <w:lang w:val="de"/>
        </w:rPr>
        <w:t xml:space="preserve">neun Stellen, die letzte davon eine Prüfziffer. Es ist keine frei gewählte</w:t>
      </w:r>
      <w:r>
        <w:rPr>
          <w:lang w:val="de"/>
        </w:rPr>
        <w:t xml:space="preserve"> </w:t>
      </w:r>
      <w:r>
        <w:rPr>
          <w:lang w:val="de"/>
        </w:rPr>
        <w:t xml:space="preserve">Nummer, sondern wird vergeben.</w:t>
      </w:r>
    </w:p>
    <w:p>
      <w:pPr>
        <w:pStyle w:val="BodyText"/>
      </w:pPr>
      <w:r>
        <w:rPr>
          <w:lang w:val="de"/>
        </w:rPr>
        <w:t xml:space="preserve">In einer einzigen Zeile der Nachricht stehen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vier</w:t>
      </w:r>
      <w:r>
        <w:rPr>
          <w:lang w:val="de"/>
        </w:rPr>
        <w:t xml:space="preserve"> </w:t>
      </w:r>
      <w:r>
        <w:rPr>
          <w:lang w:val="de"/>
        </w:rPr>
        <w:t xml:space="preserve">solcher Kennzeichen</w:t>
      </w:r>
      <w:r>
        <w:rPr>
          <w:lang w:val="de"/>
        </w:rPr>
        <w:t xml:space="preserve"> </w:t>
      </w:r>
      <w:r>
        <w:rPr>
          <w:lang w:val="de"/>
        </w:rPr>
        <w:t xml:space="preserve">nebeneinander: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Rolle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das 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Leistungserbringer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die Leistung erbracht 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Kostenträger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bezahlt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Kasse von Karte oder Verordnung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Kasse laut Versichertenkarte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Rechnungssteller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wer abrechnet — das kann eine Abrechnungsstelle sein</w:t>
            </w:r>
          </w:p>
        </w:tc>
      </w:tr>
    </w:tbl>
    <w:p>
      <w:pPr>
        <w:pStyle w:val="BodyText"/>
      </w:pPr>
      <w:r>
        <w:rPr>
          <w:lang w:val="de"/>
        </w:rPr>
        <w:t xml:space="preserve">Leistungserbringer und Rechnungssteller sind oft, aber nicht zwingend dieselbe</w:t>
      </w:r>
      <w:r>
        <w:rPr>
          <w:lang w:val="de"/>
        </w:rPr>
        <w:t xml:space="preserve"> </w:t>
      </w:r>
      <w:r>
        <w:rPr>
          <w:lang w:val="de"/>
        </w:rPr>
        <w:t xml:space="preserve">Einrichtung. Genau dieser Unterschied ist der Grund, warum es überhaupt</w:t>
      </w:r>
      <w:r>
        <w:rPr>
          <w:lang w:val="de"/>
        </w:rPr>
        <w:t xml:space="preserve"> </w:t>
      </w:r>
      <w:r>
        <w:rPr>
          <w:lang w:val="de"/>
        </w:rPr>
        <w:t xml:space="preserve">Abrechnungsstellen gibt — und warum das eigene Programm beide Rollen mit</w:t>
      </w:r>
      <w:r>
        <w:rPr>
          <w:lang w:val="de"/>
        </w:rPr>
        <w:t xml:space="preserve"> </w:t>
      </w:r>
      <w:r>
        <w:rPr>
          <w:lang w:val="de"/>
        </w:rPr>
        <w:t xml:space="preserve">demselben Kennzeichen besetzt.</w:t>
      </w:r>
    </w:p>
    <w:bookmarkEnd w:id="12"/>
    <w:bookmarkStart w:id="13" w:name="wie-eine-nachricht-aufgebaut-ist"/>
    <w:p>
      <w:pPr>
        <w:pStyle w:val="Heading3"/>
      </w:pPr>
      <w:r>
        <w:rPr>
          <w:lang w:val="de"/>
        </w:rPr>
        <w:t xml:space="preserve">Wie eine Nachricht aufgebaut ist</w:t>
      </w:r>
    </w:p>
    <w:p>
      <w:pPr>
        <w:pStyle w:val="FirstParagraph"/>
      </w:pPr>
      <w:r>
        <w:rPr>
          <w:lang w:val="de"/>
        </w:rPr>
        <w:t xml:space="preserve">Die Datei ist reiner Text, aber kein Fließtext. Sie besteht aus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Segmenten</w:t>
      </w:r>
      <w:r>
        <w:rPr>
          <w:lang w:val="de"/>
        </w:rPr>
        <w:t xml:space="preserve">:</w:t>
      </w:r>
      <w:r>
        <w:rPr>
          <w:lang w:val="de"/>
        </w:rPr>
        <w:t xml:space="preserve"> </w:t>
      </w:r>
      <w:r>
        <w:rPr>
          <w:lang w:val="de"/>
        </w:rPr>
        <w:t xml:space="preserve">Jedes beginnt mit einem dreistelligen Bezeichner, endet mit einem festen Zeichen,</w:t>
      </w:r>
      <w:r>
        <w:rPr>
          <w:lang w:val="de"/>
        </w:rPr>
        <w:t xml:space="preserve"> </w:t>
      </w:r>
      <w:r>
        <w:rPr>
          <w:lang w:val="de"/>
        </w:rPr>
        <w:t xml:space="preserve">und dazwischen stehen Felder in fester Reihenfolge.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Gruppe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darin steht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Rahmen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Anfang und Ende der Übertragung, Absender, Empfänger, Zeitpunkt, ob es sich um einen Test oder den Echtbetrieb handelt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Rechnung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Verarbeitungskennzeichen, Rechnungsnummer, Rechnungsdatum, Rechnungsart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Versicherte Person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Belegnummer, Versichertennummer, Versichertenstatus — oder ersatzweise die vollständige Anschrift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Leistung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Abrechnungscode, Tarifkennzeichen, Positionsnummer, Menge, Einzelbetrag, Leistungsdatum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Summen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je Fall eine Summe, darüber eine Gesamtsumme, dazu der Umsatzsteuersatz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Zähler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wie viele Segmente die Nachricht hat und wie viele Nachrichten die Übertragung</w:t>
            </w:r>
          </w:p>
        </w:tc>
      </w:tr>
    </w:tbl>
    <w:p>
      <w:pPr>
        <w:pStyle w:val="BodyText"/>
      </w:pPr>
      <w:r>
        <w:rPr>
          <w:lang w:val="de"/>
        </w:rPr>
        <w:t xml:space="preserve">Die Reihenfolge ist nicht Geschmackssache. Wer ein Feld auslässt, statt es leer</w:t>
      </w:r>
      <w:r>
        <w:rPr>
          <w:lang w:val="de"/>
        </w:rPr>
        <w:t xml:space="preserve"> </w:t>
      </w:r>
      <w:r>
        <w:rPr>
          <w:lang w:val="de"/>
        </w:rPr>
        <w:t xml:space="preserve">zu lassen,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verschiebt alle folgenden</w:t>
      </w:r>
      <w:r>
        <w:rPr>
          <w:lang w:val="de"/>
        </w:rPr>
        <w:t xml:space="preserve"> </w:t>
      </w:r>
      <w:r>
        <w:rPr>
          <w:lang w:val="de"/>
        </w:rPr>
        <w:t xml:space="preserve">— und dann steht der Betrag im Feld für</w:t>
      </w:r>
      <w:r>
        <w:rPr>
          <w:lang w:val="de"/>
        </w:rPr>
        <w:t xml:space="preserve"> </w:t>
      </w:r>
      <w:r>
        <w:rPr>
          <w:lang w:val="de"/>
        </w:rPr>
        <w:t xml:space="preserve">das Datum.</w:t>
      </w:r>
    </w:p>
    <w:bookmarkEnd w:id="13"/>
    <w:bookmarkStart w:id="14" w:name="zwei-regeln-die-keine-empfehlungen-sind"/>
    <w:p>
      <w:pPr>
        <w:pStyle w:val="Heading3"/>
      </w:pPr>
      <w:r>
        <w:rPr>
          <w:lang w:val="de"/>
        </w:rPr>
        <w:t xml:space="preserve">Zwei Regeln, die keine Empfehlungen sind</w:t>
      </w:r>
    </w:p>
    <w:p>
      <w:pPr>
        <w:pStyle w:val="FirstParagraph"/>
      </w:pPr>
      <w:r>
        <w:rPr>
          <w:b/>
          <w:bCs/>
          <w:lang w:val="de"/>
        </w:rPr>
        <w:t xml:space="preserve">Entweder Versichertennummer und Status — oder die vollständige Anschrift.</w:t>
      </w:r>
      <w:r>
        <w:rPr>
          <w:lang w:val="de"/>
        </w:rPr>
        <w:t xml:space="preserve"> </w:t>
      </w:r>
      <w:r>
        <w:rPr>
          <w:lang w:val="de"/>
        </w:rPr>
        <w:t xml:space="preserve">Fehlt beides, kann die Kasse die Leistung keinem Versicherungsverhältnis</w:t>
      </w:r>
      <w:r>
        <w:rPr>
          <w:lang w:val="de"/>
        </w:rPr>
        <w:t xml:space="preserve"> </w:t>
      </w:r>
      <w:r>
        <w:rPr>
          <w:lang w:val="de"/>
        </w:rPr>
        <w:t xml:space="preserve">zuordnen. Die Leistung wurde erbracht, die Rechnung wird trotzdem</w:t>
      </w:r>
      <w:r>
        <w:rPr>
          <w:lang w:val="de"/>
        </w:rPr>
        <w:t xml:space="preserve"> </w:t>
      </w:r>
      <w:r>
        <w:rPr>
          <w:lang w:val="de"/>
        </w:rPr>
        <w:t xml:space="preserve">zurückgewiesen.</w:t>
      </w:r>
    </w:p>
    <w:p>
      <w:pPr>
        <w:pStyle w:val="BodyText"/>
      </w:pPr>
      <w:r>
        <w:rPr>
          <w:b/>
          <w:bCs/>
          <w:lang w:val="de"/>
        </w:rPr>
        <w:t xml:space="preserve">Die Summen müssen zueinander passen.</w:t>
      </w:r>
      <w:r>
        <w:rPr>
          <w:lang w:val="de"/>
        </w:rPr>
        <w:t xml:space="preserve"> </w:t>
      </w:r>
      <w:r>
        <w:rPr>
          <w:lang w:val="de"/>
        </w:rPr>
        <w:t xml:space="preserve">Die Summe je Fall ergibt sich aus Menge</w:t>
      </w:r>
      <w:r>
        <w:rPr>
          <w:lang w:val="de"/>
        </w:rPr>
        <w:t xml:space="preserve"> </w:t>
      </w:r>
      <w:r>
        <w:rPr>
          <w:lang w:val="de"/>
        </w:rPr>
        <w:t xml:space="preserve">mal Einzelbetrag; die Gesamtsumme aus allen Fallsummen. Eine Abweichung ist kein</w:t>
      </w:r>
      <w:r>
        <w:rPr>
          <w:lang w:val="de"/>
        </w:rPr>
        <w:t xml:space="preserve"> </w:t>
      </w:r>
      <w:r>
        <w:rPr>
          <w:lang w:val="de"/>
        </w:rPr>
        <w:t xml:space="preserve">Rundungsproblem, sondern ein Zurückweisungsgrund.</w:t>
      </w:r>
    </w:p>
    <w:bookmarkEnd w:id="14"/>
    <w:bookmarkStart w:id="15" w:name="was-dabei-schiefging"/>
    <w:p>
      <w:pPr>
        <w:pStyle w:val="Heading3"/>
      </w:pPr>
      <w:r>
        <w:rPr>
          <w:lang w:val="de"/>
        </w:rPr>
        <w:t xml:space="preserve">Was dabei schiefging</w:t>
      </w:r>
    </w:p>
    <w:p>
      <w:pPr>
        <w:pStyle w:val="FirstParagraph"/>
      </w:pPr>
      <w:r>
        <w:rPr>
          <w:lang w:val="de"/>
        </w:rPr>
        <w:t xml:space="preserve">Beim Übertragen der Beispieldatei in das eigene Verständnis wurden drei Werte</w:t>
      </w:r>
      <w:r>
        <w:rPr>
          <w:lang w:val="de"/>
        </w:rPr>
        <w:t xml:space="preserve"> </w:t>
      </w:r>
      <w:r>
        <w:rPr>
          <w:lang w:val="de"/>
        </w:rPr>
        <w:t xml:space="preserve">übernommen, die dort plausibel aussahen: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Wert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Was daran falsch war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 Buchstabe im Nachrichtenkopf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Er kennzeichnet den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Leistungsbereich</w:t>
            </w:r>
            <w:r>
              <w:rPr>
                <w:lang w:val="de"/>
              </w:rPr>
              <w:t xml:space="preserve">. In der Beispieldatei stand der für einen anderen Bereich. Für Hebammenhilfe ist es ein anderer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Name der Datei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Frei erfunden nach dem Muster der Beispieldatei. Tatsächlich ist er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vorgeschrieben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und aus dem eigenen Kennzeichen und dem Abrechnungsmonat zu bilden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Länge der Positionsnummer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Aus der Beispieldatei übernommen; für den eigenen Bereich gilt eine andere</w:t>
            </w:r>
          </w:p>
        </w:tc>
      </w:tr>
    </w:tbl>
    <w:p>
      <w:pPr>
        <w:pStyle w:val="BodyText"/>
      </w:pPr>
      <w:r>
        <w:rPr>
          <w:b/>
          <w:bCs/>
          <w:lang w:val="de"/>
        </w:rPr>
        <w:t xml:space="preserve">Alle drei Dateien übersetzten fehlerfrei und hätten fehlerfrei geprüft.</w:t>
      </w:r>
      <w:r>
        <w:rPr>
          <w:lang w:val="de"/>
        </w:rPr>
        <w:t xml:space="preserve"> </w:t>
      </w:r>
      <w:r>
        <w:rPr>
          <w:lang w:val="de"/>
        </w:rPr>
        <w:t xml:space="preserve">Der</w:t>
      </w:r>
      <w:r>
        <w:rPr>
          <w:lang w:val="de"/>
        </w:rPr>
        <w:t xml:space="preserve"> </w:t>
      </w:r>
      <w:r>
        <w:rPr>
          <w:lang w:val="de"/>
        </w:rPr>
        <w:t xml:space="preserve">Fehler war nicht sichtbar, weil nichts danach gesucht hat — die Prüfung kannte</w:t>
      </w:r>
      <w:r>
        <w:rPr>
          <w:lang w:val="de"/>
        </w:rPr>
        <w:t xml:space="preserve"> </w:t>
      </w:r>
      <w:r>
        <w:rPr>
          <w:lang w:val="de"/>
        </w:rPr>
        <w:t xml:space="preserve">die Regel ja auch nicht.</w:t>
      </w:r>
    </w:p>
    <w:p>
      <w:pPr>
        <w:pStyle w:val="BodyText"/>
      </w:pPr>
      <w:r>
        <w:rPr>
          <w:lang w:val="de"/>
        </w:rPr>
        <w:t xml:space="preserve">Daraus folgt die zweite Arbeitsregel des Projekts:</w:t>
      </w:r>
    </w:p>
    <w:p>
      <w:pPr>
        <w:pStyle w:val="BlockText"/>
      </w:pPr>
      <w:r>
        <w:rPr>
          <w:b/>
          <w:bCs/>
          <w:lang w:val="de"/>
        </w:rPr>
        <w:t xml:space="preserve">Ein erfundener Wert, der plausibel aussieht, ist schlimmer als einer, den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Prüfung abfängt.</w:t>
      </w:r>
    </w:p>
    <w:bookmarkEnd w:id="15"/>
    <w:bookmarkStart w:id="16" w:name="eine-falle-die-dreimal-zuschlägt"/>
    <w:p>
      <w:pPr>
        <w:pStyle w:val="Heading3"/>
      </w:pPr>
      <w:r>
        <w:rPr>
          <w:lang w:val="de"/>
        </w:rPr>
        <w:t xml:space="preserve">Eine Falle, die dreimal zuschlägt</w:t>
      </w:r>
    </w:p>
    <w:p>
      <w:pPr>
        <w:pStyle w:val="FirstParagraph"/>
      </w:pPr>
      <w:r>
        <w:rPr>
          <w:lang w:val="de"/>
        </w:rPr>
        <w:t xml:space="preserve">Die Felder einer Zeile lassen sich auf drei Arten zählen, und alle drei kommen im</w:t>
      </w:r>
      <w:r>
        <w:rPr>
          <w:lang w:val="de"/>
        </w:rPr>
        <w:t xml:space="preserve"> </w:t>
      </w:r>
      <w:r>
        <w:rPr>
          <w:lang w:val="de"/>
        </w:rPr>
        <w:t xml:space="preserve">Projekt vor: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Zählweise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Der Bezeichner zählt mit?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Beginnt bei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in der fachlichen Prüfliste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ja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in den Segmentbeschreibungen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im Quelltext beim Zugriff auf ein Feld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nein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0</w:t>
            </w:r>
          </w:p>
        </w:tc>
      </w:tr>
    </w:tbl>
    <w:p>
      <w:pPr>
        <w:pStyle w:val="BodyText"/>
      </w:pPr>
      <w:r>
        <w:rPr>
          <w:lang w:val="de"/>
        </w:rPr>
        <w:t xml:space="preserve">Dieselbe Angabe heißt damit je nach Zusammenhang „Feld 5”, „Position 4” oder</w:t>
      </w:r>
      <w:r>
        <w:rPr>
          <w:lang w:val="de"/>
        </w:rPr>
        <w:t xml:space="preserve"> </w:t>
      </w:r>
      <w:r>
        <w:rPr>
          <w:lang w:val="de"/>
        </w:rPr>
        <w:t xml:space="preserve">„Element 3”. Das ist eine verlässliche Fehlerquelle. Wer eine Position nennt,</w:t>
      </w:r>
      <w:r>
        <w:rPr>
          <w:lang w:val="de"/>
        </w:rPr>
        <w:t xml:space="preserve"> </w:t>
      </w:r>
      <w:r>
        <w:rPr>
          <w:lang w:val="de"/>
        </w:rPr>
        <w:t xml:space="preserve">muss die Zählweise dazusagen; wer eine übernimmt, muss sie gegen ein Beispiel</w:t>
      </w:r>
      <w:r>
        <w:rPr>
          <w:lang w:val="de"/>
        </w:rPr>
        <w:t xml:space="preserve"> </w:t>
      </w:r>
      <w:r>
        <w:rPr>
          <w:lang w:val="de"/>
        </w:rPr>
        <w:t xml:space="preserve">prüfen.</w:t>
      </w:r>
    </w:p>
    <w:bookmarkEnd w:id="16"/>
    <w:bookmarkEnd w:id="17"/>
    <w:bookmarkStart w:id="19" w:name="entscheidung"/>
    <w:p>
      <w:pPr>
        <w:pStyle w:val="Heading2"/>
      </w:pPr>
      <w:r>
        <w:rPr>
          <w:lang w:val="de"/>
        </w:rPr>
        <w:t xml:space="preserve">Entscheidung</w:t>
      </w:r>
    </w:p>
    <w:p>
      <w:pPr>
        <w:pStyle w:val="FirstParagraph"/>
      </w:pPr>
      <w:r>
        <w:rPr>
          <w:b/>
          <w:bCs/>
          <w:lang w:val="de"/>
        </w:rPr>
        <w:t xml:space="preserve">Die verbindlichen Vorgaben sind die Quelle, die Beispieldatei ist nur die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Gegenprobe.</w:t>
      </w:r>
      <w:r>
        <w:rPr>
          <w:lang w:val="de"/>
        </w:rPr>
        <w:t xml:space="preserve"> </w:t>
      </w:r>
      <w:r>
        <w:rPr>
          <w:lang w:val="de"/>
        </w:rPr>
        <w:t xml:space="preserve">Wo eine Frage über das Belegte hinausgeht, wird nachgeschlagen und</w:t>
      </w:r>
      <w:r>
        <w:rPr>
          <w:lang w:val="de"/>
        </w:rPr>
        <w:t xml:space="preserve"> </w:t>
      </w:r>
      <w:r>
        <w:rPr>
          <w:lang w:val="de"/>
        </w:rPr>
        <w:t xml:space="preserve">nicht geraten.</w:t>
      </w:r>
    </w:p>
    <w:p>
      <w:pPr>
        <w:pStyle w:val="BodyText"/>
      </w:pPr>
      <w:r>
        <w:rPr>
          <w:lang w:val="de"/>
        </w:rPr>
        <w:t xml:space="preserve">Daraus folgen zwei Festlegungen für den weiteren Aufbau: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Festlegung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Segmente und ihre Felder werden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beschrieben, nicht einprogrammiert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Ändert sich eine Vorgabe, soll eine Beschreibung angepasst werden und kein Quelltext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angenommene Beispieldatei wird als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Messlatte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aufbewahrt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Sie muss unbeanstandet durchlaufen. Tut sie es nicht mehr, hat eine Änderung etwas kaputtgemacht</w:t>
            </w:r>
          </w:p>
        </w:tc>
      </w:tr>
    </w:tbl>
    <w:bookmarkStart w:id="18" w:name="warum-nicht-der-einfachere-weg"/>
    <w:p>
      <w:pPr>
        <w:pStyle w:val="Heading3"/>
      </w:pPr>
      <w:r>
        <w:rPr>
          <w:lang w:val="de"/>
        </w:rPr>
        <w:t xml:space="preserve">Warum nicht der einfachere Weg</w:t>
      </w:r>
    </w:p>
    <w:p>
      <w:pPr>
        <w:pStyle w:val="FirstParagraph"/>
      </w:pPr>
      <w:r>
        <w:rPr>
          <w:lang w:val="de"/>
        </w:rPr>
        <w:t xml:space="preserve">Man hätte die Nachricht als Zeichenkette zusammensetzen können, ohne</w:t>
      </w:r>
      <w:r>
        <w:rPr>
          <w:lang w:val="de"/>
        </w:rPr>
        <w:t xml:space="preserve"> </w:t>
      </w:r>
      <w:r>
        <w:rPr>
          <w:lang w:val="de"/>
        </w:rPr>
        <w:t xml:space="preserve">Beschreibung der Felder. Das ist schneller und für einen einzigen Leistungsbereich</w:t>
      </w:r>
      <w:r>
        <w:rPr>
          <w:lang w:val="de"/>
        </w:rPr>
        <w:t xml:space="preserve"> </w:t>
      </w:r>
      <w:r>
        <w:rPr>
          <w:lang w:val="de"/>
        </w:rPr>
        <w:t xml:space="preserve">ausreichend.</w:t>
      </w:r>
    </w:p>
    <w:p>
      <w:pPr>
        <w:pStyle w:val="BodyText"/>
      </w:pPr>
      <w:r>
        <w:rPr>
          <w:lang w:val="de"/>
        </w:rPr>
        <w:t xml:space="preserve">Dagegen spricht die Erfahrung aus diesem Teil:</w:t>
      </w:r>
      <w:r>
        <w:rPr>
          <w:lang w:val="de"/>
        </w:rPr>
        <w:t xml:space="preserve"> </w:t>
      </w:r>
      <w:r>
        <w:rPr>
          <w:b/>
          <w:bCs/>
          <w:lang w:val="de"/>
        </w:rPr>
        <w:t xml:space="preserve">die Vorgaben ändern sich, und</w:t>
      </w:r>
      <w:r>
        <w:rPr>
          <w:b/>
          <w:bCs/>
          <w:lang w:val="de"/>
        </w:rPr>
        <w:t xml:space="preserve"> </w:t>
      </w:r>
      <w:r>
        <w:rPr>
          <w:b/>
          <w:bCs/>
          <w:lang w:val="de"/>
        </w:rPr>
        <w:t xml:space="preserve">sie ändern sich in den Werten, nicht in der Struktur.</w:t>
      </w:r>
      <w:r>
        <w:rPr>
          <w:lang w:val="de"/>
        </w:rPr>
        <w:t xml:space="preserve"> </w:t>
      </w:r>
      <w:r>
        <w:rPr>
          <w:lang w:val="de"/>
        </w:rPr>
        <w:t xml:space="preserve">Eine Beschreibung, die</w:t>
      </w:r>
      <w:r>
        <w:rPr>
          <w:lang w:val="de"/>
        </w:rPr>
        <w:t xml:space="preserve"> </w:t>
      </w:r>
      <w:r>
        <w:rPr>
          <w:lang w:val="de"/>
        </w:rPr>
        <w:t xml:space="preserve">sich anpassen lässt, überlebt eine neue Fassung. Fest verdrahtete Zeichenketten</w:t>
      </w:r>
      <w:r>
        <w:rPr>
          <w:lang w:val="de"/>
        </w:rPr>
        <w:t xml:space="preserve"> </w:t>
      </w:r>
      <w:r>
        <w:rPr>
          <w:lang w:val="de"/>
        </w:rPr>
        <w:t xml:space="preserve">nicht.</w:t>
      </w:r>
    </w:p>
    <w:bookmarkEnd w:id="18"/>
    <w:bookmarkEnd w:id="19"/>
    <w:bookmarkStart w:id="23" w:name="ergebnis"/>
    <w:p>
      <w:pPr>
        <w:pStyle w:val="Heading2"/>
      </w:pPr>
      <w:r>
        <w:rPr>
          <w:lang w:val="de"/>
        </w:rPr>
        <w:t xml:space="preserve">Ergebnis</w:t>
      </w:r>
    </w:p>
    <w:p>
      <w:pPr>
        <w:pStyle w:val="FirstParagraph"/>
      </w:pPr>
      <w:r>
        <w:rPr>
          <w:lang w:val="de"/>
        </w:rPr>
        <w:t xml:space="preserve">Ein Begriffsmodell des Gegenstands — vollständig, aber noch ohne Bezug zu einer</w:t>
      </w:r>
      <w:r>
        <w:rPr>
          <w:lang w:val="de"/>
        </w:rPr>
        <w:t xml:space="preserve"> </w:t>
      </w:r>
      <w:r>
        <w:rPr>
          <w:lang w:val="de"/>
        </w:rPr>
        <w:t xml:space="preserve">Umsetzung:</w:t>
      </w:r>
    </w:p>
    <w:p>
      <w:pPr>
        <w:pStyle w:val="CaptionedFigure"/>
      </w:pPr>
      <w:r>
        <w:drawing>
          <wp:inline>
            <wp:extent cx="5334000" cy="4318958"/>
            <wp:effectExtent b="0" l="0" r="0" t="0"/>
            <wp:docPr descr="Fachliches Übersichtsmodell" title="" id="21" name="Picture"/>
            <a:graphic>
              <a:graphicData uri="http://schemas.openxmlformats.org/drawingml/2006/picture">
                <pic:pic>
                  <pic:nvPicPr>
                    <pic:cNvPr descr="../GKVTransmitter_Vision_Fachmodell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de"/>
        </w:rPr>
        <w:t xml:space="preserve">Fachliches Übersichtsmodell</w:t>
      </w:r>
    </w:p>
    <w:p>
      <w:pPr>
        <w:pStyle w:val="BodyText"/>
      </w:pPr>
      <w:r>
        <w:rPr>
          <w:lang w:val="de"/>
        </w:rPr>
        <w:t xml:space="preserve">Verglichen mit dem Zielbild aus Teil 01 sind drei Begriffe hinzugekommen, die</w:t>
      </w:r>
      <w:r>
        <w:rPr>
          <w:lang w:val="de"/>
        </w:rPr>
        <w:t xml:space="preserve"> </w:t>
      </w:r>
      <w:r>
        <w:rPr>
          <w:lang w:val="de"/>
        </w:rPr>
        <w:t xml:space="preserve">dort noch nicht sichtbar waren: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de"/>
              </w:rPr>
              <w:t xml:space="preserve">Begriff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Warum er nötig wurde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Datenannahmestelle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Empfänger der Lieferung ist nicht die Kasse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Prüfbericht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mit</w:t>
            </w:r>
            <w:r>
              <w:rPr>
                <w:lang w:val="de"/>
              </w:rPr>
              <w:t xml:space="preserve"> </w:t>
            </w:r>
            <w:r>
              <w:rPr>
                <w:b/>
                <w:bCs/>
                <w:lang w:val="de"/>
              </w:rPr>
              <w:t xml:space="preserve">Befunden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Die Prüfung liefert nicht ja oder nein, sondern eine Liste mit Gewichtung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  <w:lang w:val="de"/>
              </w:rPr>
              <w:t xml:space="preserve">Rückmeldung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mit fünf Einstufungen</w:t>
            </w:r>
          </w:p>
        </w:tc>
        <w:tc>
          <w:tcPr/>
          <w:p>
            <w:pPr>
              <w:pStyle w:val="Compact"/>
            </w:pPr>
            <w:r>
              <w:rPr>
                <w:lang w:val="de"/>
              </w:rPr>
              <w:t xml:space="preserve">Eine Antwort kann auch</w:t>
            </w:r>
            <w:r>
              <w:rPr>
                <w:lang w:val="de"/>
              </w:rPr>
              <w:t xml:space="preserve"> </w:t>
            </w:r>
            <w:r>
              <w:rPr>
                <w:i/>
                <w:iCs/>
                <w:lang w:val="de"/>
              </w:rPr>
              <w:t xml:space="preserve">nicht einzuordnen</w:t>
            </w:r>
            <w:r>
              <w:rPr>
                <w:lang w:val="de"/>
              </w:rPr>
              <w:t xml:space="preserve"> </w:t>
            </w:r>
            <w:r>
              <w:rPr>
                <w:lang w:val="de"/>
              </w:rPr>
              <w:t xml:space="preserve">sein — und das ist der wichtigste Fall</w:t>
            </w:r>
          </w:p>
        </w:tc>
      </w:tr>
    </w:tbl>
    <w:p>
      <w:pPr>
        <w:pStyle w:val="BodyText"/>
      </w:pPr>
      <w:r>
        <w:rPr>
          <w:lang w:val="de"/>
        </w:rPr>
        <w:t xml:space="preserve">Dazu ein Satz Arbeitsregeln, die in allen folgenden Teilen gelten: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Was nicht belegt ist, ist eine Vermutung — und wird als solche gekennzeichnet.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Ein erfundener Wert, der plausibel aussieht, ist schlimmer als einer, den die</w:t>
      </w:r>
      <w:r>
        <w:rPr>
          <w:lang w:val="de"/>
        </w:rPr>
        <w:t xml:space="preserve"> </w:t>
      </w:r>
      <w:r>
        <w:rPr>
          <w:lang w:val="de"/>
        </w:rPr>
        <w:t xml:space="preserve">Prüfung abfängt.</w:t>
      </w:r>
    </w:p>
    <w:p>
      <w:pPr>
        <w:pStyle w:val="Compact"/>
        <w:numPr>
          <w:ilvl w:val="0"/>
          <w:numId w:val="1001"/>
        </w:numPr>
      </w:pPr>
      <w:r>
        <w:rPr>
          <w:lang w:val="de"/>
        </w:rPr>
        <w:t xml:space="preserve">Wer eine Feldposition nennt, sagt die Zählweise dazu.</w:t>
      </w:r>
    </w:p>
    <w:bookmarkEnd w:id="23"/>
    <w:bookmarkStart w:id="24" w:name="offen-geblieben"/>
    <w:p>
      <w:pPr>
        <w:pStyle w:val="Heading2"/>
      </w:pPr>
      <w:r>
        <w:rPr>
          <w:lang w:val="de"/>
        </w:rPr>
        <w:t xml:space="preserve">Offen geblieben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Welche Werte für Hebammenhilfe konkret gelten</w:t>
      </w:r>
      <w:r>
        <w:rPr>
          <w:lang w:val="de"/>
        </w:rPr>
        <w:t xml:space="preserve"> </w:t>
      </w:r>
      <w:r>
        <w:rPr>
          <w:lang w:val="de"/>
        </w:rPr>
        <w:t xml:space="preserve">— Abrechnungscode,</w:t>
      </w:r>
      <w:r>
        <w:rPr>
          <w:lang w:val="de"/>
        </w:rPr>
        <w:t xml:space="preserve"> </w:t>
      </w:r>
      <w:r>
        <w:rPr>
          <w:lang w:val="de"/>
        </w:rPr>
        <w:t xml:space="preserve">Tarifkennzeichen, Positionsnummern. Das steht in Verträgen, die nicht vorliegen;</w:t>
      </w:r>
      <w:r>
        <w:rPr>
          <w:lang w:val="de"/>
        </w:rPr>
        <w:t xml:space="preserve"> </w:t>
      </w:r>
      <w:r>
        <w:rPr>
          <w:lang w:val="de"/>
        </w:rPr>
        <w:t xml:space="preserve">Teil 03 macht daraus eine Anforderung statt einer Annahme.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Wie die Datei zur Kasse gelangt.</w:t>
      </w:r>
      <w:r>
        <w:rPr>
          <w:lang w:val="de"/>
        </w:rPr>
        <w:t xml:space="preserve"> </w:t>
      </w:r>
      <w:r>
        <w:rPr>
          <w:lang w:val="de"/>
        </w:rPr>
        <w:t xml:space="preserve">Der Aufbau ist geklärt, der Weg nicht.</w:t>
      </w:r>
      <w:r>
        <w:rPr>
          <w:lang w:val="de"/>
        </w:rPr>
        <w:t xml:space="preserve"> </w:t>
      </w:r>
      <w:r>
        <w:rPr>
          <w:lang w:val="de"/>
        </w:rPr>
        <w:t xml:space="preserve">Teil 04.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  <w:lang w:val="de"/>
        </w:rPr>
        <w:t xml:space="preserve">Wie man die Vorgaben nachhält</w:t>
      </w:r>
      <w:r>
        <w:rPr>
          <w:lang w:val="de"/>
        </w:rPr>
        <w:t xml:space="preserve">, wenn sie sich ändern. Das wird in Teil 22</w:t>
      </w:r>
      <w:r>
        <w:rPr>
          <w:lang w:val="de"/>
        </w:rPr>
        <w:t xml:space="preserve"> </w:t>
      </w:r>
      <w:r>
        <w:rPr>
          <w:lang w:val="de"/>
        </w:rPr>
        <w:t xml:space="preserve">zur Betriebsfrage.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Teil 02 — Fachliche Grundlagen</dc:title>
  <dc:creator/>
  <dc:language>de</dc:language>
  <cp:keywords/>
  <dcterms:created xsi:type="dcterms:W3CDTF">2026-09-18T08:38:33Z</dcterms:created>
  <dcterms:modified xsi:type="dcterms:W3CDTF">2026-09-18T08:38:33Z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GKV-Abrechnung — Projektdokumentation</vt:lpwstr>
  </property>
</Properties>
</file>