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06 — Fachliches Modell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Teil 02 hat die Begriffe geordnet, Teil 05 den Rahmen gesetzt. Jetzt werden aus</w:t>
      </w:r>
      <w:r>
        <w:rPr>
          <w:lang w:val="de"/>
        </w:rPr>
        <w:t xml:space="preserve"> </w:t>
      </w:r>
      <w:r>
        <w:rPr>
          <w:lang w:val="de"/>
        </w:rPr>
        <w:t xml:space="preserve">den Begriffen Klassen — und das ist keine Übersetzung eins zu eins.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Das fachliche Modell als Klassen festlegen. Und, mindestens ebenso wichtig: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benennen, wo es vom Begriffsmodell abweicht und warum.</w:t>
      </w:r>
    </w:p>
    <w:bookmarkEnd w:id="10"/>
    <w:bookmarkStart w:id="15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zwei-sorten-klassen"/>
    <w:p>
      <w:pPr>
        <w:pStyle w:val="Heading3"/>
      </w:pPr>
      <w:r>
        <w:rPr>
          <w:lang w:val="de"/>
        </w:rPr>
        <w:t xml:space="preserve">Zwei Sorten Klassen</w:t>
      </w:r>
    </w:p>
    <w:p>
      <w:pPr>
        <w:pStyle w:val="FirstParagraph"/>
      </w:pPr>
      <w:r>
        <w:rPr>
          <w:lang w:val="de"/>
        </w:rPr>
        <w:t xml:space="preserve">Beim ersten Entwurf zeigte sich eine Trennung, die sich durchhält: Manche Klassen</w:t>
      </w:r>
      <w:r>
        <w:rPr>
          <w:lang w:val="de"/>
        </w:rPr>
        <w:t xml:space="preserve"> </w:t>
      </w:r>
      <w:r>
        <w:rPr>
          <w:lang w:val="de"/>
        </w:rPr>
        <w:t xml:space="preserve">müssen einen Programmlauf überdauern, andere nicht.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Sorte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Beispiele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Kennzeichen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Gespeicherte Klassen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Person, Gruppe, Blaupause, Zähler, Einstellung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tragen eine Kennung, werden in der Datenbank abgelegt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Reine Fachobjekte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Abrechnung, Nachricht, Segment, Prüfbericht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entstehen im Lauf, werden nie gespeichert</w:t>
            </w:r>
          </w:p>
        </w:tc>
      </w:tr>
    </w:tbl>
    <w:p>
      <w:pPr>
        <w:pStyle w:val="BodyText"/>
      </w:pPr>
      <w:r>
        <w:rPr>
          <w:lang w:val="de"/>
        </w:rPr>
        <w:t xml:space="preserve">Die Trennung ist keine Ordnungsliebe. Eine gespeicherte Klasse muss einen leeren</w:t>
      </w:r>
      <w:r>
        <w:rPr>
          <w:lang w:val="de"/>
        </w:rPr>
        <w:t xml:space="preserve"> </w:t>
      </w:r>
      <w:r>
        <w:rPr>
          <w:lang w:val="de"/>
        </w:rPr>
        <w:t xml:space="preserve">Konstruktor haben, veränderbare Felder und eine Kennung — Zugeständnisse an die</w:t>
      </w:r>
      <w:r>
        <w:rPr>
          <w:lang w:val="de"/>
        </w:rPr>
        <w:t xml:space="preserve"> </w:t>
      </w:r>
      <w:r>
        <w:rPr>
          <w:lang w:val="de"/>
        </w:rPr>
        <w:t xml:space="preserve">Speicherung, die eine reine Fachklasse nicht machen muss.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 beides in einer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Klasse mischt, bekommt die Zugeständnisse überall.</w:t>
      </w:r>
    </w:p>
    <w:bookmarkEnd w:id="11"/>
    <w:bookmarkStart w:id="12" w:name="Xc7c3dec6551e537ca193696c6828fe3834907d8"/>
    <w:p>
      <w:pPr>
        <w:pStyle w:val="Heading3"/>
      </w:pPr>
      <w:r>
        <w:rPr>
          <w:lang w:val="de"/>
        </w:rPr>
        <w:t xml:space="preserve">Wo eine Person aufhört, eine Person zu sein</w:t>
      </w:r>
    </w:p>
    <w:p>
      <w:pPr>
        <w:pStyle w:val="FirstParagraph"/>
      </w:pPr>
      <w:r>
        <w:rPr>
          <w:lang w:val="de"/>
        </w:rPr>
        <w:t xml:space="preserve">Versicherte und Leistungserbringerin haben dieselben Angaben: Name, Anschrift,</w:t>
      </w:r>
      <w:r>
        <w:rPr>
          <w:lang w:val="de"/>
        </w:rPr>
        <w:t xml:space="preserve"> </w:t>
      </w:r>
      <w:r>
        <w:rPr>
          <w:lang w:val="de"/>
        </w:rPr>
        <w:t xml:space="preserve">Geburtsdatum, Kennzeichen. Drei Möglichkeiten: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Klasse mit einem Merkmal „ist Versicherte / ist Erbringerin”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Abfrage muss das Merkmal mitprüfen. Vergisst es eine, mischt sich beides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völlig getrennte Klassen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Änderung an den Feldern muss zweimal gemacht werden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gemeinsame Oberklasse, zwei Unterklassen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Felder einmal beschrieben, Typen getrennt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dritte, mit einer Besonderheit: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Oberklasse bekommt keine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eigene Tabelle.</w:t>
      </w:r>
      <w:r>
        <w:rPr>
          <w:lang w:val="de"/>
        </w:rPr>
        <w:t xml:space="preserve"> </w:t>
      </w:r>
      <w:r>
        <w:rPr>
          <w:lang w:val="de"/>
        </w:rPr>
        <w:t xml:space="preserve">Sie beschreibt nur die Felder; gespeichert wird in zwei</w:t>
      </w:r>
      <w:r>
        <w:rPr>
          <w:lang w:val="de"/>
        </w:rPr>
        <w:t xml:space="preserve"> </w:t>
      </w:r>
      <w:r>
        <w:rPr>
          <w:lang w:val="de"/>
        </w:rPr>
        <w:t xml:space="preserve">getrennten Tabellen.</w:t>
      </w:r>
    </w:p>
    <w:p>
      <w:pPr>
        <w:pStyle w:val="BodyText"/>
      </w:pPr>
      <w:r>
        <w:rPr>
          <w:lang w:val="de"/>
        </w:rPr>
        <w:t xml:space="preserve">Der Preis dafür wird in Teil 07 sichtbar, und er ist höher als hier gedacht.</w:t>
      </w:r>
    </w:p>
    <w:bookmarkEnd w:id="12"/>
    <w:bookmarkStart w:id="13" w:name="der-kompromiss-bei-der-blaupause"/>
    <w:p>
      <w:pPr>
        <w:pStyle w:val="Heading3"/>
      </w:pPr>
      <w:r>
        <w:rPr>
          <w:lang w:val="de"/>
        </w:rPr>
        <w:t xml:space="preserve">Der Kompromiss bei der Blaupause</w:t>
      </w:r>
    </w:p>
    <w:p>
      <w:pPr>
        <w:pStyle w:val="FirstParagraph"/>
      </w:pPr>
      <w:r>
        <w:rPr>
          <w:lang w:val="de"/>
        </w:rPr>
        <w:t xml:space="preserve">Eine Leistungsbeschreibung trägt Abrechnungsposition, Tarifkennzeichen, Betrag,</w:t>
      </w:r>
      <w:r>
        <w:rPr>
          <w:lang w:val="de"/>
        </w:rPr>
        <w:t xml:space="preserve"> </w:t>
      </w:r>
      <w:r>
        <w:rPr>
          <w:lang w:val="de"/>
        </w:rPr>
        <w:t xml:space="preserve">Umsatzsteuersatz — und je nach Segment noch weitere Felder. Wie viele es sind,</w:t>
      </w:r>
      <w:r>
        <w:rPr>
          <w:lang w:val="de"/>
        </w:rPr>
        <w:t xml:space="preserve"> </w:t>
      </w:r>
      <w:r>
        <w:rPr>
          <w:lang w:val="de"/>
        </w:rPr>
        <w:t xml:space="preserve">hängt an den Vorgaben und ändert sich mit ihnen.</w:t>
      </w:r>
    </w:p>
    <w:p>
      <w:pPr>
        <w:pStyle w:val="BodyText"/>
      </w:pPr>
      <w:r>
        <w:rPr>
          <w:lang w:val="de"/>
        </w:rPr>
        <w:t xml:space="preserve">Zwei 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Für jedes Feld eine eigene Spalte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durchsuchbar, prüfbar, sichtbar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neue Vorgabe ändert das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Alle ausgefüllten Felder gemeinsam in einem Textfeld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Vorgabe ändert nichts an der Struktur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durchsuchbar; ein Tippfehler im Feldnamen fällt nirgends auf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zweite Weg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bewusst und mit bekanntem Nachteil.</w:t>
      </w:r>
      <w:r>
        <w:rPr>
          <w:lang w:val="de"/>
        </w:rPr>
        <w:t xml:space="preserve"> </w:t>
      </w:r>
      <w:r>
        <w:rPr>
          <w:lang w:val="de"/>
        </w:rPr>
        <w:t xml:space="preserve">Der</w:t>
      </w:r>
      <w:r>
        <w:rPr>
          <w:lang w:val="de"/>
        </w:rPr>
        <w:t xml:space="preserve"> </w:t>
      </w:r>
      <w:r>
        <w:rPr>
          <w:lang w:val="de"/>
        </w:rPr>
        <w:t xml:space="preserve">Ausschlag gab Q7 aus Teil 03: Vorgaben sollen Beschreibungen sein, keine</w:t>
      </w:r>
      <w:r>
        <w:rPr>
          <w:lang w:val="de"/>
        </w:rPr>
        <w:t xml:space="preserve"> </w:t>
      </w:r>
      <w:r>
        <w:rPr>
          <w:lang w:val="de"/>
        </w:rPr>
        <w:t xml:space="preserve">Struktur.</w:t>
      </w:r>
    </w:p>
    <w:p>
      <w:pPr>
        <w:pStyle w:val="BodyText"/>
      </w:pPr>
      <w:r>
        <w:rPr>
          <w:lang w:val="de"/>
        </w:rPr>
        <w:t xml:space="preserve">Der Nachteil hat sich später gerächt: Die Liste der Feldnamen, die aus der</w:t>
      </w:r>
      <w:r>
        <w:rPr>
          <w:lang w:val="de"/>
        </w:rPr>
        <w:t xml:space="preserve"> </w:t>
      </w:r>
      <w:r>
        <w:rPr>
          <w:lang w:val="de"/>
        </w:rPr>
        <w:t xml:space="preserve">Blaupause gelesen werden, konnte Namen enthalten, die in keinem Formular</w:t>
      </w:r>
      <w:r>
        <w:rPr>
          <w:lang w:val="de"/>
        </w:rPr>
        <w:t xml:space="preserve"> </w:t>
      </w:r>
      <w:r>
        <w:rPr>
          <w:lang w:val="de"/>
        </w:rPr>
        <w:t xml:space="preserve">vorkamen. Niemand merkte es, weil ein Textfeld nichts verweigert. Erst eine</w:t>
      </w:r>
      <w:r>
        <w:rPr>
          <w:lang w:val="de"/>
        </w:rPr>
        <w:t xml:space="preserve"> </w:t>
      </w:r>
      <w:r>
        <w:rPr>
          <w:lang w:val="de"/>
        </w:rPr>
        <w:t xml:space="preserve">eigene Gegenprobe deckte es auf.</w:t>
      </w:r>
    </w:p>
    <w:bookmarkEnd w:id="13"/>
    <w:bookmarkStart w:id="14" w:name="der-zähler-als-klasse"/>
    <w:p>
      <w:pPr>
        <w:pStyle w:val="Heading3"/>
      </w:pPr>
      <w:r>
        <w:rPr>
          <w:lang w:val="de"/>
        </w:rPr>
        <w:t xml:space="preserve">Der Zähler als Klasse</w:t>
      </w:r>
    </w:p>
    <w:p>
      <w:pPr>
        <w:pStyle w:val="FirstParagraph"/>
      </w:pPr>
      <w:r>
        <w:rPr>
          <w:lang w:val="de"/>
        </w:rPr>
        <w:t xml:space="preserve">Eine laufende Nummer klingt nach einer Variablen, nicht nach einer Klasse. Sie</w:t>
      </w:r>
      <w:r>
        <w:rPr>
          <w:lang w:val="de"/>
        </w:rPr>
        <w:t xml:space="preserve"> </w:t>
      </w:r>
      <w:r>
        <w:rPr>
          <w:lang w:val="de"/>
        </w:rPr>
        <w:t xml:space="preserve">wurde trotzdem eine — mit eigener Tabelle und eigener Zeile.</w:t>
      </w:r>
    </w:p>
    <w:p>
      <w:pPr>
        <w:pStyle w:val="BodyText"/>
      </w:pPr>
      <w:r>
        <w:rPr>
          <w:lang w:val="de"/>
        </w:rPr>
        <w:t xml:space="preserve">Der Grund steht schon im Datenmodell aus Teil 01: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Nummer, die nach einem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Neustart von vorn zählt, erzeugt eine doppelte Datenaustauschreferenz.</w:t>
      </w:r>
      <w:r>
        <w:rPr>
          <w:lang w:val="de"/>
        </w:rPr>
        <w:t xml:space="preserve"> </w:t>
      </w:r>
      <w:r>
        <w:rPr>
          <w:lang w:val="de"/>
        </w:rPr>
        <w:t xml:space="preserve">Das ist</w:t>
      </w:r>
      <w:r>
        <w:rPr>
          <w:lang w:val="de"/>
        </w:rPr>
        <w:t xml:space="preserve"> </w:t>
      </w:r>
      <w:r>
        <w:rPr>
          <w:lang w:val="de"/>
        </w:rPr>
        <w:t xml:space="preserve">ein Zurückweisungsgrund, der sich nicht aus der Datei heraus reparieren lässt.</w:t>
      </w:r>
      <w:r>
        <w:rPr>
          <w:lang w:val="de"/>
        </w:rPr>
        <w:t xml:space="preserve"> </w:t>
      </w:r>
      <w:r>
        <w:rPr>
          <w:lang w:val="de"/>
        </w:rPr>
        <w:t xml:space="preserve">Also gehört sie dorthin, wo sie einen Neustart überlebt.</w:t>
      </w:r>
    </w:p>
    <w:bookmarkEnd w:id="14"/>
    <w:bookmarkEnd w:id="15"/>
    <w:bookmarkStart w:id="20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lang w:val="de"/>
        </w:rPr>
        <w:t xml:space="preserve">Das Modell zerfällt in drei Bereiche, sichtbar an den Paketen: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Inhalt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Gespeichert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Entitäten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Person mit Patient und Leistungserbringer, Gruppe, Blaupause, Zähler, Einstellung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Abrechnung, Nachricht, 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Segmentmodell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Segment, Segmentbeschreibung, Feld, Feldbeschreibung, Feldwert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 — kommt aus Beschreibungen</w:t>
            </w:r>
          </w:p>
        </w:tc>
      </w:tr>
    </w:tbl>
    <w:p>
      <w:pPr>
        <w:pStyle w:val="CaptionedFigure"/>
      </w:pPr>
      <w:r>
        <w:drawing>
          <wp:inline>
            <wp:extent cx="5334000" cy="2641197"/>
            <wp:effectExtent b="0" l="0" r="0" t="0"/>
            <wp:docPr descr="Fachliches Modell" title="" id="17" name="Picture"/>
            <a:graphic>
              <a:graphicData uri="http://schemas.openxmlformats.org/drawingml/2006/picture">
                <pic:pic>
                  <pic:nvPicPr>
                    <pic:cNvPr descr="../GKVTransmitter_Domae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Fachliches Modell</w:t>
      </w:r>
    </w:p>
    <w:bookmarkStart w:id="19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Der Segmentbereich sieht überbaut aus: fünf Klassen, um zu beschreiben, was ein</w:t>
      </w:r>
      <w:r>
        <w:rPr>
          <w:lang w:val="de"/>
        </w:rPr>
        <w:t xml:space="preserve"> </w:t>
      </w:r>
      <w:r>
        <w:rPr>
          <w:lang w:val="de"/>
        </w:rPr>
        <w:t xml:space="preserve">Feld ist. Man hätte die Felder auch direkt im Erzeugungscode benennen können.</w:t>
      </w:r>
    </w:p>
    <w:p>
      <w:pPr>
        <w:pStyle w:val="BodyText"/>
      </w:pPr>
      <w:r>
        <w:rPr>
          <w:lang w:val="de"/>
        </w:rPr>
        <w:t xml:space="preserve">Dagegen spricht Q7 und die Erfahrung aus Teil 02: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Vorgaben ändern sich in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den Werten, nicht in der Struktur.</w:t>
      </w:r>
      <w:r>
        <w:rPr>
          <w:lang w:val="de"/>
        </w:rPr>
        <w:t xml:space="preserve"> </w:t>
      </w:r>
      <w:r>
        <w:rPr>
          <w:lang w:val="de"/>
        </w:rPr>
        <w:t xml:space="preserve">Eine Feldbeschreibung, die aus einer Datei</w:t>
      </w:r>
      <w:r>
        <w:rPr>
          <w:lang w:val="de"/>
        </w:rPr>
        <w:t xml:space="preserve"> </w:t>
      </w:r>
      <w:r>
        <w:rPr>
          <w:lang w:val="de"/>
        </w:rPr>
        <w:t xml:space="preserve">kommt, lässt sich anpassen, ohne das Programm neu zu bauen. Fest verdrahtete</w:t>
      </w:r>
      <w:r>
        <w:rPr>
          <w:lang w:val="de"/>
        </w:rPr>
        <w:t xml:space="preserve"> </w:t>
      </w:r>
      <w:r>
        <w:rPr>
          <w:lang w:val="de"/>
        </w:rPr>
        <w:t xml:space="preserve">Felder nicht.</w:t>
      </w:r>
    </w:p>
    <w:bookmarkEnd w:id="19"/>
    <w:bookmarkEnd w:id="20"/>
    <w:bookmarkStart w:id="21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Das Klassenbild oben — und, wichtiger, der Vergleich mit dem Begriffsmodell aus</w:t>
      </w:r>
      <w:r>
        <w:rPr>
          <w:lang w:val="de"/>
        </w:rPr>
        <w:t xml:space="preserve"> </w:t>
      </w:r>
      <w:r>
        <w:rPr>
          <w:lang w:val="de"/>
        </w:rPr>
        <w:t xml:space="preserve">Teil 02.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sehen nicht gleich aus, und die Unterschiede sind die eigentliche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Aussage dieses Teils: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Begriff aus Teil 02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daraus wurde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dabei verloren 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Versicherte Person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Leistungserbringerin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ServiceProvider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Leistungsfall (Kurs)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PersonGroup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fast alles</w:t>
            </w:r>
            <w:r>
              <w:rPr>
                <w:lang w:val="de"/>
              </w:rPr>
              <w:t xml:space="preserve">: Zeitraum und Anzahl der Einheiten fehlen. Die Gruppe trägt nur einen Namen und ihre Mitglieder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Leistungsnachweis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gar nicht vorhanden.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Die Anzahl der Einheiten sitzt an der Abrechnung, nicht am Nachweis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Leistungsbeschreibung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Blueprint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einzelnen Felder — sie stecken gemeinsam in einem Textfeld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keine Klasse.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Eine Lieferung ist heute nur ein Programmlauf. Sie hat keine Kennung, keinen Zustand, keine Spur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Prüfbericht, Befund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ValidationReport</w:t>
            </w:r>
            <w:r>
              <w:rPr>
                <w:lang w:val="de"/>
              </w:rPr>
              <w:t xml:space="preserve">,</w:t>
            </w:r>
            <w:r>
              <w:rPr>
                <w:lang w:val="de"/>
              </w:rPr>
              <w:t xml:space="preserve"> </w:t>
            </w:r>
            <w:r>
              <w:rPr>
                <w:rStyle w:val="VerbatimChar"/>
                <w:lang w:val="de"/>
              </w:rPr>
              <w:t xml:space="preserve">ValidationMessage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— hier stimmt das Modell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Rückmeldung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Antwortobjekt im Versandbereich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Krankenkasse, Annahmestelle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nur eine Zahl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an der Person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beides ist kein Gegenstand des Modells, sondern ein Feld</w:t>
            </w:r>
          </w:p>
        </w:tc>
      </w:tr>
    </w:tbl>
    <w:p>
      <w:pPr>
        <w:pStyle w:val="BodyText"/>
      </w:pPr>
      <w:r>
        <w:rPr>
          <w:lang w:val="de"/>
        </w:rPr>
        <w:t xml:space="preserve">Zwei Zeilen davon sind mehr als Abweichungen — sie sind Mängel:</w:t>
      </w:r>
    </w:p>
    <w:p>
      <w:pPr>
        <w:pStyle w:val="BodyText"/>
      </w:pPr>
      <w:r>
        <w:rPr>
          <w:b/>
          <w:bCs/>
          <w:lang w:val="de"/>
        </w:rPr>
        <w:t xml:space="preserve">Die Lieferung fehlt.</w:t>
      </w:r>
      <w:r>
        <w:rPr>
          <w:lang w:val="de"/>
        </w:rPr>
        <w:t xml:space="preserve"> </w:t>
      </w:r>
      <w:r>
        <w:rPr>
          <w:lang w:val="de"/>
        </w:rPr>
        <w:t xml:space="preserve">Im Begriffsmodell trug sie eine laufende Nummer, eine</w:t>
      </w:r>
      <w:r>
        <w:rPr>
          <w:lang w:val="de"/>
        </w:rPr>
        <w:t xml:space="preserve"> </w:t>
      </w:r>
      <w:r>
        <w:rPr>
          <w:lang w:val="de"/>
        </w:rPr>
        <w:t xml:space="preserve">Art und einen Bezug zu Abrechnungen und Befunden. Im Programm ist sie ein</w:t>
      </w:r>
      <w:r>
        <w:rPr>
          <w:lang w:val="de"/>
        </w:rPr>
        <w:t xml:space="preserve"> </w:t>
      </w:r>
      <w:r>
        <w:rPr>
          <w:lang w:val="de"/>
        </w:rPr>
        <w:t xml:space="preserve">Vorgang, der abläuft und nichts hinterlässt. Deshalb lässt sich heute nicht</w:t>
      </w:r>
      <w:r>
        <w:rPr>
          <w:lang w:val="de"/>
        </w:rPr>
        <w:t xml:space="preserve"> </w:t>
      </w:r>
      <w:r>
        <w:rPr>
          <w:lang w:val="de"/>
        </w:rPr>
        <w:t xml:space="preserve">beantworten, was in einer bestimmten Lieferung enthalten war — und genau das</w:t>
      </w:r>
      <w:r>
        <w:rPr>
          <w:lang w:val="de"/>
        </w:rPr>
        <w:t xml:space="preserve"> </w:t>
      </w:r>
      <w:r>
        <w:rPr>
          <w:lang w:val="de"/>
        </w:rPr>
        <w:t xml:space="preserve">braucht man, wenn eine Zurückweisung eintrifft.</w:t>
      </w:r>
    </w:p>
    <w:p>
      <w:pPr>
        <w:pStyle w:val="BodyText"/>
      </w:pPr>
      <w:r>
        <w:rPr>
          <w:b/>
          <w:bCs/>
          <w:lang w:val="de"/>
        </w:rPr>
        <w:t xml:space="preserve">Der Leistungsnachweis fehlt.</w:t>
      </w:r>
      <w:r>
        <w:rPr>
          <w:lang w:val="de"/>
        </w:rPr>
        <w:t xml:space="preserve"> </w:t>
      </w:r>
      <w:r>
        <w:rPr>
          <w:lang w:val="de"/>
        </w:rPr>
        <w:t xml:space="preserve">Dass die Anzahl der Einheiten an der Abrechnung</w:t>
      </w:r>
      <w:r>
        <w:rPr>
          <w:lang w:val="de"/>
        </w:rPr>
        <w:t xml:space="preserve"> </w:t>
      </w:r>
      <w:r>
        <w:rPr>
          <w:lang w:val="de"/>
        </w:rPr>
        <w:t xml:space="preserve">hängt statt am Nachweis, heißt: Eine Teilnehmerin, die an sechs von zehn</w:t>
      </w:r>
      <w:r>
        <w:rPr>
          <w:lang w:val="de"/>
        </w:rPr>
        <w:t xml:space="preserve"> </w:t>
      </w:r>
      <w:r>
        <w:rPr>
          <w:lang w:val="de"/>
        </w:rPr>
        <w:t xml:space="preserve">Terminen war, lässt sich nicht als solche festhalten — nur als Abrechnung über</w:t>
      </w:r>
      <w:r>
        <w:rPr>
          <w:lang w:val="de"/>
        </w:rPr>
        <w:t xml:space="preserve"> </w:t>
      </w:r>
      <w:r>
        <w:rPr>
          <w:lang w:val="de"/>
        </w:rPr>
        <w:t xml:space="preserve">sechs.</w:t>
      </w:r>
    </w:p>
    <w:p>
      <w:pPr>
        <w:pStyle w:val="BodyText"/>
      </w:pPr>
      <w:r>
        <w:rPr>
          <w:lang w:val="de"/>
        </w:rPr>
        <w:t xml:space="preserve">Beides ist behebbar. Beides steht hier, weil eine Dokumentation, die nur das</w:t>
      </w:r>
      <w:r>
        <w:rPr>
          <w:lang w:val="de"/>
        </w:rPr>
        <w:t xml:space="preserve"> </w:t>
      </w:r>
      <w:r>
        <w:rPr>
          <w:lang w:val="de"/>
        </w:rPr>
        <w:t xml:space="preserve">Gelungene zeigt, wertlos ist.</w:t>
      </w:r>
    </w:p>
    <w:bookmarkEnd w:id="21"/>
    <w:bookmarkStart w:id="22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Wie sich das Modell in Tabellen niederschlägt</w:t>
      </w:r>
      <w:r>
        <w:rPr>
          <w:lang w:val="de"/>
        </w:rPr>
        <w:t xml:space="preserve"> </w:t>
      </w:r>
      <w:r>
        <w:rPr>
          <w:lang w:val="de"/>
        </w:rPr>
        <w:t xml:space="preserve">— insbesondere, was die</w:t>
      </w:r>
      <w:r>
        <w:rPr>
          <w:lang w:val="de"/>
        </w:rPr>
        <w:t xml:space="preserve"> </w:t>
      </w:r>
      <w:r>
        <w:rPr>
          <w:lang w:val="de"/>
        </w:rPr>
        <w:t xml:space="preserve">Oberklasse ohne eigene Tabelle kostet. Teil 07.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die Lieferung eine Klasse werden soll.</w:t>
      </w:r>
      <w:r>
        <w:rPr>
          <w:lang w:val="de"/>
        </w:rPr>
        <w:t xml:space="preserve"> </w:t>
      </w:r>
      <w:r>
        <w:rPr>
          <w:lang w:val="de"/>
        </w:rPr>
        <w:t xml:space="preserve">Die Antwort ist absehbar ja; wann,</w:t>
      </w:r>
      <w:r>
        <w:rPr>
          <w:lang w:val="de"/>
        </w:rPr>
        <w:t xml:space="preserve"> </w:t>
      </w:r>
      <w:r>
        <w:rPr>
          <w:lang w:val="de"/>
        </w:rPr>
        <w:t xml:space="preserve">entscheidet Teil 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Wie die Blaupause durchsuchbar wird</w:t>
      </w:r>
      <w:r>
        <w:rPr>
          <w:lang w:val="de"/>
        </w:rPr>
        <w:t xml:space="preserve">, ohne das Schema an die Vorgaben zu</w:t>
      </w:r>
      <w:r>
        <w:rPr>
          <w:lang w:val="de"/>
        </w:rPr>
        <w:t xml:space="preserve"> </w:t>
      </w:r>
      <w:r>
        <w:rPr>
          <w:lang w:val="de"/>
        </w:rPr>
        <w:t xml:space="preserve">binden. Offen.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06 — Fachliches Modell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