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11 — Nachrichtenformat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Das Domänenmodell steht (Teil 10): Personen, Gruppen, Blaupausen, Abrechnungen.</w:t>
      </w:r>
      <w:r>
        <w:rPr>
          <w:lang w:val="de"/>
        </w:rPr>
        <w:t xml:space="preserve"> </w:t>
      </w:r>
      <w:r>
        <w:rPr>
          <w:lang w:val="de"/>
        </w:rPr>
        <w:t xml:space="preserve">Offen blieb dort ausdrücklich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fehlende Lieferung</w:t>
      </w:r>
      <w:r>
        <w:rPr>
          <w:lang w:val="de"/>
        </w:rPr>
        <w:t xml:space="preserve"> </w:t>
      </w:r>
      <w:r>
        <w:rPr>
          <w:lang w:val="de"/>
        </w:rPr>
        <w:t xml:space="preserve">— die Abrechnung</w:t>
      </w:r>
      <w:r>
        <w:rPr>
          <w:lang w:val="de"/>
        </w:rPr>
        <w:t xml:space="preserve"> </w:t>
      </w:r>
      <w:r>
        <w:rPr>
          <w:lang w:val="de"/>
        </w:rPr>
        <w:t xml:space="preserve">hinterlässt eine Spur in der Datenbank, aber noch keine Datei, die eine Kasse</w:t>
      </w:r>
      <w:r>
        <w:rPr>
          <w:lang w:val="de"/>
        </w:rPr>
        <w:t xml:space="preserve"> </w:t>
      </w:r>
      <w:r>
        <w:rPr>
          <w:lang w:val="de"/>
        </w:rPr>
        <w:t xml:space="preserve">entgegennehmen könnte.</w:t>
      </w:r>
    </w:p>
    <w:p>
      <w:pPr>
        <w:pStyle w:val="BodyText"/>
      </w:pPr>
      <w:r>
        <w:rPr>
          <w:lang w:val="de"/>
        </w:rPr>
        <w:t xml:space="preserve">Diese Datei ist kein eigener Entwurf dieses Projekts. Ihr Aufbau steht in der</w:t>
      </w:r>
      <w:r>
        <w:rPr>
          <w:lang w:val="de"/>
        </w:rPr>
        <w:t xml:space="preserve"> </w:t>
      </w:r>
      <w:r>
        <w:rPr>
          <w:lang w:val="de"/>
        </w:rPr>
        <w:t xml:space="preserve">Anlage 3 zu den Richtlinien nach § 302 SGB V und ist zwischen den</w:t>
      </w:r>
      <w:r>
        <w:rPr>
          <w:lang w:val="de"/>
        </w:rPr>
        <w:t xml:space="preserve"> </w:t>
      </w:r>
      <w:r>
        <w:rPr>
          <w:lang w:val="de"/>
        </w:rPr>
        <w:t xml:space="preserve">Leistungserbringern und den Kassen vereinbart, nicht frei wählbar. Was hier zu</w:t>
      </w:r>
      <w:r>
        <w:rPr>
          <w:lang w:val="de"/>
        </w:rPr>
        <w:t xml:space="preserve"> </w:t>
      </w:r>
      <w:r>
        <w:rPr>
          <w:lang w:val="de"/>
        </w:rPr>
        <w:t xml:space="preserve">entscheiden ist, ist nicht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wie die Nachricht aussieht</w:t>
      </w:r>
      <w:r>
        <w:rPr>
          <w:lang w:val="de"/>
        </w:rPr>
        <w:t xml:space="preserve">, sondern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wie das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Programm weiß, wie sie aussieht.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Den Aufbau einer Lieferung — Segmente, Felder, Schachtelung, Zähler — so</w:t>
      </w:r>
      <w:r>
        <w:rPr>
          <w:lang w:val="de"/>
        </w:rPr>
        <w:t xml:space="preserve"> </w:t>
      </w:r>
      <w:r>
        <w:rPr>
          <w:lang w:val="de"/>
        </w:rPr>
        <w:t xml:space="preserve">festhalten, dass ihn das Programm lesen kann, nicht nur ein Mensch. Dazu das</w:t>
      </w:r>
      <w:r>
        <w:rPr>
          <w:lang w:val="de"/>
        </w:rPr>
        <w:t xml:space="preserve"> </w:t>
      </w:r>
      <w:r>
        <w:rPr>
          <w:lang w:val="de"/>
        </w:rPr>
        <w:t xml:space="preserve">Diagramm, das diese Schachtelung zeigt.</w:t>
      </w:r>
    </w:p>
    <w:bookmarkEnd w:id="10"/>
    <w:bookmarkStart w:id="17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vorgegebene-form-freie-darstellung"/>
    <w:p>
      <w:pPr>
        <w:pStyle w:val="Heading3"/>
      </w:pPr>
      <w:r>
        <w:rPr>
          <w:lang w:val="de"/>
        </w:rPr>
        <w:t xml:space="preserve">Vorgegebene Form, freie Darstellung</w:t>
      </w:r>
    </w:p>
    <w:p>
      <w:pPr>
        <w:pStyle w:val="FirstParagraph"/>
      </w:pPr>
      <w:r>
        <w:rPr>
          <w:lang w:val="de"/>
        </w:rPr>
        <w:t xml:space="preserve">Die einzige Entscheidung, die dieses Projekt zum Format selbst trifft, ist</w:t>
      </w:r>
      <w:r>
        <w:rPr>
          <w:lang w:val="de"/>
        </w:rPr>
        <w:t xml:space="preserve"> </w:t>
      </w:r>
      <w:r>
        <w:rPr>
          <w:lang w:val="de"/>
        </w:rPr>
        <w:t xml:space="preserve">keine: Reihenfolge, Feldzahl und Pflichtangaben sind vorgegeben. Die</w:t>
      </w:r>
      <w:r>
        <w:rPr>
          <w:lang w:val="de"/>
        </w:rPr>
        <w:t xml:space="preserve"> </w:t>
      </w:r>
      <w:r>
        <w:rPr>
          <w:lang w:val="de"/>
        </w:rPr>
        <w:t xml:space="preserve">Gestaltungsfreiheit liegt ausschließlich in der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Darstellung im Programm</w:t>
      </w:r>
      <w:r>
        <w:rPr>
          <w:lang w:val="de"/>
        </w:rPr>
        <w:t xml:space="preserve"> </w:t>
      </w:r>
      <w:r>
        <w:rPr>
          <w:lang w:val="de"/>
        </w:rPr>
        <w:t xml:space="preserve">—</w:t>
      </w:r>
      <w:r>
        <w:rPr>
          <w:lang w:val="de"/>
        </w:rPr>
        <w:t xml:space="preserve"> </w:t>
      </w:r>
      <w:r>
        <w:rPr>
          <w:lang w:val="de"/>
        </w:rPr>
        <w:t xml:space="preserve">und dort stellt sich dieselbe Frage wie in Teil 09 bei der Datenbank: Code oder</w:t>
      </w:r>
      <w:r>
        <w:rPr>
          <w:lang w:val="de"/>
        </w:rPr>
        <w:t xml:space="preserve"> </w:t>
      </w:r>
      <w:r>
        <w:rPr>
          <w:lang w:val="de"/>
        </w:rPr>
        <w:t xml:space="preserve">Daten?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Folge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Jedes Segment als eigene Java-Klasse mit benannten Feldern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Lesbar, aber jede Ergänzung — ein weiterer Leistungsbereich, eine neue Fassung der Anlage 3 — verlangt eine neue Übersetzung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Segmente und Felder generisch beschreiben, aus Daten geladen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Ergänzung ist eine neue oder geänderte Datei, kein neuer Code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zweite. Dreizehn Segmenttypen mit insgesamt weit über</w:t>
      </w:r>
      <w:r>
        <w:rPr>
          <w:lang w:val="de"/>
        </w:rPr>
        <w:t xml:space="preserve"> </w:t>
      </w:r>
      <w:r>
        <w:rPr>
          <w:lang w:val="de"/>
        </w:rPr>
        <w:t xml:space="preserve">vierzig Feldern liegen als JSON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gkv-core/src/main/resources/segments/</w:t>
      </w:r>
      <w:r>
        <w:rPr>
          <w:lang w:val="de"/>
        </w:rPr>
        <w:t xml:space="preserve"> </w:t>
      </w:r>
      <w:r>
        <w:rPr>
          <w:lang w:val="de"/>
        </w:rPr>
        <w:t xml:space="preserve">—</w:t>
      </w:r>
      <w:r>
        <w:rPr>
          <w:lang w:val="de"/>
        </w:rPr>
        <w:t xml:space="preserve"> </w:t>
      </w:r>
      <w:r>
        <w:rPr>
          <w:lang w:val="de"/>
        </w:rPr>
        <w:t xml:space="preserve">eine Datei je Segmenttyp, jede mit Position, Typ, Länge, Pflichtstatus,</w:t>
      </w:r>
      <w:r>
        <w:rPr>
          <w:lang w:val="de"/>
        </w:rPr>
        <w:t xml:space="preserve"> </w:t>
      </w:r>
      <w:r>
        <w:rPr>
          <w:lang w:val="de"/>
        </w:rPr>
        <w:t xml:space="preserve">Beispiel und einer Beschreibung je Feld. Dieselbe Beschreibung bedient drei</w:t>
      </w:r>
      <w:r>
        <w:rPr>
          <w:lang w:val="de"/>
        </w:rPr>
        <w:t xml:space="preserve"> </w:t>
      </w:r>
      <w:r>
        <w:rPr>
          <w:lang w:val="de"/>
        </w:rPr>
        <w:t xml:space="preserve">Abnehmer: die Erzeugung der Nachricht (Teil 12), ihre Prüfung (Teil 14) und die</w:t>
      </w:r>
      <w:r>
        <w:rPr>
          <w:lang w:val="de"/>
        </w:rPr>
        <w:t xml:space="preserve"> </w:t>
      </w:r>
      <w:r>
        <w:rPr>
          <w:lang w:val="de"/>
        </w:rPr>
        <w:t xml:space="preserve">Erklärtexte unter den Eingabefeldern der Oberfläche.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Quelle für drei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Abnehmer verhindert, dass sie sich widersprechen</w:t>
      </w:r>
      <w:r>
        <w:rPr>
          <w:lang w:val="de"/>
        </w:rPr>
        <w:t xml:space="preserve"> </w:t>
      </w:r>
      <w:r>
        <w:rPr>
          <w:lang w:val="de"/>
        </w:rPr>
        <w:t xml:space="preserve">— dieselbe Begründung wie</w:t>
      </w:r>
      <w:r>
        <w:rPr>
          <w:lang w:val="de"/>
        </w:rPr>
        <w:t xml:space="preserve"> </w:t>
      </w:r>
      <w:r>
        <w:rPr>
          <w:lang w:val="de"/>
        </w:rPr>
        <w:t xml:space="preserve">für die Einstellungstabelle in Teil 09.</w:t>
      </w:r>
    </w:p>
    <w:bookmarkEnd w:id="11"/>
    <w:bookmarkStart w:id="12" w:name="wie-viel-typisierung-in-den-code-gehört"/>
    <w:p>
      <w:pPr>
        <w:pStyle w:val="Heading3"/>
      </w:pPr>
      <w:r>
        <w:rPr>
          <w:lang w:val="de"/>
        </w:rPr>
        <w:t xml:space="preserve">Wie viel Typisierung in den Code gehört</w:t>
      </w:r>
    </w:p>
    <w:p>
      <w:pPr>
        <w:pStyle w:val="FirstParagraph"/>
      </w:pPr>
      <w:r>
        <w:rPr>
          <w:lang w:val="de"/>
        </w:rPr>
        <w:t xml:space="preserve">Die JSON-Beschreibung unterscheidet fein: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STRING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INTEGER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DECIMAL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COMPOSITE</w:t>
      </w:r>
      <w:r>
        <w:rPr>
          <w:lang w:val="de"/>
        </w:rPr>
        <w:t xml:space="preserve">, dazu Länge, Format und ein Prüfmuster. Im Code kommt davon nur</w:t>
      </w:r>
      <w:r>
        <w:rPr>
          <w:lang w:val="de"/>
        </w:rPr>
        <w:t xml:space="preserve"> </w:t>
      </w:r>
      <w:r>
        <w:rPr>
          <w:lang w:val="de"/>
        </w:rPr>
        <w:t xml:space="preserve">ein grobes Dreier-Enum an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FieldType.DATE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NUMBER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STRING</w:t>
      </w:r>
      <w:r>
        <w:rPr>
          <w:lang w:val="de"/>
        </w:rPr>
        <w:t xml:space="preserve">.</w:t>
      </w:r>
    </w:p>
    <w:p>
      <w:pPr>
        <w:pStyle w:val="BodyText"/>
      </w:pPr>
      <w:r>
        <w:rPr>
          <w:lang w:val="de"/>
        </w:rPr>
        <w:t xml:space="preserve">Das ist kein Versehen, sondern zwei Ebenen mit unterschiedlichem Bedarf. Die</w:t>
      </w:r>
      <w:r>
        <w:rPr>
          <w:lang w:val="de"/>
        </w:rPr>
        <w:t xml:space="preserve"> </w:t>
      </w:r>
      <w:r>
        <w:rPr>
          <w:lang w:val="de"/>
        </w:rPr>
        <w:t xml:space="preserve">feine Unterscheidung braucht, wer das Feld liest oder prüft — etwa, ob ein</w:t>
      </w:r>
      <w:r>
        <w:rPr>
          <w:lang w:val="de"/>
        </w:rPr>
        <w:t xml:space="preserve"> </w:t>
      </w:r>
      <w:r>
        <w:rPr>
          <w:lang w:val="de"/>
        </w:rPr>
        <w:t xml:space="preserve">Betrag zwei Nachkommastellen mit Komma trägt. Das entscheidet ein Prüfwerk oder</w:t>
      </w:r>
      <w:r>
        <w:rPr>
          <w:lang w:val="de"/>
        </w:rPr>
        <w:t xml:space="preserve"> </w:t>
      </w:r>
      <w:r>
        <w:rPr>
          <w:lang w:val="de"/>
        </w:rPr>
        <w:t xml:space="preserve">ein Mensch, der die Beschreibung liest, nicht die Objektstruktur, die ein Feld</w:t>
      </w:r>
      <w:r>
        <w:rPr>
          <w:lang w:val="de"/>
        </w:rPr>
        <w:t xml:space="preserve"> </w:t>
      </w:r>
      <w:r>
        <w:rPr>
          <w:lang w:val="de"/>
        </w:rPr>
        <w:t xml:space="preserve">im Speicher hält. Für die hängt nur ab, ob sie als Datum, als Zahl oder als</w:t>
      </w:r>
      <w:r>
        <w:rPr>
          <w:lang w:val="de"/>
        </w:rPr>
        <w:t xml:space="preserve"> </w:t>
      </w:r>
      <w:r>
        <w:rPr>
          <w:lang w:val="de"/>
        </w:rPr>
        <w:t xml:space="preserve">Text behandelt wird.</w:t>
      </w:r>
    </w:p>
    <w:bookmarkEnd w:id="12"/>
    <w:bookmarkStart w:id="13" w:name="X0e83cda823ef3449c7578ff9684e27544cc4ac3"/>
    <w:p>
      <w:pPr>
        <w:pStyle w:val="Heading3"/>
      </w:pPr>
      <w:r>
        <w:rPr>
          <w:lang w:val="de"/>
        </w:rPr>
        <w:t xml:space="preserve">Warum das Kompositfeld keinen eigenen Zweig braucht</w:t>
      </w:r>
    </w:p>
    <w:p>
      <w:pPr>
        <w:pStyle w:val="FirstParagraph"/>
      </w:pPr>
      <w:r>
        <w:rPr>
          <w:lang w:val="de"/>
        </w:rPr>
        <w:t xml:space="preserve">Innerhalb eines Datenelements trennt der Doppelpunkt Komponenten — etwa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Abrechnungscode:Tarifkennzeichen</w:t>
      </w:r>
      <w:r>
        <w:rPr>
          <w:lang w:val="de"/>
        </w:rPr>
        <w:t xml:space="preserve"> </w:t>
      </w:r>
      <w:r>
        <w:rPr>
          <w:lang w:val="de"/>
        </w:rPr>
        <w:t xml:space="preserve">im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ENF</w:t>
      </w:r>
      <w:r>
        <w:rPr>
          <w:lang w:val="de"/>
        </w:rPr>
        <w:t xml:space="preserve">. Die naheliegende Abbildung wäre ein</w:t>
      </w:r>
      <w:r>
        <w:rPr>
          <w:lang w:val="de"/>
        </w:rPr>
        <w:t xml:space="preserve"> </w:t>
      </w:r>
      <w:r>
        <w:rPr>
          <w:lang w:val="de"/>
        </w:rPr>
        <w:t xml:space="preserve">Baum: ein Feld, das Unterfelder enthält.</w:t>
      </w:r>
    </w:p>
    <w:p>
      <w:pPr>
        <w:pStyle w:val="BodyText"/>
      </w:pPr>
      <w:r>
        <w:rPr>
          <w:lang w:val="de"/>
        </w:rPr>
        <w:t xml:space="preserve">Gebaut wurde stattdessen eine flache, geordnete Liste mit einem kombinierten</w:t>
      </w:r>
      <w:r>
        <w:rPr>
          <w:lang w:val="de"/>
        </w:rPr>
        <w:t xml:space="preserve"> </w:t>
      </w:r>
      <w:r>
        <w:rPr>
          <w:lang w:val="de"/>
        </w:rPr>
        <w:t xml:space="preserve">Schlüssel: die Position des Feldes, mit einem Faktor multipliziert, plus die</w:t>
      </w:r>
      <w:r>
        <w:rPr>
          <w:lang w:val="de"/>
        </w:rPr>
        <w:t xml:space="preserve"> </w:t>
      </w:r>
      <w:r>
        <w:rPr>
          <w:lang w:val="de"/>
        </w:rPr>
        <w:t xml:space="preserve">Position der Komponente.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Abrechnungscode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Tarifkennzeichen</w:t>
      </w:r>
      <w:r>
        <w:rPr>
          <w:lang w:val="de"/>
        </w:rPr>
        <w:t xml:space="preserve"> </w:t>
      </w:r>
      <w:r>
        <w:rPr>
          <w:lang w:val="de"/>
        </w:rPr>
        <w:t xml:space="preserve">landen so als</w:t>
      </w:r>
      <w:r>
        <w:rPr>
          <w:lang w:val="de"/>
        </w:rPr>
        <w:t xml:space="preserve"> </w:t>
      </w:r>
      <w:r>
        <w:rPr>
          <w:lang w:val="de"/>
        </w:rPr>
        <w:t xml:space="preserve">zwei benachbarte Einträge unter Schlüsseln wie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200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201</w:t>
      </w:r>
      <w:r>
        <w:rPr>
          <w:lang w:val="de"/>
        </w:rPr>
        <w:t xml:space="preserve">, nicht als</w:t>
      </w:r>
      <w:r>
        <w:rPr>
          <w:lang w:val="de"/>
        </w:rPr>
        <w:t xml:space="preserve"> </w:t>
      </w:r>
      <w:r>
        <w:rPr>
          <w:lang w:val="de"/>
        </w:rPr>
        <w:t xml:space="preserve">Unterbaum von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2</w:t>
      </w:r>
      <w:r>
        <w:rPr>
          <w:lang w:val="de"/>
        </w:rPr>
        <w:t xml:space="preserve">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Ordnung reicht, wenn danach nur die Reihenfolge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zählt</w:t>
      </w:r>
      <w:r>
        <w:rPr>
          <w:lang w:val="de"/>
        </w:rPr>
        <w:t xml:space="preserve"> </w:t>
      </w:r>
      <w:r>
        <w:rPr>
          <w:lang w:val="de"/>
        </w:rPr>
        <w:t xml:space="preserve">— ein zweiter Baum hätte nichts zusätzlich ausgedrückt.</w:t>
      </w:r>
    </w:p>
    <w:bookmarkEnd w:id="13"/>
    <w:bookmarkStart w:id="14" w:name="was-die-beschreibung-nicht-trägt"/>
    <w:p>
      <w:pPr>
        <w:pStyle w:val="Heading3"/>
      </w:pPr>
      <w:r>
        <w:rPr>
          <w:lang w:val="de"/>
        </w:rPr>
        <w:t xml:space="preserve">Was die Beschreibung nicht trägt</w:t>
      </w:r>
    </w:p>
    <w:p>
      <w:pPr>
        <w:pStyle w:val="FirstParagraph"/>
      </w:pPr>
      <w:r>
        <w:rPr>
          <w:lang w:val="de"/>
        </w:rPr>
        <w:t xml:space="preserve">Die JSON-Dateien legen die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Form</w:t>
      </w:r>
      <w:r>
        <w:rPr>
          <w:lang w:val="de"/>
        </w:rPr>
        <w:t xml:space="preserve"> </w:t>
      </w:r>
      <w:r>
        <w:rPr>
          <w:lang w:val="de"/>
        </w:rPr>
        <w:t xml:space="preserve">eines Feldes fest: Position, Typ, Länge,</w:t>
      </w:r>
      <w:r>
        <w:rPr>
          <w:lang w:val="de"/>
        </w:rPr>
        <w:t xml:space="preserve"> </w:t>
      </w:r>
      <w:r>
        <w:rPr>
          <w:lang w:val="de"/>
        </w:rPr>
        <w:t xml:space="preserve">Pflichtstatus. Sie legen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fest, was zwischen Feldern gilt — etwa, dass</w:t>
      </w:r>
      <w:r>
        <w:rPr>
          <w:lang w:val="de"/>
        </w:rPr>
        <w:t xml:space="preserve"> </w:t>
      </w:r>
      <w:r>
        <w:rPr>
          <w:lang w:val="de"/>
        </w:rPr>
        <w:t xml:space="preserve">entweder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INV</w:t>
      </w:r>
      <w:r>
        <w:rPr>
          <w:lang w:val="de"/>
        </w:rPr>
        <w:t xml:space="preserve"> </w:t>
      </w:r>
      <w:r>
        <w:rPr>
          <w:lang w:val="de"/>
        </w:rPr>
        <w:t xml:space="preserve">den Versichertenstatus trägt oder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NAD</w:t>
      </w:r>
      <w:r>
        <w:rPr>
          <w:lang w:val="de"/>
        </w:rPr>
        <w:t xml:space="preserve"> </w:t>
      </w:r>
      <w:r>
        <w:rPr>
          <w:lang w:val="de"/>
        </w:rPr>
        <w:t xml:space="preserve">die vollständige</w:t>
      </w:r>
      <w:r>
        <w:rPr>
          <w:lang w:val="de"/>
        </w:rPr>
        <w:t xml:space="preserve"> </w:t>
      </w:r>
      <w:r>
        <w:rPr>
          <w:lang w:val="de"/>
        </w:rPr>
        <w:t xml:space="preserve">Anschrift, oder dass im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ENF</w:t>
      </w:r>
      <w:r>
        <w:rPr>
          <w:lang w:val="de"/>
        </w:rPr>
        <w:t xml:space="preserve"> </w:t>
      </w:r>
      <w:r>
        <w:rPr>
          <w:lang w:val="de"/>
        </w:rPr>
        <w:t xml:space="preserve">der Doppelpunkt ausschließlich innerhalb des</w:t>
      </w:r>
      <w:r>
        <w:rPr>
          <w:lang w:val="de"/>
        </w:rPr>
        <w:t xml:space="preserve"> </w:t>
      </w:r>
      <w:r>
        <w:rPr>
          <w:lang w:val="de"/>
        </w:rPr>
        <w:t xml:space="preserve">einen Kompositfelds vorkommt und kein Feld verschoben werden darf. Solche</w:t>
      </w:r>
      <w:r>
        <w:rPr>
          <w:lang w:val="de"/>
        </w:rPr>
        <w:t xml:space="preserve"> </w:t>
      </w:r>
      <w:r>
        <w:rPr>
          <w:lang w:val="de"/>
        </w:rPr>
        <w:t xml:space="preserve">Regeln stehen bislang nur als Fließtext 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note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validationRule</w:t>
      </w:r>
      <w:r>
        <w:rPr>
          <w:lang w:val="de"/>
        </w:rPr>
        <w:t xml:space="preserve"> </w:t>
      </w:r>
      <w:r>
        <w:rPr>
          <w:lang w:val="de"/>
        </w:rPr>
        <w:t xml:space="preserve">— lesbar</w:t>
      </w:r>
      <w:r>
        <w:rPr>
          <w:lang w:val="de"/>
        </w:rPr>
        <w:t xml:space="preserve"> </w:t>
      </w:r>
      <w:r>
        <w:rPr>
          <w:lang w:val="de"/>
        </w:rPr>
        <w:t xml:space="preserve">für Menschen, wirkungslos für das Programm.</w:t>
      </w:r>
    </w:p>
    <w:p>
      <w:pPr>
        <w:pStyle w:val="BodyText"/>
      </w:pPr>
      <w:r>
        <w:rPr>
          <w:lang w:val="de"/>
        </w:rPr>
        <w:t xml:space="preserve">Das ist eine bewusste Grenze und keine Lücke, die hier zu schließen wäre: Die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Form</w:t>
      </w:r>
      <w:r>
        <w:rPr>
          <w:lang w:val="de"/>
        </w:rPr>
        <w:t xml:space="preserve"> </w:t>
      </w:r>
      <w:r>
        <w:rPr>
          <w:lang w:val="de"/>
        </w:rPr>
        <w:t xml:space="preserve">eines Feldes ist Daten, weil sie sich aufzählen lässt. Eine Regel wie</w:t>
      </w:r>
      <w:r>
        <w:rPr>
          <w:lang w:val="de"/>
        </w:rPr>
        <w:t xml:space="preserve"> </w:t>
      </w:r>
      <w:r>
        <w:rPr>
          <w:lang w:val="de"/>
        </w:rPr>
        <w:t xml:space="preserve">„entweder — oder” ist Verhalten, und Verhalten als Daten nachzubilden hieße,</w:t>
      </w:r>
      <w:r>
        <w:rPr>
          <w:lang w:val="de"/>
        </w:rPr>
        <w:t xml:space="preserve"> </w:t>
      </w:r>
      <w:r>
        <w:rPr>
          <w:lang w:val="de"/>
        </w:rPr>
        <w:t xml:space="preserve">in JSON eine zweite Programmiersprache zu erfinden. Wo diese Regeln tatsächlich</w:t>
      </w:r>
      <w:r>
        <w:rPr>
          <w:lang w:val="de"/>
        </w:rPr>
        <w:t xml:space="preserve"> </w:t>
      </w:r>
      <w:r>
        <w:rPr>
          <w:lang w:val="de"/>
        </w:rPr>
        <w:t xml:space="preserve">geprüft werden, ist Gegenstand von Teil 14.</w:t>
      </w:r>
    </w:p>
    <w:bookmarkEnd w:id="14"/>
    <w:bookmarkStart w:id="15" w:name="X7b1b541608a6387ea78959ce17d7c925f1d7122"/>
    <w:p>
      <w:pPr>
        <w:pStyle w:val="Heading3"/>
      </w:pPr>
      <w:r>
        <w:rPr>
          <w:lang w:val="de"/>
        </w:rPr>
        <w:t xml:space="preserve">Eine Sackgasse mit echten Folgen: der Leistungsbereich</w:t>
      </w:r>
    </w:p>
    <w:p>
      <w:pPr>
        <w:pStyle w:val="FirstParagraph"/>
      </w:pPr>
      <w:r>
        <w:rPr>
          <w:lang w:val="de"/>
        </w:rPr>
        <w:t xml:space="preserve">Das sechste Element des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</w:t>
      </w:r>
      <w:r>
        <w:rPr>
          <w:lang w:val="de"/>
        </w:rPr>
        <w:t xml:space="preserve"> </w:t>
      </w:r>
      <w:r>
        <w:rPr>
          <w:lang w:val="de"/>
        </w:rPr>
        <w:t xml:space="preserve">trägt den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Leistungsbereich</w:t>
      </w:r>
      <w:r>
        <w:rPr>
          <w:lang w:val="de"/>
        </w:rPr>
        <w:t xml:space="preserve"> </w:t>
      </w:r>
      <w:r>
        <w:rPr>
          <w:lang w:val="de"/>
        </w:rPr>
        <w:t xml:space="preserve">— einen einzelnen</w:t>
      </w:r>
      <w:r>
        <w:rPr>
          <w:lang w:val="de"/>
        </w:rPr>
        <w:t xml:space="preserve"> </w:t>
      </w:r>
      <w:r>
        <w:rPr>
          <w:lang w:val="de"/>
        </w:rPr>
        <w:t xml:space="preserve">Buchstaben nach Anlage 3, Abschnitt 8.1.14, der sich aus dem Abrechnungscode</w:t>
      </w:r>
      <w:r>
        <w:rPr>
          <w:lang w:val="de"/>
        </w:rPr>
        <w:t xml:space="preserve"> </w:t>
      </w:r>
      <w:r>
        <w:rPr>
          <w:lang w:val="de"/>
        </w:rPr>
        <w:t xml:space="preserve">der Leistungszeile ergibt. Lange stand dort fest ein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</w:t>
      </w:r>
      <w:r>
        <w:rPr>
          <w:lang w:val="de"/>
        </w:rPr>
        <w:t xml:space="preserve">.</w:t>
      </w:r>
    </w:p>
    <w:p>
      <w:pPr>
        <w:pStyle w:val="BodyText"/>
      </w:pPr>
      <w:r>
        <w:rPr>
          <w:rStyle w:val="VerbatimChar"/>
          <w:lang w:val="de"/>
        </w:rPr>
        <w:t xml:space="preserve">H</w:t>
      </w:r>
      <w:r>
        <w:rPr>
          <w:lang w:val="de"/>
        </w:rPr>
        <w:t xml:space="preserve"> </w:t>
      </w:r>
      <w:r>
        <w:rPr>
          <w:lang w:val="de"/>
        </w:rPr>
        <w:t xml:space="preserve">ist der Sammelgruppenschlüssel für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Leistungserbringer von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Rehabilitationssport</w:t>
      </w:r>
      <w:r>
        <w:rPr>
          <w:lang w:val="de"/>
        </w:rPr>
        <w:t xml:space="preserve"> </w:t>
      </w:r>
      <w:r>
        <w:rPr>
          <w:lang w:val="de"/>
        </w:rPr>
        <w:t xml:space="preserve">— für eine Hebamme falsch; richtig wäre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</w:t>
      </w:r>
      <w:r>
        <w:rPr>
          <w:lang w:val="de"/>
        </w:rPr>
        <w:t xml:space="preserve">. Der Wert</w:t>
      </w:r>
      <w:r>
        <w:rPr>
          <w:lang w:val="de"/>
        </w:rPr>
        <w:t xml:space="preserve"> </w:t>
      </w:r>
      <w:r>
        <w:rPr>
          <w:lang w:val="de"/>
        </w:rPr>
        <w:t xml:space="preserve">stammte aus der Referenzdatei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Valide.DTA</w:t>
      </w:r>
      <w:r>
        <w:rPr>
          <w:lang w:val="de"/>
        </w:rPr>
        <w:t xml:space="preserve">, die im selben Zug den</w:t>
      </w:r>
      <w:r>
        <w:rPr>
          <w:lang w:val="de"/>
        </w:rPr>
        <w:t xml:space="preserve"> </w:t>
      </w:r>
      <w:r>
        <w:rPr>
          <w:lang w:val="de"/>
        </w:rPr>
        <w:t xml:space="preserve">Abrechnungscode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61</w:t>
      </w:r>
      <w:r>
        <w:rPr>
          <w:lang w:val="de"/>
        </w:rPr>
        <w:t xml:space="preserve"> </w:t>
      </w:r>
      <w:r>
        <w:rPr>
          <w:lang w:val="de"/>
        </w:rPr>
        <w:t xml:space="preserve">führt. 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61</w:t>
      </w:r>
      <w:r>
        <w:rPr>
          <w:lang w:val="de"/>
        </w:rPr>
        <w:t xml:space="preserve"> </w:t>
      </w:r>
      <w:r>
        <w:rPr>
          <w:lang w:val="de"/>
        </w:rPr>
        <w:t xml:space="preserve">gehört tatsächlich zu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</w:t>
      </w:r>
      <w:r>
        <w:rPr>
          <w:lang w:val="de"/>
        </w:rPr>
        <w:t xml:space="preserve"> </w:t>
      </w:r>
      <w:r>
        <w:rPr>
          <w:lang w:val="de"/>
        </w:rPr>
        <w:t xml:space="preserve">— die</w:t>
      </w:r>
      <w:r>
        <w:rPr>
          <w:lang w:val="de"/>
        </w:rPr>
        <w:t xml:space="preserve"> </w:t>
      </w:r>
      <w:r>
        <w:rPr>
          <w:lang w:val="de"/>
        </w:rPr>
        <w:t xml:space="preserve">Referenzdatei war in sich stimmig, nur bildete sie nicht den Fall ab, an dem</w:t>
      </w:r>
      <w:r>
        <w:rPr>
          <w:lang w:val="de"/>
        </w:rPr>
        <w:t xml:space="preserve"> </w:t>
      </w:r>
      <w:r>
        <w:rPr>
          <w:lang w:val="de"/>
        </w:rPr>
        <w:t xml:space="preserve">der Fehler sich zeigte.</w:t>
      </w:r>
    </w:p>
    <w:p>
      <w:pPr>
        <w:pStyle w:val="BodyText"/>
      </w:pPr>
      <w:r>
        <w:rPr>
          <w:b/>
          <w:bCs/>
          <w:lang w:val="de"/>
        </w:rPr>
        <w:t xml:space="preserve">Eine Referenzdatei, die fehlerfrei durchläuft, beweist Konsistenz — nicht,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dass sie den richtigen Fall abbildet.</w:t>
      </w:r>
      <w:r>
        <w:rPr>
          <w:lang w:val="de"/>
        </w:rPr>
        <w:t xml:space="preserve"> </w:t>
      </w:r>
      <w:r>
        <w:rPr>
          <w:lang w:val="de"/>
        </w:rPr>
        <w:t xml:space="preserve">Aufgefallen wäre der Fehler erst bei</w:t>
      </w:r>
      <w:r>
        <w:rPr>
          <w:lang w:val="de"/>
        </w:rPr>
        <w:t xml:space="preserve"> </w:t>
      </w:r>
      <w:r>
        <w:rPr>
          <w:lang w:val="de"/>
        </w:rPr>
        <w:t xml:space="preserve">der Kasse, in der Prüfstufe, die Schlüsselausprägungen gegen das</w:t>
      </w:r>
      <w:r>
        <w:rPr>
          <w:lang w:val="de"/>
        </w:rPr>
        <w:t xml:space="preserve"> </w:t>
      </w:r>
      <w:r>
        <w:rPr>
          <w:lang w:val="de"/>
        </w:rPr>
        <w:t xml:space="preserve">Schlüsselverzeichnis hält: Die Lieferung wäre angenommen und zurückgewiesen</w:t>
      </w:r>
      <w:r>
        <w:rPr>
          <w:lang w:val="de"/>
        </w:rPr>
        <w:t xml:space="preserve"> </w:t>
      </w:r>
      <w:r>
        <w:rPr>
          <w:lang w:val="de"/>
        </w:rPr>
        <w:t xml:space="preserve">worden, nicht bezahlt.</w:t>
      </w:r>
    </w:p>
    <w:p>
      <w:pPr>
        <w:pStyle w:val="BodyText"/>
      </w:pPr>
      <w:r>
        <w:rPr>
          <w:lang w:val="de"/>
        </w:rPr>
        <w:t xml:space="preserve">Die Lösung ist im Kleinen dieselbe wie die Entscheidung im Großen für dieses</w:t>
      </w:r>
      <w:r>
        <w:rPr>
          <w:lang w:val="de"/>
        </w:rPr>
        <w:t xml:space="preserve"> </w:t>
      </w:r>
      <w:r>
        <w:rPr>
          <w:lang w:val="de"/>
        </w:rPr>
        <w:t xml:space="preserve">Projektteil: keine Verzweigung im Code, sondern eine Tabelle — Abrechnungscode</w:t>
      </w:r>
      <w:r>
        <w:rPr>
          <w:lang w:val="de"/>
        </w:rPr>
        <w:t xml:space="preserve"> </w:t>
      </w:r>
      <w:r>
        <w:rPr>
          <w:lang w:val="de"/>
        </w:rPr>
        <w:t xml:space="preserve">auf Buchstabe, vollständig nach Anlage 3 und mit einem eigenen Wert für „dazu</w:t>
      </w:r>
      <w:r>
        <w:rPr>
          <w:lang w:val="de"/>
        </w:rPr>
        <w:t xml:space="preserve"> </w:t>
      </w:r>
      <w:r>
        <w:rPr>
          <w:lang w:val="de"/>
        </w:rPr>
        <w:t xml:space="preserve">findet sich nichts”, statt eines erfundenen Buchstabens, der zufällig zu einem</w:t>
      </w:r>
      <w:r>
        <w:rPr>
          <w:lang w:val="de"/>
        </w:rPr>
        <w:t xml:space="preserve"> </w:t>
      </w:r>
      <w:r>
        <w:rPr>
          <w:lang w:val="de"/>
        </w:rPr>
        <w:t xml:space="preserve">fremden Bereich gehört.</w:t>
      </w:r>
    </w:p>
    <w:bookmarkEnd w:id="15"/>
    <w:bookmarkStart w:id="16" w:name="was-die-zähler-zählen"/>
    <w:p>
      <w:pPr>
        <w:pStyle w:val="Heading3"/>
      </w:pPr>
      <w:r>
        <w:rPr>
          <w:lang w:val="de"/>
        </w:rPr>
        <w:t xml:space="preserve">Was die Zähler zählen</w:t>
      </w:r>
    </w:p>
    <w:p>
      <w:pPr>
        <w:pStyle w:val="FirstParagraph"/>
      </w:pPr>
      <w:r>
        <w:rPr>
          <w:rStyle w:val="VerbatimChar"/>
          <w:lang w:val="de"/>
        </w:rPr>
        <w:t xml:space="preserve">UNT</w:t>
      </w:r>
      <w:r>
        <w:rPr>
          <w:lang w:val="de"/>
        </w:rPr>
        <w:t xml:space="preserve"> </w:t>
      </w:r>
      <w:r>
        <w:rPr>
          <w:lang w:val="de"/>
        </w:rPr>
        <w:t xml:space="preserve">zählt die Segmente der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eigenen</w:t>
      </w:r>
      <w:r>
        <w:rPr>
          <w:lang w:val="de"/>
        </w:rPr>
        <w:t xml:space="preserve"> </w:t>
      </w:r>
      <w:r>
        <w:rPr>
          <w:lang w:val="de"/>
        </w:rPr>
        <w:t xml:space="preserve">Nachricht, Kopf und Abschluss</w:t>
      </w:r>
      <w:r>
        <w:rPr>
          <w:lang w:val="de"/>
        </w:rPr>
        <w:t xml:space="preserve"> </w:t>
      </w:r>
      <w:r>
        <w:rPr>
          <w:lang w:val="de"/>
        </w:rPr>
        <w:t xml:space="preserve">eingeschlossen, sechsstellig.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UNZ</w:t>
      </w:r>
      <w:r>
        <w:rPr>
          <w:lang w:val="de"/>
        </w:rPr>
        <w:t xml:space="preserve"> </w:t>
      </w:r>
      <w:r>
        <w:rPr>
          <w:lang w:val="de"/>
        </w:rPr>
        <w:t xml:space="preserve">zählt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Nachrichten</w:t>
      </w:r>
      <w:r>
        <w:rPr>
          <w:lang w:val="de"/>
        </w:rPr>
        <w:t xml:space="preserve"> </w:t>
      </w:r>
      <w:r>
        <w:rPr>
          <w:lang w:val="de"/>
        </w:rPr>
        <w:t xml:space="preserve">der Übertragung,</w:t>
      </w:r>
      <w:r>
        <w:rPr>
          <w:lang w:val="de"/>
        </w:rPr>
        <w:t xml:space="preserve"> </w:t>
      </w:r>
      <w:r>
        <w:rPr>
          <w:lang w:val="de"/>
        </w:rPr>
        <w:t xml:space="preserve">nicht ihre Segmente. Beide verschieben sich bei jeder Änderung an der</w:t>
      </w:r>
      <w:r>
        <w:rPr>
          <w:lang w:val="de"/>
        </w:rPr>
        <w:t xml:space="preserve"> </w:t>
      </w:r>
      <w:r>
        <w:rPr>
          <w:lang w:val="de"/>
        </w:rPr>
        <w:t xml:space="preserve">Nachricht mit — ein ergänztes Segment ohne angepassten Zähler ist ein</w:t>
      </w:r>
      <w:r>
        <w:rPr>
          <w:lang w:val="de"/>
        </w:rPr>
        <w:t xml:space="preserve"> </w:t>
      </w:r>
      <w:r>
        <w:rPr>
          <w:lang w:val="de"/>
        </w:rPr>
        <w:t xml:space="preserve">Syntaxfehler, und zwar einer, der die ganze Lieferung betrifft, nicht nur die</w:t>
      </w:r>
      <w:r>
        <w:rPr>
          <w:lang w:val="de"/>
        </w:rPr>
        <w:t xml:space="preserve"> </w:t>
      </w:r>
      <w:r>
        <w:rPr>
          <w:lang w:val="de"/>
        </w:rPr>
        <w:t xml:space="preserve">eine Zeile.</w:t>
      </w:r>
    </w:p>
    <w:bookmarkEnd w:id="16"/>
    <w:bookmarkEnd w:id="17"/>
    <w:bookmarkStart w:id="19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Der Nachrichtenaufbau liegt als Daten vor, nicht als Code je Segment.</w:t>
      </w:r>
      <w:r>
        <w:rPr>
          <w:lang w:val="de"/>
        </w:rPr>
        <w:t xml:space="preserve"> </w:t>
      </w:r>
      <w:r>
        <w:rPr>
          <w:lang w:val="de"/>
        </w:rPr>
        <w:t xml:space="preserve">Dreizehn JSON-Dateien, eine je Segmenttyp, gelesen über einen gemeinsamen</w:t>
      </w:r>
      <w:r>
        <w:rPr>
          <w:lang w:val="de"/>
        </w:rPr>
        <w:t xml:space="preserve"> </w:t>
      </w:r>
      <w:r>
        <w:rPr>
          <w:lang w:val="de"/>
        </w:rPr>
        <w:t xml:space="preserve">Parser in zwei Klassen: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SegmentDefinition</w:t>
      </w:r>
      <w:r>
        <w:rPr>
          <w:lang w:val="de"/>
        </w:rPr>
        <w:t xml:space="preserve"> </w:t>
      </w:r>
      <w:r>
        <w:rPr>
          <w:lang w:val="de"/>
        </w:rPr>
        <w:t xml:space="preserve">für ein Segment,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FieldDefinition</w:t>
      </w:r>
      <w:r>
        <w:rPr>
          <w:lang w:val="de"/>
        </w:rPr>
        <w:t xml:space="preserve"> </w:t>
      </w:r>
      <w:r>
        <w:rPr>
          <w:lang w:val="de"/>
        </w:rPr>
        <w:t xml:space="preserve">für ein Feld. Komposita liegen in derselben flachen, geordneten Struktur wie</w:t>
      </w:r>
      <w:r>
        <w:rPr>
          <w:lang w:val="de"/>
        </w:rPr>
        <w:t xml:space="preserve"> </w:t>
      </w:r>
      <w:r>
        <w:rPr>
          <w:lang w:val="de"/>
        </w:rPr>
        <w:t xml:space="preserve">einfache Felder. Die Typisierung im Code bleibt grob; die feine Form bleibt</w:t>
      </w:r>
      <w:r>
        <w:rPr>
          <w:lang w:val="de"/>
        </w:rPr>
        <w:t xml:space="preserve"> </w:t>
      </w:r>
      <w:r>
        <w:rPr>
          <w:lang w:val="de"/>
        </w:rPr>
        <w:t xml:space="preserve">Beschreibung.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Segmentaufbau als JSON, nicht als Java-Klasse je Segment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Ergänzung ist eine Datei, kein neuer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Quelle für Erzeugung, Prüfung und Oberflächentext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Verhindert widersprüchliche Abschriften derselben Regel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Komposita ohne eigenen Baum, über einen kombinierten Positionsschlüssel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Ordnung reicht, wenn nur die Reihenfolge zählt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Feldübergreifende Regeln bleiben Text, nicht Struktur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Verhalten gehört in Code, nicht in eine zweite Sprache aus JSON</w:t>
            </w:r>
          </w:p>
        </w:tc>
      </w:tr>
    </w:tbl>
    <w:bookmarkStart w:id="18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Eine Java-Klasse je Segment wäre im eigenen Code bequemer zu lesen gewesen —</w:t>
      </w:r>
      <w:r>
        <w:rPr>
          <w:lang w:val="de"/>
        </w:rPr>
        <w:t xml:space="preserve"> </w:t>
      </w:r>
      <w:r>
        <w:rPr>
          <w:lang w:val="de"/>
        </w:rPr>
        <w:t xml:space="preserve">kein Nachschlagen in einer Map, sondern ein benanntes Feld. Dagegen spricht,</w:t>
      </w:r>
      <w:r>
        <w:rPr>
          <w:lang w:val="de"/>
        </w:rPr>
        <w:t xml:space="preserve"> </w:t>
      </w:r>
      <w:r>
        <w:rPr>
          <w:lang w:val="de"/>
        </w:rPr>
        <w:t xml:space="preserve">dass die Form nicht von diesem Projekt stammt, sondern von einer Anlage, die</w:t>
      </w:r>
      <w:r>
        <w:rPr>
          <w:lang w:val="de"/>
        </w:rPr>
        <w:t xml:space="preserve"> </w:t>
      </w:r>
      <w:r>
        <w:rPr>
          <w:lang w:val="de"/>
        </w:rPr>
        <w:t xml:space="preserve">sich je Leistungsbereich und Fassung unterscheidet. Jede Klasse hätte bei jeder</w:t>
      </w:r>
      <w:r>
        <w:rPr>
          <w:lang w:val="de"/>
        </w:rPr>
        <w:t xml:space="preserve"> </w:t>
      </w:r>
      <w:r>
        <w:rPr>
          <w:lang w:val="de"/>
        </w:rPr>
        <w:t xml:space="preserve">Ergänzung eine neue Übersetzung verlangt — genau das Risiko, das die</w:t>
      </w:r>
      <w:r>
        <w:rPr>
          <w:lang w:val="de"/>
        </w:rPr>
        <w:t xml:space="preserve"> </w:t>
      </w:r>
      <w:r>
        <w:rPr>
          <w:lang w:val="de"/>
        </w:rPr>
        <w:t xml:space="preserve">Leistungsbereich-Tabelle im Kleinen schon zeigt.</w:t>
      </w:r>
    </w:p>
    <w:bookmarkEnd w:id="18"/>
    <w:bookmarkEnd w:id="19"/>
    <w:bookmarkStart w:id="23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Der Aufbau einer Lieferung liegt jetzt doppelt vor: maschinenlesbar in den</w:t>
      </w:r>
      <w:r>
        <w:rPr>
          <w:lang w:val="de"/>
        </w:rPr>
        <w:t xml:space="preserve"> </w:t>
      </w:r>
      <w:r>
        <w:rPr>
          <w:lang w:val="de"/>
        </w:rPr>
        <w:t xml:space="preserve">JSON-Beschreibungen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resources/segments/</w:t>
      </w:r>
      <w:r>
        <w:rPr>
          <w:lang w:val="de"/>
        </w:rPr>
        <w:t xml:space="preserve">, und als Bild im</w:t>
      </w:r>
      <w:r>
        <w:rPr>
          <w:lang w:val="de"/>
        </w:rPr>
        <w:t xml:space="preserve"> </w:t>
      </w:r>
      <w:r>
        <w:rPr>
          <w:lang w:val="de"/>
        </w:rPr>
        <w:t xml:space="preserve">Aufbaudiagramm.</w:t>
      </w:r>
    </w:p>
    <w:p>
      <w:pPr>
        <w:pStyle w:val="CaptionedFigure"/>
      </w:pPr>
      <w:r>
        <w:drawing>
          <wp:inline>
            <wp:extent cx="5334000" cy="5531675"/>
            <wp:effectExtent b="0" l="0" r="0" t="0"/>
            <wp:docPr descr="Aufbau einer Lieferung" title="" id="21" name="Picture"/>
            <a:graphic>
              <a:graphicData uri="http://schemas.openxmlformats.org/drawingml/2006/picture">
                <pic:pic>
                  <pic:nvPicPr>
                    <pic:cNvPr descr="../GKVTransmitter_Nachrichtenaufba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Aufbau einer Lieferung</w:t>
      </w:r>
    </w:p>
    <w:p>
      <w:pPr>
        <w:pStyle w:val="BodyText"/>
      </w:pPr>
      <w:r>
        <w:rPr>
          <w:lang w:val="de"/>
        </w:rPr>
        <w:t xml:space="preserve">Eine Übertragung beginnt mit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</w:t>
      </w:r>
      <w:r>
        <w:rPr>
          <w:lang w:val="de"/>
        </w:rPr>
        <w:t xml:space="preserve"> </w:t>
      </w:r>
      <w:r>
        <w:rPr>
          <w:lang w:val="de"/>
        </w:rPr>
        <w:t xml:space="preserve">und endet mit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UNZ</w:t>
      </w:r>
      <w:r>
        <w:rPr>
          <w:lang w:val="de"/>
        </w:rPr>
        <w:t xml:space="preserve">, dazwischen zwei</w:t>
      </w:r>
      <w:r>
        <w:rPr>
          <w:lang w:val="de"/>
        </w:rPr>
        <w:t xml:space="preserve"> </w:t>
      </w:r>
      <w:r>
        <w:rPr>
          <w:lang w:val="de"/>
        </w:rPr>
        <w:t xml:space="preserve">Nachrichten mit eigenem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UNH</w:t>
      </w:r>
      <w:r>
        <w:rPr>
          <w:lang w:val="de"/>
        </w:rPr>
        <w:t xml:space="preserve">/</w:t>
      </w:r>
      <w:r>
        <w:rPr>
          <w:rStyle w:val="VerbatimChar"/>
          <w:lang w:val="de"/>
        </w:rPr>
        <w:t xml:space="preserve">UNT</w:t>
      </w:r>
      <w:r>
        <w:rPr>
          <w:lang w:val="de"/>
        </w:rPr>
        <w:t xml:space="preserve">-Paar: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SLGA</w:t>
      </w:r>
      <w:r>
        <w:rPr>
          <w:lang w:val="de"/>
        </w:rPr>
        <w:t xml:space="preserve"> </w:t>
      </w:r>
      <w:r>
        <w:rPr>
          <w:lang w:val="de"/>
        </w:rPr>
        <w:t xml:space="preserve">trägt die Summen- und</w:t>
      </w:r>
      <w:r>
        <w:rPr>
          <w:lang w:val="de"/>
        </w:rPr>
        <w:t xml:space="preserve"> </w:t>
      </w:r>
      <w:r>
        <w:rPr>
          <w:lang w:val="de"/>
        </w:rPr>
        <w:t xml:space="preserve">Begleitdaten,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SLLA</w:t>
      </w:r>
      <w:r>
        <w:rPr>
          <w:lang w:val="de"/>
        </w:rPr>
        <w:t xml:space="preserve"> </w:t>
      </w:r>
      <w:r>
        <w:rPr>
          <w:lang w:val="de"/>
        </w:rPr>
        <w:t xml:space="preserve">die Fall- und Leistungsdaten. Beide tragen dieselben</w:t>
      </w:r>
      <w:r>
        <w:rPr>
          <w:lang w:val="de"/>
        </w:rPr>
        <w:t xml:space="preserve"> </w:t>
      </w:r>
      <w:r>
        <w:rPr>
          <w:lang w:val="de"/>
        </w:rPr>
        <w:t xml:space="preserve">vier Kennzeichen aus dem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FKT</w:t>
      </w:r>
      <w:r>
        <w:rPr>
          <w:lang w:val="de"/>
        </w:rPr>
        <w:t xml:space="preserve"> </w:t>
      </w:r>
      <w:r>
        <w:rPr>
          <w:lang w:val="de"/>
        </w:rPr>
        <w:t xml:space="preserve">— Erbringer, Kostenträger, Kasse,</w:t>
      </w:r>
      <w:r>
        <w:rPr>
          <w:lang w:val="de"/>
        </w:rPr>
        <w:t xml:space="preserve"> </w:t>
      </w:r>
      <w:r>
        <w:rPr>
          <w:lang w:val="de"/>
        </w:rPr>
        <w:t xml:space="preserve">Rechnungssteller — und müssen sich darin mit der jeweils anderen Nachricht</w:t>
      </w:r>
      <w:r>
        <w:rPr>
          <w:lang w:val="de"/>
        </w:rPr>
        <w:t xml:space="preserve"> </w:t>
      </w:r>
      <w:r>
        <w:rPr>
          <w:lang w:val="de"/>
        </w:rPr>
        <w:t xml:space="preserve">decken.</w:t>
      </w:r>
    </w:p>
    <w:bookmarkEnd w:id="23"/>
    <w:bookmarkStart w:id="24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Wovon das Tarifkennzeichen im</w:t>
      </w:r>
      <w:r>
        <w:rPr>
          <w:b/>
          <w:bCs/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ENF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abhängt</w:t>
      </w:r>
      <w:r>
        <w:rPr>
          <w:lang w:val="de"/>
        </w:rPr>
        <w:t xml:space="preserve"> </w:t>
      </w:r>
      <w:r>
        <w:rPr>
          <w:lang w:val="de"/>
        </w:rPr>
        <w:t xml:space="preserve">— vom Dienstleister, von der</w:t>
      </w:r>
      <w:r>
        <w:rPr>
          <w:lang w:val="de"/>
        </w:rPr>
        <w:t xml:space="preserve"> </w:t>
      </w:r>
      <w:r>
        <w:rPr>
          <w:lang w:val="de"/>
        </w:rPr>
        <w:t xml:space="preserve">Kasse, oder ist es wirklich fest. Die Antwort entscheidet, ob es in die</w:t>
      </w:r>
      <w:r>
        <w:rPr>
          <w:lang w:val="de"/>
        </w:rPr>
        <w:t xml:space="preserve"> </w:t>
      </w:r>
      <w:r>
        <w:rPr>
          <w:lang w:val="de"/>
        </w:rPr>
        <w:t xml:space="preserve">Segmentbeschreibung, an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ServiceProvider</w:t>
      </w:r>
      <w:r>
        <w:rPr>
          <w:lang w:val="de"/>
        </w:rPr>
        <w:t xml:space="preserve"> </w:t>
      </w:r>
      <w:r>
        <w:rPr>
          <w:lang w:val="de"/>
        </w:rPr>
        <w:t xml:space="preserve">oder in eine eigene Zuordnung</w:t>
      </w:r>
      <w:r>
        <w:rPr>
          <w:lang w:val="de"/>
        </w:rPr>
        <w:t xml:space="preserve"> </w:t>
      </w:r>
      <w:r>
        <w:rPr>
          <w:lang w:val="de"/>
        </w:rPr>
        <w:t xml:space="preserve">gehört. Für einen einzigen Dienstleister mit einem Vertrag liefert die</w:t>
      </w:r>
      <w:r>
        <w:rPr>
          <w:lang w:val="de"/>
        </w:rPr>
        <w:t xml:space="preserve"> </w:t>
      </w:r>
      <w:r>
        <w:rPr>
          <w:lang w:val="de"/>
        </w:rPr>
        <w:t xml:space="preserve">heutige Lösung richtige Ergebnisse; mehr wurde noch nicht gebraucht.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Die feldübergreifenden Pflichtkonventionen</w:t>
      </w:r>
      <w:r>
        <w:rPr>
          <w:lang w:val="de"/>
        </w:rPr>
        <w:t xml:space="preserve"> </w:t>
      </w:r>
      <w:r>
        <w:rPr>
          <w:lang w:val="de"/>
        </w:rPr>
        <w:t xml:space="preserve">— INV-oder-NAD, keine</w:t>
      </w:r>
      <w:r>
        <w:rPr>
          <w:lang w:val="de"/>
        </w:rPr>
        <w:t xml:space="preserve"> </w:t>
      </w:r>
      <w:r>
        <w:rPr>
          <w:lang w:val="de"/>
        </w:rPr>
        <w:t xml:space="preserve">Feldverschiebung — stehen nur als Text in der Beschreibung, nicht als</w:t>
      </w:r>
      <w:r>
        <w:rPr>
          <w:lang w:val="de"/>
        </w:rPr>
        <w:t xml:space="preserve"> </w:t>
      </w:r>
      <w:r>
        <w:rPr>
          <w:lang w:val="de"/>
        </w:rPr>
        <w:t xml:space="preserve">geprüfte Regel. Das wird erst in Teil 14 geschlossen.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11 — Nachrichtenformat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