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GKVTransmitter</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Der GKVTransmitter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GKVTransmitter.exe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%LOCALAPPDATA%\GKVTransmitter</w:t>
            </w:r>
          </w:p>
        </w:tc>
      </w:tr>
      <w:tr>
        <w:tc>
          <w:tcPr/>
          <w:p>
            <w:pPr>
              <w:pStyle w:val="Compact"/>
            </w:pPr>
            <w:r>
              <w:rPr>
                <w:lang w:val="de-DE"/>
              </w:rPr>
              <w:t xml:space="preserve">macOS</w:t>
            </w:r>
          </w:p>
        </w:tc>
        <w:tc>
          <w:tcPr/>
          <w:p>
            <w:pPr>
              <w:pStyle w:val="Compact"/>
            </w:pPr>
            <w:r>
              <w:rPr>
                <w:rStyle w:val="VerbatimChar"/>
                <w:lang w:val="de-DE"/>
              </w:rPr>
              <w:t xml:space="preserve">~/Library/Application Support/GKVTransmitter</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GKVTransmitter.exe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883805"/>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883805"/>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29"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bookmarkEnd w:id="26"/>
    <w:bookmarkStart w:id="27"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7"/>
    <w:bookmarkStart w:id="28"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8"/>
    <w:bookmarkEnd w:id="29"/>
    <w:bookmarkStart w:id="44" w:name="aufbau-des-programms"/>
    <w:p>
      <w:pPr>
        <w:pStyle w:val="Heading1"/>
      </w:pPr>
      <w:r>
        <w:rPr>
          <w:lang w:val="de-DE"/>
        </w:rPr>
        <w:t xml:space="preserve">Aufbau des Programms</w:t>
      </w:r>
    </w:p>
    <w:bookmarkStart w:id="30"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0"/>
    <w:bookmarkStart w:id="34"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2" name="Picture"/>
            <a:graphic>
              <a:graphicData uri="http://schemas.openxmlformats.org/drawingml/2006/picture">
                <pic:pic>
                  <pic:nvPicPr>
                    <pic:cNvPr descr="GKVTransmitter_Domaene.png" id="33" name="Picture"/>
                    <pic:cNvPicPr>
                      <a:picLocks noChangeArrowheads="1" noChangeAspect="1"/>
                    </pic:cNvPicPr>
                  </pic:nvPicPr>
                  <pic:blipFill>
                    <a:blip r:embed="rId31"/>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34"/>
    <w:bookmarkStart w:id="38"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36" name="Picture"/>
            <a:graphic>
              <a:graphicData uri="http://schemas.openxmlformats.org/drawingml/2006/picture">
                <pic:pic>
                  <pic:nvPicPr>
                    <pic:cNvPr descr="GKVTransmitter_DTA_und_Versand.png" id="37" name="Picture"/>
                    <pic:cNvPicPr>
                      <a:picLocks noChangeArrowheads="1" noChangeAspect="1"/>
                    </pic:cNvPicPr>
                  </pic:nvPicPr>
                  <pic:blipFill>
                    <a:blip r:embed="rId35"/>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38"/>
    <w:bookmarkStart w:id="42" w:name="oberfläche-und-datenhaltung"/>
    <w:p>
      <w:pPr>
        <w:pStyle w:val="Heading2"/>
      </w:pPr>
      <w:r>
        <w:rPr>
          <w:lang w:val="de-DE"/>
        </w:rPr>
        <w:t xml:space="preserve">Oberfläche und Datenhaltung</w:t>
      </w:r>
    </w:p>
    <w:p>
      <w:pPr>
        <w:pStyle w:val="CaptionedFigure"/>
      </w:pPr>
      <w:r>
        <w:drawing>
          <wp:inline>
            <wp:extent cx="5334000" cy="3381308"/>
            <wp:effectExtent b="0" l="0" r="0" t="0"/>
            <wp:docPr descr="Oberfläche und Datenzugriff" title="" id="40" name="Picture"/>
            <a:graphic>
              <a:graphicData uri="http://schemas.openxmlformats.org/drawingml/2006/picture">
                <pic:pic>
                  <pic:nvPicPr>
                    <pic:cNvPr descr="GKVTransmitter_Praesentation_und_Persistenz.png" id="41" name="Picture"/>
                    <pic:cNvPicPr>
                      <a:picLocks noChangeArrowheads="1" noChangeAspect="1"/>
                    </pic:cNvPicPr>
                  </pic:nvPicPr>
                  <pic:blipFill>
                    <a:blip r:embed="rId39"/>
                    <a:stretch>
                      <a:fillRect/>
                    </a:stretch>
                  </pic:blipFill>
                  <pic:spPr bwMode="auto">
                    <a:xfrm>
                      <a:off x="0" y="0"/>
                      <a:ext cx="5334000" cy="338130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2"/>
    <w:bookmarkStart w:id="43" w:name="erweiterungspunkte"/>
    <w:p>
      <w:pPr>
        <w:pStyle w:val="Heading2"/>
      </w:pPr>
      <w:r>
        <w:rPr>
          <w:lang w:val="de-DE"/>
        </w:rPr>
        <w:t xml:space="preserve">Erweiterungspunkte</w:t>
      </w:r>
    </w:p>
    <w:p>
      <w:pPr>
        <w:pStyle w:val="FirstParagraph"/>
      </w:pPr>
      <w:r>
        <w:rPr>
          <w:lang w:val="de-DE"/>
        </w:rPr>
        <w:t xml:space="preserve">An drei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sechs mitgelieferte Regeln</w:t>
            </w:r>
          </w:p>
        </w:tc>
        <w:tc>
          <w:tcPr/>
          <w:p>
            <w:pPr>
              <w:pStyle w:val="Compact"/>
            </w:pPr>
            <w:r>
              <w:rPr>
                <w:lang w:val="de-DE"/>
              </w:rPr>
              <w:t xml:space="preserve">weitere fachliche Prüfungen</w:t>
            </w:r>
          </w:p>
        </w:tc>
      </w:tr>
    </w:tbl>
    <w:bookmarkEnd w:id="43"/>
    <w:bookmarkEnd w:id="44"/>
    <w:bookmarkStart w:id="45" w:name="konfiguration"/>
    <w:p>
      <w:pPr>
        <w:pStyle w:val="Heading1"/>
      </w:pPr>
      <w:r>
        <w:rPr>
          <w:lang w:val="de-DE"/>
        </w:rPr>
        <w:t xml:space="preserve">Konfiguration</w:t>
      </w:r>
    </w:p>
    <w:p>
      <w:pPr>
        <w:pStyle w:val="FirstParagraph"/>
      </w:pPr>
      <w:r>
        <w:rPr>
          <w:lang w:val="de-DE"/>
        </w:rPr>
        <w:t xml:space="preserve">Alle Einstellungen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45"/>
    <w:bookmarkStart w:id="50" w:name="entwicklung"/>
    <w:p>
      <w:pPr>
        <w:pStyle w:val="Heading1"/>
      </w:pPr>
      <w:r>
        <w:rPr>
          <w:lang w:val="de-DE"/>
        </w:rPr>
        <w:t xml:space="preserve">Entwicklung</w:t>
      </w:r>
    </w:p>
    <w:bookmarkStart w:id="46"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46"/>
    <w:bookmarkStart w:id="47"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gkv-ui/target/paket/GKVTransmitter/</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47"/>
    <w:bookmarkStart w:id="48"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48"/>
    <w:bookmarkStart w:id="49"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49"/>
    <w:bookmarkEnd w:id="50"/>
    <w:bookmarkStart w:id="55" w:name="fachliche-grundlagen"/>
    <w:p>
      <w:pPr>
        <w:pStyle w:val="Heading1"/>
      </w:pPr>
      <w:r>
        <w:rPr>
          <w:lang w:val="de-DE"/>
        </w:rPr>
        <w:t xml:space="preserve">Fachliche Grundlagen</w:t>
      </w:r>
    </w:p>
    <w:bookmarkStart w:id="51"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51"/>
    <w:bookmarkStart w:id="52" w:name="formate"/>
    <w:p>
      <w:pPr>
        <w:pStyle w:val="Heading2"/>
      </w:pPr>
      <w:r>
        <w:rPr>
          <w:lang w:val="de-DE"/>
        </w:rPr>
        <w:t xml:space="preserve">Formate</w:t>
      </w:r>
    </w:p>
    <w:p>
      <w:pPr>
        <w:pStyle w:val="Compact"/>
        <w:numPr>
          <w:ilvl w:val="0"/>
          <w:numId w:val="1004"/>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4"/>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4"/>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52"/>
    <w:bookmarkStart w:id="53"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53"/>
    <w:bookmarkStart w:id="54"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5"/>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5"/>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5"/>
        </w:numPr>
      </w:pPr>
      <w:r>
        <w:rPr>
          <w:rStyle w:val="VerbatimChar"/>
          <w:lang w:val="de-DE"/>
        </w:rPr>
        <w:t xml:space="preserve">Abrechnung_Datenerklaerung_test.md</w:t>
      </w:r>
      <w:r>
        <w:rPr>
          <w:lang w:val="de-DE"/>
        </w:rPr>
        <w:t xml:space="preserve"> </w:t>
      </w:r>
      <w:r>
        <w:rPr>
          <w:lang w:val="de-DE"/>
        </w:rPr>
        <w:t xml:space="preserve">— Felderklärung anhand einer Beispieldatei</w:t>
      </w:r>
    </w:p>
    <w:p>
      <w:pPr>
        <w:pStyle w:val="Compact"/>
        <w:numPr>
          <w:ilvl w:val="0"/>
          <w:numId w:val="1005"/>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5"/>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54"/>
    <w:bookmarkEnd w:id="55"/>
    <w:bookmarkStart w:id="56"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6"/>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w:t>
      </w:r>
    </w:p>
    <w:p>
      <w:pPr>
        <w:pStyle w:val="Compact"/>
        <w:numPr>
          <w:ilvl w:val="0"/>
          <w:numId w:val="1006"/>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6"/>
        </w:numPr>
      </w:pPr>
      <w:r>
        <w:rPr>
          <w:lang w:val="de-DE"/>
        </w:rPr>
        <w:t xml:space="preserve">Es gibt keine Stornierung und keine Nachberechnung.</w:t>
      </w:r>
    </w:p>
    <w:p>
      <w:pPr>
        <w:pStyle w:val="Compact"/>
        <w:numPr>
          <w:ilvl w:val="0"/>
          <w:numId w:val="1006"/>
        </w:numPr>
      </w:pPr>
      <w:r>
        <w:rPr>
          <w:lang w:val="de-DE"/>
        </w:rPr>
        <w:t xml:space="preserve">Der Umsatzsteuersatz ist mit 19 fest hinterlegt.</w:t>
      </w:r>
    </w:p>
    <w:p>
      <w:pPr>
        <w:pStyle w:val="Compact"/>
        <w:numPr>
          <w:ilvl w:val="0"/>
          <w:numId w:val="1006"/>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6"/>
        </w:numPr>
      </w:pPr>
      <w:r>
        <w:rPr>
          <w:lang w:val="de-DE"/>
        </w:rPr>
        <w:t xml:space="preserve">Die Anwendung ist auf einen Benutzer und einen Rechner ausgelegt. Ein gemeinsamer Zugriff mehrerer Arbeitsplätze auf dieselbe Datenbank ist nicht vorgesehen.</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GKVTransmitter</dc:title>
  <dc:creator/>
  <dc:language>de-DE</dc:language>
  <cp:keywords/>
  <dcterms:created xsi:type="dcterms:W3CDTF">2026-09-04T14:20:39Z</dcterms:created>
  <dcterms:modified xsi:type="dcterms:W3CDTF">2026-09-04T14:20:39Z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ies>
</file>