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Umsetzungsplan</w:t>
      </w:r>
    </w:p>
    <w:p>
      <w:pPr>
        <w:pStyle w:val="Subtitle"/>
      </w:pPr>
      <w:r>
        <w:rPr>
          <w:lang w:val="de"/>
        </w:rPr>
        <w:t xml:space="preserve">Weg in den Echtbetrieb, Wartung, Fehlerbehebung und die Vorbereitung auf spezifikationsgetriebenes Arbeiten</w:t>
      </w:r>
    </w:p>
    <w:p>
      <w:pPr>
        <w:pStyle w:val="Date"/>
      </w:pPr>
      <w:r>
        <w:rPr>
          <w:lang w:val="de"/>
        </w:rPr>
        <w:t xml:space="preserve">7.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r-plan"/>
    <w:p>
      <w:pPr>
        <w:pStyle w:val="Heading1"/>
      </w:pPr>
      <w:r>
        <w:rPr>
          <w:lang w:val="de"/>
        </w:rPr>
        <w:t xml:space="preserve">Wozu dieser Plan</w:t>
      </w:r>
    </w:p>
    <w:p>
      <w:pPr>
        <w:pStyle w:val="FirstParagraph"/>
      </w:pPr>
      <w:r>
        <w:rPr>
          <w:lang w:val="de"/>
        </w:rPr>
        <w:t xml:space="preserve">Das Programm erzeugt und prüft heute vollständige DTA-Lieferungen. Was fehlt, ist alles, was danach kommt: der Weg zur Kasse, der Umgang mit dem, was zurückkommt, und die Pflege, die ein Verfahren verlangt, das sich jedes Jahr bewegt.</w:t>
      </w:r>
    </w:p>
    <w:p>
      <w:pPr>
        <w:pStyle w:val="BodyText"/>
      </w:pPr>
      <w:r>
        <w:rPr>
          <w:lang w:val="de"/>
        </w:rPr>
        <w:t xml:space="preserve">Dieser Plan beantwortet vier Fragen: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Was ist in welcher Reihenfolge zu bauen</w:t>
      </w:r>
      <w:r>
        <w:rPr>
          <w:lang w:val="de"/>
        </w:rPr>
        <w:t xml:space="preserve"> </w:t>
      </w:r>
      <w:r>
        <w:rPr>
          <w:lang w:val="de"/>
        </w:rPr>
        <w:t xml:space="preserve">— und was hängt woran?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Was ist danach dauerhaft zu tun</w:t>
      </w:r>
      <w:r>
        <w:rPr>
          <w:lang w:val="de"/>
        </w:rPr>
        <w:t xml:space="preserve">, damit es nicht unbemerkt veraltet?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Was geschieht, wenn eine Nachricht beanstandet wird</w:t>
      </w:r>
      <w:r>
        <w:rPr>
          <w:lang w:val="de"/>
        </w:rPr>
        <w:t xml:space="preserve"> </w:t>
      </w:r>
      <w:r>
        <w:rPr>
          <w:lang w:val="de"/>
        </w:rPr>
        <w:t xml:space="preserve">— und wie erfährt die Anwenderin, was genau falsch ist?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wird gearbeitet</w:t>
      </w:r>
      <w:r>
        <w:rPr>
          <w:lang w:val="de"/>
        </w:rPr>
        <w:t xml:space="preserve">, damit ein Mensch und ein Agent an denselben Vorgaben arbeiten können?</w:t>
      </w:r>
    </w:p>
    <w:p>
      <w:pPr>
        <w:pStyle w:val="BlockText"/>
      </w:pPr>
      <w:r>
        <w:rPr>
          <w:b/>
          <w:bCs/>
          <w:lang w:val="de"/>
        </w:rPr>
        <w:t xml:space="preserve">Ein Grundsatz zieht sich durch alles Folgende.</w:t>
      </w:r>
      <w:r>
        <w:rPr>
          <w:lang w:val="de"/>
        </w:rPr>
        <w:t xml:space="preserve"> </w:t>
      </w:r>
      <w:r>
        <w:rPr>
          <w:lang w:val="de"/>
        </w:rPr>
        <w:t xml:space="preserve">Jede Angabe in einer Nachricht muss auf eine Fundstelle zeigen — Anlage, Abschnitt. Wo das versäumt wurde, sind Werte erfunden worden: der Leistungsbereich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</w:t>
      </w:r>
      <w:r>
        <w:rPr>
          <w:lang w:val="de"/>
        </w:rPr>
        <w:t xml:space="preserve">, der logische Dateiname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HEB260907…</w:t>
      </w:r>
      <w:r>
        <w:rPr>
          <w:lang w:val="de"/>
        </w:rPr>
        <w:t xml:space="preserve">, eine neunstellige Positionsnummer. Alle drei sahen plausibel aus, alle drei waren falsch, keiner ist aufgefallen.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keine Fundstelle hat, ist eine Vermutung.</w:t>
      </w:r>
    </w:p>
    <w:bookmarkEnd w:id="9"/>
    <w:bookmarkStart w:id="34" w:name="teil-1-der-weg-in-den-echtbetrieb"/>
    <w:p>
      <w:pPr>
        <w:pStyle w:val="Heading1"/>
      </w:pPr>
      <w:r>
        <w:rPr>
          <w:lang w:val="de"/>
        </w:rPr>
        <w:t xml:space="preserve">Teil 1 — Der Weg in den Echtbetrieb</w:t>
      </w:r>
    </w:p>
    <w:bookmarkStart w:id="10" w:name="die-gliederung-folgt-den-abhängigkeiten"/>
    <w:p>
      <w:pPr>
        <w:pStyle w:val="Heading2"/>
      </w:pPr>
      <w:r>
        <w:rPr>
          <w:lang w:val="de"/>
        </w:rPr>
        <w:t xml:space="preserve">Die Gliederung folgt den Abhängigkeiten</w:t>
      </w:r>
    </w:p>
    <w:p>
      <w:pPr>
        <w:pStyle w:val="FirstParagraph"/>
      </w:pPr>
      <w:r>
        <w:rPr>
          <w:lang w:val="de"/>
        </w:rPr>
        <w:t xml:space="preserve">Nicht dem Wunsch und nicht dem Aufwand. Entscheidend ist, was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von außen</w:t>
      </w:r>
      <w:r>
        <w:rPr>
          <w:lang w:val="de"/>
        </w:rPr>
        <w:t xml:space="preserve"> </w:t>
      </w:r>
      <w:r>
        <w:rPr>
          <w:lang w:val="de"/>
        </w:rPr>
        <w:t xml:space="preserve">gebraucht wird:</w:t>
      </w:r>
    </w:p>
    <w:p>
      <w:pPr>
        <w:pStyle w:val="SourceCode"/>
      </w:pPr>
      <w:r>
        <w:rPr>
          <w:rStyle w:val="VerbatimChar"/>
          <w:lang w:val="de"/>
        </w:rPr>
        <w:t xml:space="preserve">Phase 1   braucht nichts und niemanden          ← sofort machbar</w:t>
      </w:r>
      <w:r>
        <w:br/>
      </w:r>
      <w:r>
        <w:rPr>
          <w:rStyle w:val="VerbatimChar"/>
          <w:lang w:val="de"/>
        </w:rPr>
        <w:t xml:space="preserve">Phase 2   braucht IK, Zertifikat, Anmeldung     ← Beschaffung nötig</w:t>
      </w:r>
      <w:r>
        <w:br/>
      </w:r>
      <w:r>
        <w:rPr>
          <w:rStyle w:val="VerbatimChar"/>
          <w:lang w:val="de"/>
        </w:rPr>
        <w:t xml:space="preserve">Phase 3   braucht eine Datenannahmestelle       ← Abstimmung nötig</w:t>
      </w:r>
      <w:r>
        <w:br/>
      </w:r>
      <w:r>
        <w:rPr>
          <w:rStyle w:val="VerbatimChar"/>
          <w:lang w:val="de"/>
        </w:rPr>
        <w:t xml:space="preserve">Phase 4   braucht deren Freigabe                ← Wartezeit</w:t>
      </w:r>
      <w:r>
        <w:br/>
      </w:r>
      <w:r>
        <w:rPr>
          <w:rStyle w:val="VerbatimChar"/>
          <w:lang w:val="de"/>
        </w:rPr>
        <w:t xml:space="preserve">Phase 5   Echtbetrieb</w:t>
      </w:r>
    </w:p>
    <w:p>
      <w:pPr>
        <w:pStyle w:val="FirstParagraph"/>
      </w:pPr>
      <w:r>
        <w:rPr>
          <w:b/>
          <w:bCs/>
          <w:lang w:val="de"/>
        </w:rPr>
        <w:t xml:space="preserve">Phase 1 lohnt sich unabhängig von der Grundsatzentscheidung.</w:t>
      </w:r>
      <w:r>
        <w:rPr>
          <w:lang w:val="de"/>
        </w:rPr>
        <w:t xml:space="preserve"> </w:t>
      </w:r>
      <w:r>
        <w:rPr>
          <w:lang w:val="de"/>
        </w:rPr>
        <w:t xml:space="preserve">Ob am Ende selbst übertragen oder über eine Abrechnungsstelle abgerechnet wird — die Datei muss in beiden Fällen richtig sein, und die Rückmeldungen müssen in beiden Fällen ankommen. Die Entscheidung fällt erst am Übergang zu Phase 2.</w:t>
      </w:r>
    </w:p>
    <w:p>
      <w:pPr>
        <w:pStyle w:val="BodyText"/>
      </w:pPr>
      <w:r>
        <w:rPr>
          <w:lang w:val="de"/>
        </w:rPr>
        <w:t xml:space="preserve">In den Tabellen bedeutet die Spalte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Weg</w:t>
      </w:r>
      <w:r>
        <w:rPr>
          <w:lang w:val="de"/>
        </w:rPr>
        <w:t xml:space="preserve">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</w:t>
      </w:r>
      <w:r>
        <w:rPr>
          <w:lang w:val="de"/>
        </w:rPr>
        <w:t xml:space="preserve"> </w:t>
      </w:r>
      <w:r>
        <w:rPr>
          <w:lang w:val="de"/>
        </w:rPr>
        <w:t xml:space="preserve">= selbst übertragen,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</w:t>
      </w:r>
      <w:r>
        <w:rPr>
          <w:lang w:val="de"/>
        </w:rPr>
        <w:t xml:space="preserve"> </w:t>
      </w:r>
      <w:r>
        <w:rPr>
          <w:lang w:val="de"/>
        </w:rPr>
        <w:t xml:space="preserve">= über eine Abrechnungsstelle,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C</w:t>
      </w:r>
      <w:r>
        <w:rPr>
          <w:lang w:val="de"/>
        </w:rPr>
        <w:t xml:space="preserve"> </w:t>
      </w:r>
      <w:r>
        <w:rPr>
          <w:lang w:val="de"/>
        </w:rPr>
        <w:t xml:space="preserve">= Datei von Hand weitergeben. Größenordnung: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</w:t>
      </w:r>
      <w:r>
        <w:rPr>
          <w:lang w:val="de"/>
        </w:rPr>
        <w:t xml:space="preserve"> </w:t>
      </w:r>
      <w:r>
        <w:rPr>
          <w:lang w:val="de"/>
        </w:rPr>
        <w:t xml:space="preserve">unter einem Tag,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</w:t>
      </w:r>
      <w:r>
        <w:rPr>
          <w:lang w:val="de"/>
        </w:rPr>
        <w:t xml:space="preserve"> </w:t>
      </w:r>
      <w:r>
        <w:rPr>
          <w:lang w:val="de"/>
        </w:rPr>
        <w:t xml:space="preserve">ein bis drei Tage,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</w:t>
      </w:r>
      <w:r>
        <w:rPr>
          <w:lang w:val="de"/>
        </w:rPr>
        <w:t xml:space="preserve"> </w:t>
      </w:r>
      <w:r>
        <w:rPr>
          <w:lang w:val="de"/>
        </w:rPr>
        <w:t xml:space="preserve">mehr.</w:t>
      </w:r>
    </w:p>
    <w:bookmarkEnd w:id="10"/>
    <w:bookmarkStart w:id="11" w:name="phase-0-was-schon-steht"/>
    <w:p>
      <w:pPr>
        <w:pStyle w:val="Heading2"/>
      </w:pPr>
      <w:r>
        <w:rPr>
          <w:lang w:val="de"/>
        </w:rPr>
        <w:t xml:space="preserve">Phase 0 — Was schon steht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Erfassung, Blaupausen, Gruppen, Abrechnungslauf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DTA-Erzeugung (SLGA + SLLA)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 mit acht Regeln als Tor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Fortlaufende, dauerhafte Datenaustauschreferenz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Leistungsbereich und logischer Dateiname nach Vorgabe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seit 07.09.2026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Übermittlungsart einstellbar (Test / Erprobung / Echt)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seit 07.09.2026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Simulierte Kassengegenstelle zum Durchspielen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</w:tbl>
    <w:bookmarkEnd w:id="11"/>
    <w:bookmarkStart w:id="25" w:name="phase-1-ohne-außenkontakt"/>
    <w:p>
      <w:pPr>
        <w:pStyle w:val="Heading2"/>
      </w:pPr>
      <w:r>
        <w:rPr>
          <w:lang w:val="de"/>
        </w:rPr>
        <w:t xml:space="preserve">Phase 1 — Ohne Außenkontakt</w:t>
      </w:r>
    </w:p>
    <w:bookmarkStart w:id="12" w:name="warnungen-sichtbar-machen"/>
    <w:p>
      <w:pPr>
        <w:pStyle w:val="Heading3"/>
      </w:pPr>
      <w:r>
        <w:rPr>
          <w:lang w:val="de"/>
        </w:rPr>
        <w:t xml:space="preserve">1.1 Warnungen sichtbar machen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A, B,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Das Wichtigste zuerst, weil ohne es der ganze Teil 3 Theorie bleibt.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DtaDispatchService.generateAndRoute</w:t>
      </w:r>
      <w:r>
        <w:rPr>
          <w:lang w:val="de"/>
        </w:rPr>
        <w:t xml:space="preserve"> </w:t>
      </w:r>
      <w:r>
        <w:rPr>
          <w:lang w:val="de"/>
        </w:rPr>
        <w:t xml:space="preserve">sammelt den Prüfbericht und wirft ihn bei fehlerfreiem Lauf weg; die Oberfläche zeigt ihn nur im Ausnahmefall. Warnungen und Hinweise erreichen den Bildschirm nie. Die Dokumentation behauptete jahrelang das Gegenteil.</w:t>
      </w:r>
    </w:p>
    <w:p>
      <w:pPr>
        <w:pStyle w:val="BodyText"/>
      </w:pPr>
      <w:r>
        <w:rPr>
          <w:b/>
          <w:bCs/>
          <w:lang w:val="de"/>
        </w:rPr>
        <w:t xml:space="preserve">Zu bauen: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generateAndRoute</w:t>
      </w:r>
      <w:r>
        <w:rPr>
          <w:lang w:val="de"/>
        </w:rPr>
        <w:t xml:space="preserve"> </w:t>
      </w:r>
      <w:r>
        <w:rPr>
          <w:lang w:val="de"/>
        </w:rPr>
        <w:t xml:space="preserve">liefert statt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List&lt;DispatchBatch&gt;</w:t>
      </w:r>
      <w:r>
        <w:rPr>
          <w:lang w:val="de"/>
        </w:rPr>
        <w:t xml:space="preserve"> </w:t>
      </w:r>
      <w:r>
        <w:rPr>
          <w:lang w:val="de"/>
        </w:rPr>
        <w:t xml:space="preserve">ein Ergebnis mit Lieferungen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und</w:t>
      </w:r>
      <w:r>
        <w:rPr>
          <w:lang w:val="de"/>
        </w:rPr>
        <w:t xml:space="preserve"> </w:t>
      </w:r>
      <w:r>
        <w:rPr>
          <w:lang w:val="de"/>
        </w:rPr>
        <w:t xml:space="preserve">Bericht. Das zieht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AbrechnungService.createAndDispatch</w:t>
      </w:r>
      <w:r>
        <w:rPr>
          <w:lang w:val="de"/>
        </w:rPr>
        <w:t xml:space="preserve">, die Schnittstelle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Abrechnungslauf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AbrechnungsMaske</w:t>
      </w:r>
      <w:r>
        <w:rPr>
          <w:lang w:val="de"/>
        </w:rPr>
        <w:t xml:space="preserve"> </w:t>
      </w:r>
      <w:r>
        <w:rPr>
          <w:lang w:val="de"/>
        </w:rPr>
        <w:t xml:space="preserve">nach sich, dazu rund fünfzehn Teststellen.</w:t>
      </w:r>
    </w:p>
    <w:p>
      <w:pPr>
        <w:pStyle w:val="BodyText"/>
      </w:pPr>
      <w:r>
        <w:rPr>
          <w:b/>
          <w:bCs/>
          <w:lang w:val="de"/>
        </w:rPr>
        <w:t xml:space="preserve">Nicht</w:t>
      </w:r>
      <w:r>
        <w:rPr>
          <w:lang w:val="de"/>
        </w:rPr>
        <w:t xml:space="preserve"> </w:t>
      </w:r>
      <w:r>
        <w:rPr>
          <w:lang w:val="de"/>
        </w:rPr>
        <w:t xml:space="preserve">über eine zweite Prüfung in der Maske lösen: die zöge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referenzen.naechste()</w:t>
      </w:r>
      <w:r>
        <w:rPr>
          <w:lang w:val="de"/>
        </w:rPr>
        <w:t xml:space="preserve"> </w:t>
      </w:r>
      <w:r>
        <w:rPr>
          <w:lang w:val="de"/>
        </w:rPr>
        <w:t xml:space="preserve">ein zweites Mal und verbrennte Datenaustauschreferenzen.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ein Lauf mit einer Warnung erfolgreich durchläuft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und</w:t>
      </w:r>
      <w:r>
        <w:rPr>
          <w:lang w:val="de"/>
        </w:rPr>
        <w:t xml:space="preserve"> </w:t>
      </w:r>
      <w:r>
        <w:rPr>
          <w:lang w:val="de"/>
        </w:rPr>
        <w:t xml:space="preserve">die Warnung in der Meldungsecke steht; ein Lauf ohne Beanstandung zeigt keine Meldung außer der Erfolgsmeldung.</w:t>
      </w:r>
    </w:p>
    <w:bookmarkEnd w:id="12"/>
    <w:bookmarkStart w:id="13" w:name="Xd3132b532c0cb910708bfc8237e632eb2d4d1f3"/>
    <w:p>
      <w:pPr>
        <w:pStyle w:val="Heading3"/>
      </w:pPr>
      <w:r>
        <w:rPr>
          <w:lang w:val="de"/>
        </w:rPr>
        <w:t xml:space="preserve">1.2 Beanstandungen erklären statt nur benennen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A, B,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1.1</w:t>
            </w:r>
          </w:p>
        </w:tc>
      </w:tr>
    </w:tbl>
    <w:p>
      <w:pPr>
        <w:pStyle w:val="BodyText"/>
      </w:pPr>
      <w:r>
        <w:rPr>
          <w:lang w:val="de"/>
        </w:rPr>
        <w:t xml:space="preserve">Siehe Teil 3. Jede der 45 Beanstandungen bekommt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Fundstelle</w:t>
      </w:r>
      <w:r>
        <w:rPr>
          <w:lang w:val="de"/>
        </w:rPr>
        <w:t xml:space="preserve"> </w:t>
      </w:r>
      <w:r>
        <w:rPr>
          <w:lang w:val="de"/>
        </w:rPr>
        <w:t xml:space="preserve">und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Handlungsanweisung</w:t>
      </w:r>
      <w:r>
        <w:rPr>
          <w:lang w:val="de"/>
        </w:rPr>
        <w:t xml:space="preserve">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kein Code ohne Fundstelle existiert — durchgesetzt durch einen Test, der über alle Regeln läuft.</w:t>
      </w:r>
    </w:p>
    <w:bookmarkEnd w:id="13"/>
    <w:bookmarkStart w:id="14" w:name="kostenträgerdatei-einlesen"/>
    <w:p>
      <w:pPr>
        <w:pStyle w:val="Heading3"/>
      </w:pPr>
      <w:r>
        <w:rPr>
          <w:lang w:val="de"/>
        </w:rPr>
        <w:t xml:space="preserve">1.3 Kostenträgerdatei einlesen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 (und Wartung für 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</w:tbl>
    <w:p>
      <w:pPr>
        <w:pStyle w:val="BodyText"/>
      </w:pPr>
      <w:r>
        <w:rPr>
          <w:lang w:val="de"/>
        </w:rPr>
        <w:t xml:space="preserve">Die Zuordnung Kasse → Datenannahmestelle steht in einer öffentlichen, vierteljährlich erneuerten EDIFACT-Datei. Heute wird sie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billing-office-endpoints.json</w:t>
      </w:r>
      <w:r>
        <w:rPr>
          <w:lang w:val="de"/>
        </w:rPr>
        <w:t xml:space="preserve"> </w:t>
      </w:r>
      <w:r>
        <w:rPr>
          <w:lang w:val="de"/>
        </w:rPr>
        <w:t xml:space="preserve">von Hand gepflegt — mit 23 einzelnen Kassen und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dem falschen Empfänger</w:t>
      </w:r>
      <w:r>
        <w:rPr>
          <w:lang w:val="de"/>
        </w:rPr>
        <w:t xml:space="preserve">.</w:t>
      </w:r>
    </w:p>
    <w:p>
      <w:pPr>
        <w:pStyle w:val="BodyText"/>
      </w:pPr>
      <w:r>
        <w:rPr>
          <w:b/>
          <w:bCs/>
          <w:lang w:val="de"/>
        </w:rPr>
        <w:t xml:space="preserve">Zu bauen:</w:t>
      </w:r>
      <w:r>
        <w:rPr>
          <w:lang w:val="de"/>
        </w:rPr>
        <w:t xml:space="preserve"> </w:t>
      </w:r>
      <w:r>
        <w:rPr>
          <w:lang w:val="de"/>
        </w:rPr>
        <w:t xml:space="preserve">ein Leser für das KOTR-Format (der vorhandene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DtaDocument</w:t>
      </w:r>
      <w:r>
        <w:rPr>
          <w:lang w:val="de"/>
        </w:rPr>
        <w:t xml:space="preserve"> </w:t>
      </w:r>
      <w:r>
        <w:rPr>
          <w:lang w:val="de"/>
        </w:rPr>
        <w:t xml:space="preserve">trägt es), der zu einem Kassen-IK die Datenannahmestelle mit Entschlüsselungsbefugnis liefert:</w:t>
      </w:r>
    </w:p>
    <w:p>
      <w:pPr>
        <w:pStyle w:val="SourceCode"/>
      </w:pPr>
      <w:r>
        <w:rPr>
          <w:rStyle w:val="VerbatimChar"/>
          <w:lang w:val="de"/>
        </w:rPr>
        <w:t xml:space="preserve">IDK   IK der Versichertenkarte</w:t>
      </w:r>
      <w:r>
        <w:br/>
      </w:r>
      <w:r>
        <w:rPr>
          <w:rStyle w:val="VerbatimChar"/>
          <w:lang w:val="de"/>
        </w:rPr>
        <w:t xml:space="preserve"> └─ VKG+01+&lt;IK&gt;            → Kostenträger</w:t>
      </w:r>
      <w:r>
        <w:br/>
      </w:r>
      <w:r>
        <w:rPr>
          <w:rStyle w:val="VerbatimChar"/>
          <w:lang w:val="de"/>
        </w:rPr>
        <w:t xml:space="preserve">      └─ VKG+03+&lt;IK&gt;+…+50  → Datenannahmestelle MIT Entschlüsselungsbefugnis</w:t>
      </w:r>
      <w:r>
        <w:br/>
      </w:r>
      <w:r>
        <w:rPr>
          <w:rStyle w:val="VerbatimChar"/>
          <w:lang w:val="de"/>
        </w:rPr>
        <w:t xml:space="preserve">           │                 (VKG+02 wäre ein Netzbetreiber OHNE)</w:t>
      </w:r>
      <w:r>
        <w:br/>
      </w:r>
      <w:r>
        <w:rPr>
          <w:rStyle w:val="VerbatimChar"/>
          <w:lang w:val="de"/>
        </w:rPr>
        <w:t xml:space="preserve">           └─ DFU           → Adresse: 070 E-Mail, 016 FTAM, 080 KIM</w:t>
      </w:r>
    </w:p>
    <w:p>
      <w:pPr>
        <w:pStyle w:val="FirstParagraph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aus einer echten Kostenträgerdatei zu einem gegebenen Kassen-IK und Abrechnungscode 50 die richtige Annahmestelle samt Adresse ermittelt wird; eine fehlende Zuordnung meldet sich, statt still auf einen Sammelordner auszuweichen.</w:t>
      </w:r>
    </w:p>
    <w:bookmarkEnd w:id="14"/>
    <w:bookmarkStart w:id="15" w:name="Xc72bd4b6fdc5a1541a08d7215b038261574fc04"/>
    <w:p>
      <w:pPr>
        <w:pStyle w:val="Heading3"/>
      </w:pPr>
      <w:r>
        <w:rPr>
          <w:lang w:val="de"/>
        </w:rPr>
        <w:t xml:space="preserve">1.4 Verarbeitungskennzeichen: Korrektur und Nachforderung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A, B,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</w:tbl>
    <w:p>
      <w:pPr>
        <w:pStyle w:val="BodyText"/>
      </w:pPr>
      <w:r>
        <w:rPr>
          <w:lang w:val="de"/>
        </w:rPr>
        <w:t xml:space="preserve">Das Programm kann heute nur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FKT+01</w:t>
      </w:r>
      <w:r>
        <w:rPr>
          <w:lang w:val="de"/>
        </w:rPr>
        <w:t xml:space="preserve"> </w:t>
      </w:r>
      <w:r>
        <w:rPr>
          <w:lang w:val="de"/>
        </w:rPr>
        <w:t xml:space="preserve">— „Abrechnung ohne Besonderheiten”. Anlage 3, Abschnitt 8.1.7 kennt außerdem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02 Nachforderung, 03 Zuzahlungsforderung, 04 Korrekturrechnung, 10 Wiederaufnahme</w:t>
      </w:r>
      <w:r>
        <w:rPr>
          <w:lang w:val="de"/>
        </w:rPr>
        <w:t xml:space="preserve">. Ohne diese Werte gibt es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keinen Weg, auf eine Zurückweisung zu antworten</w:t>
      </w:r>
      <w:r>
        <w:rPr>
          <w:lang w:val="de"/>
        </w:rPr>
        <w:t xml:space="preserve"> </w:t>
      </w:r>
      <w:r>
        <w:rPr>
          <w:lang w:val="de"/>
        </w:rPr>
        <w:t xml:space="preserve">— man kann dieselbe Rechnung nur noch einmal als Erstabrechnung schicken, was die Kasse als Doppelabrechnung sieht.</w:t>
      </w:r>
    </w:p>
    <w:p>
      <w:pPr>
        <w:pStyle w:val="BodyText"/>
      </w:pPr>
      <w:r>
        <w:rPr>
          <w:b/>
          <w:bCs/>
          <w:lang w:val="de"/>
        </w:rPr>
        <w:t xml:space="preserve">Vorher zu klären:</w:t>
      </w:r>
      <w:r>
        <w:rPr>
          <w:lang w:val="de"/>
        </w:rPr>
        <w:t xml:space="preserve"> </w:t>
      </w:r>
      <w:r>
        <w:rPr>
          <w:lang w:val="de"/>
        </w:rPr>
        <w:t xml:space="preserve">Anlage 1, Abschnitt 7.1 regelt, welcher Wert wann zulässig ist. Diese Tabelle ist zu lesen, nicht zu raten.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eine zurückgewiesene Abrechnung als Korrekturrechnung neu erzeugt werden kann und die Prüfung den Wert gegen Abschnitt 7.1 hält.</w:t>
      </w:r>
    </w:p>
    <w:bookmarkEnd w:id="15"/>
    <w:bookmarkStart w:id="16" w:name="übermittlungsprotokoll"/>
    <w:p>
      <w:pPr>
        <w:pStyle w:val="Heading3"/>
      </w:pPr>
      <w:r>
        <w:rPr>
          <w:lang w:val="de"/>
        </w:rPr>
        <w:t xml:space="preserve">1.5 Übermittlungsprotokoll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 (Pflicht), B und C (nützlich)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1.1</w:t>
            </w:r>
          </w:p>
        </w:tc>
      </w:tr>
    </w:tbl>
    <w:p>
      <w:pPr>
        <w:pStyle w:val="BodyText"/>
      </w:pPr>
      <w:r>
        <w:rPr>
          <w:lang w:val="de"/>
        </w:rPr>
        <w:t xml:space="preserve">Anlage 1, Abschnitt 3 Absatz 2 verlangt eine Dokumentation des Datenaustauschs,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mindestens zwei Jahre aufzubewahren</w:t>
      </w:r>
      <w:r>
        <w:rPr>
          <w:lang w:val="de"/>
        </w:rPr>
        <w:t xml:space="preserve">. Anhang 1, Abschnitt 4.5 nennt die Mindestinhalte: physikalischer Dateiname, Erstellungsdatum, laufende Nummer, Kommunikationspartner, Beginn und Ende der Übermittlung, Dateigröße, Verarbeitungshinweise, Richtung, fehlerfrei oder fehlerhaft, im Fehlerfall der Fehlerstatus.</w:t>
      </w:r>
    </w:p>
    <w:p>
      <w:pPr>
        <w:pStyle w:val="BodyText"/>
      </w:pPr>
      <w:r>
        <w:rPr>
          <w:b/>
          <w:bCs/>
          <w:lang w:val="de"/>
        </w:rPr>
        <w:t xml:space="preserve">Das ist fast ein Nebenprodukt</w:t>
      </w:r>
      <w:r>
        <w:rPr>
          <w:lang w:val="de"/>
        </w:rPr>
        <w:t xml:space="preserve"> </w:t>
      </w:r>
      <w:r>
        <w:rPr>
          <w:lang w:val="de"/>
        </w:rPr>
        <w:t xml:space="preserve">— die Angaben entstehen ohnehin beim Versand, sie werden nur nirgends festgehalten. Eine Tabelle in der Datenbank, eine Übersicht in der Oberfläche.</w:t>
      </w:r>
    </w:p>
    <w:p>
      <w:pPr>
        <w:pStyle w:val="BodyText"/>
      </w:pPr>
      <w:r>
        <w:rPr>
          <w:lang w:val="de"/>
        </w:rPr>
        <w:t xml:space="preserve">Dazu gehört die zweite Pflicht aus Absatz 4: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Sicherungskopie bis zur Bezahlung</w:t>
      </w:r>
      <w:r>
        <w:rPr>
          <w:lang w:val="de"/>
        </w:rPr>
        <w:t xml:space="preserve">. Die Dateien liegen bereits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staging/</w:t>
      </w:r>
      <w:r>
        <w:rPr>
          <w:lang w:val="de"/>
        </w:rPr>
        <w:t xml:space="preserve">; es fehlt der Zustand „bezahlt” und damit der Zeitpunkt, ab dem sie weg dürfen.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jede erzeugte und jede zugestellte Datei einen Protokolleintrag hat und die Übersicht zeigt, was noch auf Zahlung wartet.</w:t>
      </w:r>
    </w:p>
    <w:bookmarkEnd w:id="16"/>
    <w:bookmarkStart w:id="17" w:name="Xefa6ec74d286172d04d8f5127763d0849151b43"/>
    <w:p>
      <w:pPr>
        <w:pStyle w:val="Heading3"/>
      </w:pPr>
      <w:r>
        <w:rPr>
          <w:lang w:val="de"/>
        </w:rPr>
        <w:t xml:space="preserve">1.6 Auftragsdatei und physikalischer Dateiname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1.3, 1.7</w:t>
            </w:r>
          </w:p>
        </w:tc>
      </w:tr>
    </w:tbl>
    <w:p>
      <w:pPr>
        <w:pStyle w:val="BodyText"/>
      </w:pPr>
      <w:r>
        <w:rPr>
          <w:lang w:val="de"/>
        </w:rPr>
        <w:t xml:space="preserve">Zu jeder Nutzdatendatei gehört eine unverschlüsselte Auftragsdatei mit den Transportangaben (GGT Anlage 2). Prüfstufe 1 prüft ausdrücklich, ob die Dateien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paarweise</w:t>
      </w:r>
      <w:r>
        <w:rPr>
          <w:lang w:val="de"/>
        </w:rPr>
        <w:t xml:space="preserve"> </w:t>
      </w:r>
      <w:r>
        <w:rPr>
          <w:lang w:val="de"/>
        </w:rPr>
        <w:t xml:space="preserve">ankommen.</w:t>
      </w:r>
    </w:p>
    <w:p>
      <w:pPr>
        <w:pStyle w:val="BodyText"/>
      </w:pPr>
      <w:r>
        <w:rPr>
          <w:lang w:val="de"/>
        </w:rPr>
        <w:t xml:space="preserve">Der physikalische Dateiname ist vorgeschrieben (Anhang 1, Abschnitt 4.3):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</w:t>
      </w:r>
      <w:r>
        <w:rPr>
          <w:lang w:val="de"/>
        </w:rPr>
        <w:t xml:space="preserve"> </w:t>
      </w:r>
      <w:r>
        <w:rPr>
          <w:lang w:val="de"/>
        </w:rPr>
        <w:t xml:space="preserve">oder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</w:t>
      </w:r>
      <w:r>
        <w:rPr>
          <w:lang w:val="de"/>
        </w:rPr>
        <w:t xml:space="preserve">, dann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SOL</w:t>
      </w:r>
      <w:r>
        <w:rPr>
          <w:lang w:val="de"/>
        </w:rPr>
        <w:t xml:space="preserve">, dann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</w:t>
      </w:r>
      <w:r>
        <w:rPr>
          <w:lang w:val="de"/>
        </w:rPr>
        <w:t xml:space="preserve">, dann eine dreistellige Transfernummer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ESOL0001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TSOL0001</w:t>
      </w:r>
      <w:r>
        <w:rPr>
          <w:lang w:val="de"/>
        </w:rPr>
        <w:t xml:space="preserve">. Der logische Dateiname im UNB und in der Auftragsdatei müssen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übereinstimmen</w:t>
      </w:r>
      <w:r>
        <w:rPr>
          <w:lang w:val="de"/>
        </w:rPr>
        <w:t xml:space="preserve">.</w:t>
      </w:r>
    </w:p>
    <w:p>
      <w:pPr>
        <w:pStyle w:val="BodyText"/>
      </w:pPr>
      <w:r>
        <w:rPr>
          <w:b/>
          <w:bCs/>
          <w:lang w:val="de"/>
        </w:rPr>
        <w:t xml:space="preserve">Achtung:</w:t>
      </w:r>
      <w:r>
        <w:rPr>
          <w:lang w:val="de"/>
        </w:rPr>
        <w:t xml:space="preserve"> </w:t>
      </w:r>
      <w:r>
        <w:rPr>
          <w:lang w:val="de"/>
        </w:rPr>
        <w:t xml:space="preserve">auch eine Erprobungsdatei trägt den physikalischen Namen einer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Test</w:t>
      </w:r>
      <w:r>
        <w:rPr>
          <w:lang w:val="de"/>
        </w:rPr>
        <w:t xml:space="preserve">datei. Testindikator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1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TSOL</w:t>
      </w:r>
      <w:r>
        <w:rPr>
          <w:lang w:val="de"/>
        </w:rPr>
        <w:t xml:space="preserve"> </w:t>
      </w:r>
      <w:r>
        <w:rPr>
          <w:lang w:val="de"/>
        </w:rPr>
        <w:t xml:space="preserve">gehören zusammen.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zu jeder Nutzdatei eine Auftragsdatei entsteht, beide denselben logischen Dateinamen tragen und der physikalische Name zur eingestellten Übermittlungsart passt.</w:t>
      </w:r>
    </w:p>
    <w:bookmarkEnd w:id="17"/>
    <w:bookmarkStart w:id="24" w:name="X96f500aa4fcac2b3d0c702252ad004fc7c70e81"/>
    <w:p>
      <w:pPr>
        <w:pStyle w:val="Heading3"/>
      </w:pPr>
      <w:r>
        <w:rPr>
          <w:lang w:val="de"/>
        </w:rPr>
        <w:t xml:space="preserve">1.7 Betriebsdaten — die eigenen Angaben an einem Ort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A, B,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—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1.6 und 2.1 hängen daran</w:t>
            </w:r>
          </w:p>
        </w:tc>
      </w:tr>
    </w:tbl>
    <w:p>
      <w:pPr>
        <w:pStyle w:val="BodyText"/>
      </w:pPr>
      <w:r>
        <w:rPr>
          <w:lang w:val="de"/>
        </w:rPr>
        <w:t xml:space="preserve">Simons Vorschlag vom 07.09.2026: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„wie wär’s noch, wenn man noch seine Daten/Konto für die Registrierung auch irgendwie hinzufügen kann?“</w:t>
      </w:r>
    </w:p>
    <w:p>
      <w:pPr>
        <w:pStyle w:val="BodyText"/>
      </w:pPr>
      <w:r>
        <w:rPr>
          <w:b/>
          <w:bCs/>
          <w:lang w:val="de"/>
        </w:rPr>
        <w:t xml:space="preserve">Die Anwendung weiß heute nicht, wer sie betreibt.</w:t>
      </w:r>
      <w:r>
        <w:rPr>
          <w:lang w:val="de"/>
        </w:rPr>
        <w:t xml:space="preserve"> </w:t>
      </w:r>
      <w:r>
        <w:rPr>
          <w:lang w:val="de"/>
        </w:rPr>
        <w:t xml:space="preserve">Der Absender einer Datei stammt aus dem Dienstleister, der je Abrechnung ausgewählt wird — als wäre die absendende Stelle eine Eigenschaft des einzelnen Vorgangs. Sie ist es nicht: sie ist eine Eigenschaft des Betriebs, sie ändert sich fast nie, und sie wird bei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jeder</w:t>
      </w:r>
      <w:r>
        <w:rPr>
          <w:lang w:val="de"/>
        </w:rPr>
        <w:t xml:space="preserve"> </w:t>
      </w:r>
      <w:r>
        <w:rPr>
          <w:lang w:val="de"/>
        </w:rPr>
        <w:t xml:space="preserve">Registrierung wieder gebraucht.</w:t>
      </w:r>
    </w:p>
    <w:bookmarkStart w:id="18" w:name="was-hineingehört"/>
    <w:p>
      <w:pPr>
        <w:pStyle w:val="Heading4"/>
      </w:pPr>
      <w:r>
        <w:rPr>
          <w:lang w:val="de"/>
        </w:rPr>
        <w:t xml:space="preserve">Was hineingehört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Angabe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Name der Praxis, Anschrift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Zertifikatsantrag, Anmeldung bei der Annahmestelle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Eigenes 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Absender im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UNB</w:t>
            </w:r>
            <w:r>
              <w:rPr>
                <w:lang w:val="de"/>
              </w:rPr>
              <w:t xml:space="preserve">,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FKT</w:t>
            </w:r>
            <w:r>
              <w:rPr>
                <w:lang w:val="de"/>
              </w:rPr>
              <w:t xml:space="preserve">, Stellen 3–8 des logischen Dateinamens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Rolle: Selbstabrechner oder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neunte Stelle des logischen Dateinamens (</w:t>
            </w:r>
            <w:r>
              <w:rPr>
                <w:rStyle w:val="VerbatimChar"/>
                <w:lang w:val="de"/>
              </w:rPr>
              <w:t xml:space="preserve">S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oder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A</w:t>
            </w:r>
            <w:r>
              <w:rPr>
                <w:lang w:val="de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Steuernummer, Umsatzsteuerpflicht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UST</w:t>
            </w:r>
            <w:r>
              <w:rPr>
                <w:lang w:val="de"/>
              </w:rPr>
              <w:t xml:space="preserve">-Segment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Bankverbindung (IBAN, BIC)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Anmeldung bei den Kassen —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für die Datei, siehe unten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Ansprechpartner, Telefon, E-Mail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Anmeldung als Kommunikationspartner; die Annahmestelle braucht jemanden, den sie erreichen kann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Zertifikat: ausgestellt am, gültig bis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Ablaufwarnung, siehe Wartungsplan</w:t>
            </w:r>
          </w:p>
        </w:tc>
      </w:tr>
    </w:tbl>
    <w:bookmarkEnd w:id="18"/>
    <w:bookmarkStart w:id="19" w:name="X744c4c0f7178e4369687252d20e07b6d8d49725"/>
    <w:p>
      <w:pPr>
        <w:pStyle w:val="Heading4"/>
      </w:pPr>
      <w:r>
        <w:rPr>
          <w:lang w:val="de"/>
        </w:rPr>
        <w:t xml:space="preserve">Die Bankverbindung steht in keiner Nachricht</w:t>
      </w:r>
    </w:p>
    <w:p>
      <w:pPr>
        <w:pStyle w:val="FirstParagraph"/>
      </w:pPr>
      <w:r>
        <w:rPr>
          <w:b/>
          <w:bCs/>
          <w:lang w:val="de"/>
        </w:rPr>
        <w:t xml:space="preserve">Nachgeschlagen, nicht angenommen:</w:t>
      </w:r>
      <w:r>
        <w:rPr>
          <w:lang w:val="de"/>
        </w:rPr>
        <w:t xml:space="preserve"> </w:t>
      </w:r>
      <w:r>
        <w:rPr>
          <w:lang w:val="de"/>
        </w:rPr>
        <w:t xml:space="preserve">Anlage 1 kennt kein Feld für IBAN, Konto oder Geldinstitut — in keinem der dreizehn Segmente. Die Kasse zahlt auf das Konto, das zum Institutionskennzeichen hinterlegt ist. Hinterlegt wird es bei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Anmeldung</w:t>
      </w:r>
      <w:r>
        <w:rPr>
          <w:lang w:val="de"/>
        </w:rPr>
        <w:t xml:space="preserve">, nicht bei der Abrechnung.</w:t>
      </w:r>
    </w:p>
    <w:p>
      <w:pPr>
        <w:pStyle w:val="BodyText"/>
      </w:pPr>
      <w:r>
        <w:rPr>
          <w:lang w:val="de"/>
        </w:rPr>
        <w:t xml:space="preserve">Das entwertet den Vorschlag nicht, es schärft ihn: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Maske ist kein Nachrichtenlieferant, sondern ein Aktenordner.</w:t>
      </w:r>
      <w:r>
        <w:rPr>
          <w:lang w:val="de"/>
        </w:rPr>
        <w:t xml:space="preserve"> </w:t>
      </w:r>
      <w:r>
        <w:rPr>
          <w:lang w:val="de"/>
        </w:rPr>
        <w:t xml:space="preserve">Und genau darin liegt ihr Nutzen — ARGE·IK, ITSG-Trust-Center und jede Datenannahmestelle fragen im Kern dieselben Angaben ab. Heute liegen sie auf Papier, in einer alten E-Mail oder im Kopf.</w:t>
      </w:r>
    </w:p>
    <w:p>
      <w:pPr>
        <w:pStyle w:val="BodyText"/>
      </w:pPr>
      <w:r>
        <w:rPr>
          <w:lang w:val="de"/>
        </w:rPr>
        <w:t xml:space="preserve">Zwei Angaben sind die Ausnahme und gehen sehr wohl in die Nachricht: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eigene IK und die Rolle.</w:t>
      </w:r>
      <w:r>
        <w:rPr>
          <w:lang w:val="de"/>
        </w:rPr>
        <w:t xml:space="preserve"> </w:t>
      </w:r>
      <w:r>
        <w:rPr>
          <w:lang w:val="de"/>
        </w:rPr>
        <w:t xml:space="preserve">Ohne sie ist der logische Dateiname nicht bildbar — er wird heute aus dem Dienstleister-IK gebildet und nimmt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Selbstabrechner</w:t>
      </w:r>
      <w:r>
        <w:rPr>
          <w:lang w:val="de"/>
        </w:rPr>
        <w:t xml:space="preserve"> </w:t>
      </w:r>
      <w:r>
        <w:rPr>
          <w:lang w:val="de"/>
        </w:rPr>
        <w:t xml:space="preserve">als gesetzt an.</w:t>
      </w:r>
    </w:p>
    <w:bookmarkEnd w:id="19"/>
    <w:bookmarkStart w:id="20" w:name="was-das-nebenbei-geraderückt"/>
    <w:p>
      <w:pPr>
        <w:pStyle w:val="Heading4"/>
      </w:pPr>
      <w:r>
        <w:rPr>
          <w:lang w:val="de"/>
        </w:rPr>
        <w:t xml:space="preserve">Was das nebenbei geraderückt</w:t>
      </w:r>
    </w:p>
    <w:p>
      <w:pPr>
        <w:pStyle w:val="FirstParagraph"/>
      </w:pPr>
      <w:r>
        <w:rPr>
          <w:lang w:val="de"/>
        </w:rPr>
        <w:t xml:space="preserve">Der Absender wandert von der einzelnen Abrechnung an den Betrieb. Für eine allein arbeitende Hebamme ist das dasselbe IK und fällt nicht auf; sobald eine zweite Person abrechnet oder eine Abrechnungsstelle einspringt, ist es der Unterschied zwischen richtiger und falscher Datei.</w:t>
      </w:r>
    </w:p>
    <w:bookmarkEnd w:id="20"/>
    <w:bookmarkStart w:id="21" w:name="wo-die-daten-liegen"/>
    <w:p>
      <w:pPr>
        <w:pStyle w:val="Heading4"/>
      </w:pPr>
      <w:r>
        <w:rPr>
          <w:lang w:val="de"/>
        </w:rPr>
        <w:t xml:space="preserve">Wo die Daten liegen</w:t>
      </w:r>
    </w:p>
    <w:p>
      <w:pPr>
        <w:pStyle w:val="FirstParagraph"/>
      </w:pPr>
      <w:r>
        <w:rPr>
          <w:lang w:val="de"/>
        </w:rPr>
        <w:t xml:space="preserve">In der Datenbank, eine Zeile, eigene Entität — nicht in den Einstellungen. Einstellungen sind Wahlmöglichkeiten, Betriebsdaten sind Stammdaten mit Struktur und Prüfregeln (das IK gegen die Prüfziffer, wie überall im Programm).</w:t>
      </w:r>
    </w:p>
    <w:p>
      <w:pPr>
        <w:pStyle w:val="BlockText"/>
      </w:pPr>
      <w:r>
        <w:rPr>
          <w:b/>
          <w:bCs/>
          <w:lang w:val="de"/>
        </w:rPr>
        <w:t xml:space="preserve">Die IBAN ist die erste wirklich schützenswerte Angabe außerhalb der Patientendaten</w:t>
      </w:r>
      <w:r>
        <w:rPr>
          <w:lang w:val="de"/>
        </w:rPr>
        <w:t xml:space="preserve">, und die Datenbank ist unverschlüsselt. Das verschiebt die Festplattenverschlüsselung aus Teil 5 nach vorn: sie sollte stehen, bevor hier eine Kontoverbindung eingetragen wird.</w:t>
      </w:r>
    </w:p>
    <w:p>
      <w:pPr>
        <w:pStyle w:val="BlockText"/>
      </w:pPr>
      <w:r>
        <w:rPr>
          <w:b/>
          <w:bCs/>
          <w:lang w:val="de"/>
        </w:rPr>
        <w:t xml:space="preserve">Keine Zugangsdaten und keine privaten Schlüssel hier.</w:t>
      </w:r>
      <w:r>
        <w:rPr>
          <w:lang w:val="de"/>
        </w:rPr>
        <w:t xml:space="preserve"> </w:t>
      </w:r>
      <w:r>
        <w:rPr>
          <w:lang w:val="de"/>
        </w:rPr>
        <w:t xml:space="preserve">Die gehören in den Windows-Anmeldeinformationsspeicher. Ein Ablaufdatum ist unbedenklich, ein Schlüssel nicht.</w:t>
      </w:r>
    </w:p>
    <w:bookmarkEnd w:id="21"/>
    <w:bookmarkStart w:id="22" w:name="fertig-wenn"/>
    <w:p>
      <w:pPr>
        <w:pStyle w:val="Heading4"/>
      </w:pPr>
      <w:r>
        <w:rPr>
          <w:lang w:val="de"/>
        </w:rPr>
        <w:t xml:space="preserve">Fertig, wenn</w:t>
      </w:r>
    </w:p>
    <w:p>
      <w:pPr>
        <w:pStyle w:val="Compact"/>
        <w:numPr>
          <w:ilvl w:val="0"/>
          <w:numId w:val="1002"/>
        </w:numPr>
      </w:pPr>
      <w:r>
        <w:rPr>
          <w:lang w:val="de"/>
        </w:rPr>
        <w:t xml:space="preserve">die Betriebsdaten in einer eigenen Maske erfasst und geändert werden können,</w:t>
      </w:r>
    </w:p>
    <w:p>
      <w:pPr>
        <w:pStyle w:val="Compact"/>
        <w:numPr>
          <w:ilvl w:val="0"/>
          <w:numId w:val="1002"/>
        </w:numPr>
      </w:pPr>
      <w:r>
        <w:rPr>
          <w:lang w:val="de"/>
        </w:rPr>
        <w:t xml:space="preserve">das eigene IK gegen die Prüfziffer geprüft wird,</w:t>
      </w:r>
    </w:p>
    <w:p>
      <w:pPr>
        <w:pStyle w:val="Compact"/>
        <w:numPr>
          <w:ilvl w:val="0"/>
          <w:numId w:val="1002"/>
        </w:numPr>
      </w:pPr>
      <w:r>
        <w:rPr>
          <w:lang w:val="de"/>
        </w:rPr>
        <w:t xml:space="preserve">der logische Dateiname Rolle und IK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von dort</w:t>
      </w:r>
      <w:r>
        <w:rPr>
          <w:lang w:val="de"/>
        </w:rPr>
        <w:t xml:space="preserve"> </w:t>
      </w:r>
      <w:r>
        <w:rPr>
          <w:lang w:val="de"/>
        </w:rPr>
        <w:t xml:space="preserve">nimmt und nicht mehr aus dem Dienstleister,</w:t>
      </w:r>
    </w:p>
    <w:p>
      <w:pPr>
        <w:pStyle w:val="Compact"/>
        <w:numPr>
          <w:ilvl w:val="0"/>
          <w:numId w:val="1002"/>
        </w:numPr>
      </w:pPr>
      <w:r>
        <w:rPr>
          <w:lang w:val="de"/>
        </w:rPr>
        <w:t xml:space="preserve">fehlende Pflichtangaben den Abrechnungslauf mit einer verständlichen Meldung anhalten, statt eine Datei mit Lücken zu erzeugen.</w:t>
      </w:r>
    </w:p>
    <w:bookmarkEnd w:id="22"/>
    <w:bookmarkStart w:id="23" w:name="naheliegende-erweiterung"/>
    <w:p>
      <w:pPr>
        <w:pStyle w:val="Heading4"/>
      </w:pPr>
      <w:r>
        <w:rPr>
          <w:lang w:val="de"/>
        </w:rPr>
        <w:t xml:space="preserve">Naheliegende Erweiterung</w:t>
      </w:r>
    </w:p>
    <w:p>
      <w:pPr>
        <w:pStyle w:val="FirstParagraph"/>
      </w:pPr>
      <w:r>
        <w:rPr>
          <w:lang w:val="de"/>
        </w:rPr>
        <w:t xml:space="preserve">Ein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Registrierungsblatt</w:t>
      </w:r>
      <w:r>
        <w:rPr>
          <w:lang w:val="de"/>
        </w:rPr>
        <w:t xml:space="preserve"> </w:t>
      </w:r>
      <w:r>
        <w:rPr>
          <w:lang w:val="de"/>
        </w:rPr>
        <w:t xml:space="preserve">zum Ausdrucken oder als PDF: alle Angaben auf einer Seite, in der Form, die die Anmeldung verlangt. Damit wird aus dem Aktenordner ein Formular, das man nur noch unterschreiben muss. Größe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</w:t>
      </w:r>
      <w:r>
        <w:rPr>
          <w:lang w:val="de"/>
        </w:rPr>
        <w:t xml:space="preserve">, sobald die Daten einmal stehen — und es ist der Punkt, an dem die Maske sich das erste Mal auszahlt.</w:t>
      </w:r>
    </w:p>
    <w:bookmarkEnd w:id="23"/>
    <w:bookmarkEnd w:id="24"/>
    <w:bookmarkEnd w:id="25"/>
    <w:bookmarkStart w:id="29" w:name="phase-2-beschaffung-und-verschlüsselung"/>
    <w:p>
      <w:pPr>
        <w:pStyle w:val="Heading2"/>
      </w:pPr>
      <w:r>
        <w:rPr>
          <w:lang w:val="de"/>
        </w:rPr>
        <w:t xml:space="preserve">Phase 2 — Beschaffung und Verschlüsselung</w:t>
      </w:r>
    </w:p>
    <w:p>
      <w:pPr>
        <w:pStyle w:val="FirstParagraph"/>
      </w:pPr>
      <w:r>
        <w:rPr>
          <w:lang w:val="de"/>
        </w:rPr>
        <w:t xml:space="preserve">Hier fällt die Entscheidung: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selbst übertragen oder nicht.</w:t>
      </w:r>
      <w:r>
        <w:rPr>
          <w:lang w:val="de"/>
        </w:rPr>
        <w:t xml:space="preserve"> </w:t>
      </w:r>
      <w:r>
        <w:rPr>
          <w:lang w:val="de"/>
        </w:rPr>
        <w:t xml:space="preserve">Wer sie verneint, hört nach Phase 1 auf und gibt die geprüfte Datei weiter.</w:t>
      </w:r>
    </w:p>
    <w:bookmarkStart w:id="26" w:name="beschaffen"/>
    <w:p>
      <w:pPr>
        <w:pStyle w:val="Heading3"/>
      </w:pPr>
      <w:r>
        <w:rPr>
          <w:lang w:val="de"/>
        </w:rPr>
        <w:t xml:space="preserve">2.1 Beschaffen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Kosten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Betriebsstätten-IK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ARGE·IK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gebührenfrei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Zertifikat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ITSG Trust Center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79 € zzgl. USt., dann 49 € jährlich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Anmeldung als Kommunikationspartner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Datenannahmestelle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</w:t>
            </w:r>
          </w:p>
        </w:tc>
      </w:tr>
    </w:tbl>
    <w:p>
      <w:pPr>
        <w:pStyle w:val="BodyText"/>
      </w:pPr>
      <w:r>
        <w:rPr>
          <w:lang w:val="de"/>
        </w:rPr>
        <w:t xml:space="preserve">Das Zertifikat gilt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für alle Kassen</w:t>
      </w:r>
      <w:r>
        <w:rPr>
          <w:lang w:val="de"/>
        </w:rPr>
        <w:t xml:space="preserve">, nicht je Kasse; die öffentlichen Schlüssel aller Annahmestellen kommen als Schlüsselliste kostenlos mit. Gültigkeit ein Jahr, Ausstellung in drei bis vier Arbeitstagen.</w:t>
      </w:r>
    </w:p>
    <w:p>
      <w:pPr>
        <w:pStyle w:val="BodyText"/>
      </w:pPr>
      <w:r>
        <w:rPr>
          <w:b/>
          <w:bCs/>
          <w:lang w:val="de"/>
        </w:rPr>
        <w:t xml:space="preserve">Alle drei Anträge fragen im Kern dieselben Angaben ab.</w:t>
      </w:r>
      <w:r>
        <w:rPr>
          <w:lang w:val="de"/>
        </w:rPr>
        <w:t xml:space="preserve"> </w:t>
      </w:r>
      <w:r>
        <w:rPr>
          <w:lang w:val="de"/>
        </w:rPr>
        <w:t xml:space="preserve">Wenn 1.7 steht, sind sie an einer Stelle und müssen nicht dreimal zusammengesucht werden.</w:t>
      </w:r>
    </w:p>
    <w:bookmarkEnd w:id="26"/>
    <w:bookmarkStart w:id="27" w:name="verschlüsselung"/>
    <w:p>
      <w:pPr>
        <w:pStyle w:val="Heading3"/>
      </w:pPr>
      <w:r>
        <w:rPr>
          <w:lang w:val="de"/>
        </w:rPr>
        <w:t xml:space="preserve">2.2 Verschlüsselung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2.1, 1.6</w:t>
            </w:r>
          </w:p>
        </w:tc>
      </w:tr>
    </w:tbl>
    <w:p>
      <w:pPr>
        <w:pStyle w:val="BodyText"/>
      </w:pPr>
      <w:r>
        <w:rPr>
          <w:lang w:val="de"/>
        </w:rPr>
        <w:t xml:space="preserve">Nach der Security-Schnittstelle (GGT Anlage 16), mit dem öffentlichen Schlüssel der Datenannahmestelle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Entschlüsselungsbefugnis</w:t>
      </w:r>
      <w:r>
        <w:rPr>
          <w:lang w:val="de"/>
        </w:rPr>
        <w:t xml:space="preserve"> </w:t>
      </w:r>
      <w:r>
        <w:rPr>
          <w:lang w:val="de"/>
        </w:rPr>
        <w:t xml:space="preserve">— nicht dem eines zwischengeschalteten Netzbetreibers.</w:t>
      </w:r>
    </w:p>
    <w:p>
      <w:pPr>
        <w:pStyle w:val="BodyText"/>
      </w:pPr>
      <w:r>
        <w:rPr>
          <w:b/>
          <w:bCs/>
          <w:lang w:val="de"/>
        </w:rPr>
        <w:t xml:space="preserve">Der private Schlüssel gehört nicht in die Datenbank</w:t>
      </w:r>
      <w:r>
        <w:rPr>
          <w:lang w:val="de"/>
        </w:rPr>
        <w:t xml:space="preserve"> </w:t>
      </w:r>
      <w:r>
        <w:rPr>
          <w:lang w:val="de"/>
        </w:rPr>
        <w:t xml:space="preserve">und nicht in eine Datei daneben. Er gehört in den Windows-Anmeldeinformationsspeicher oder einen Schlüsselbund.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eine erzeugte Datei sich mit dem Schlüssel der Annahmestelle verschlüsseln und im Test mit dem passenden privaten Schlüssel wieder entschlüsseln lässt.</w:t>
      </w:r>
    </w:p>
    <w:bookmarkEnd w:id="27"/>
    <w:bookmarkStart w:id="28" w:name="versandweg"/>
    <w:p>
      <w:pPr>
        <w:pStyle w:val="Heading3"/>
      </w:pPr>
      <w:r>
        <w:rPr>
          <w:lang w:val="de"/>
        </w:rPr>
        <w:t xml:space="preserve">2.3 Versandweg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2.2</w:t>
            </w:r>
          </w:p>
        </w:tc>
      </w:tr>
    </w:tbl>
    <w:p>
      <w:pPr>
        <w:pStyle w:val="BodyText"/>
      </w:pPr>
      <w:r>
        <w:rPr>
          <w:lang w:val="de"/>
        </w:rPr>
        <w:t xml:space="preserve">Eine weitere Umsetzung 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— E-Mail (DFÜ-Schlüssel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070</w:t>
      </w:r>
      <w:r>
        <w:rPr>
          <w:lang w:val="de"/>
        </w:rPr>
        <w:t xml:space="preserve">), weil das heute der Weg ist, den die Annahmestellen für Hebammenhilfe veröffentlichen.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probe</w:t>
      </w:r>
      <w:r>
        <w:rPr>
          <w:lang w:val="de"/>
        </w:rPr>
        <w:t xml:space="preserve"> </w:t>
      </w:r>
      <w:r>
        <w:rPr>
          <w:lang w:val="de"/>
        </w:rPr>
        <w:t xml:space="preserve">muss die Erreichbarkeit prüfen können, sonst fällt eine Fehlkonfiguration erst im Echtbetrieb auf.</w:t>
      </w:r>
    </w:p>
    <w:p>
      <w:pPr>
        <w:pStyle w:val="BodyText"/>
      </w:pPr>
      <w:r>
        <w:rPr>
          <w:b/>
          <w:bCs/>
          <w:lang w:val="de"/>
        </w:rPr>
        <w:t xml:space="preserve">Der übrige Ablauf bleibt unverändert</w:t>
      </w:r>
      <w:r>
        <w:rPr>
          <w:lang w:val="de"/>
        </w:rPr>
        <w:t xml:space="preserve"> </w:t>
      </w:r>
      <w:r>
        <w:rPr>
          <w:lang w:val="de"/>
        </w:rPr>
        <w:t xml:space="preserve">— Erzeugung, Prüfung, Zuordnung, Auswertung liegen hinter derselben Schnittstelle.</w:t>
      </w:r>
    </w:p>
    <w:bookmarkEnd w:id="28"/>
    <w:bookmarkEnd w:id="29"/>
    <w:bookmarkStart w:id="30" w:name="phase-3-testverfahren"/>
    <w:p>
      <w:pPr>
        <w:pStyle w:val="Heading2"/>
      </w:pPr>
      <w:r>
        <w:rPr>
          <w:lang w:val="de"/>
        </w:rPr>
        <w:t xml:space="preserve">Phase 3 — Testverfahren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 Bauaufwand, offene Wartezeit</w:t>
            </w:r>
          </w:p>
        </w:tc>
      </w:tr>
    </w:tbl>
    <w:p>
      <w:pPr>
        <w:pStyle w:val="BodyText"/>
      </w:pPr>
      <w:r>
        <w:rPr>
          <w:lang w:val="de"/>
        </w:rPr>
        <w:t xml:space="preserve">Einstellung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uebermittlungsart = test</w:t>
      </w:r>
      <w:r>
        <w:rPr>
          <w:lang w:val="de"/>
        </w:rPr>
        <w:t xml:space="preserve">, Testindikator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</w:t>
      </w:r>
      <w:r>
        <w:rPr>
          <w:lang w:val="de"/>
        </w:rPr>
        <w:t xml:space="preserve">, physikalischer Name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TSOL…</w:t>
      </w:r>
      <w:r>
        <w:rPr>
          <w:lang w:val="de"/>
        </w:rPr>
        <w:t xml:space="preserve">. Geprüft werden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Prüfstufen 1 bis 3</w:t>
      </w:r>
      <w:r>
        <w:rPr>
          <w:lang w:val="de"/>
        </w:rPr>
        <w:t xml:space="preserve"> </w:t>
      </w:r>
      <w:r>
        <w:rPr>
          <w:lang w:val="de"/>
        </w:rPr>
        <w:t xml:space="preserve">bei der Datenannahmestelle. Es fließt kein Geld, und es ist ausdrücklich auch für selbst entwickelte Software vorgesehen.</w:t>
      </w:r>
    </w:p>
    <w:p>
      <w:pPr>
        <w:pStyle w:val="BodyText"/>
      </w:pPr>
      <w:r>
        <w:rPr>
          <w:b/>
          <w:bCs/>
          <w:lang w:val="de"/>
        </w:rPr>
        <w:t xml:space="preserve">Vorher abzustimmen:</w:t>
      </w:r>
      <w:r>
        <w:rPr>
          <w:lang w:val="de"/>
        </w:rPr>
        <w:t xml:space="preserve"> </w:t>
      </w:r>
      <w:r>
        <w:rPr>
          <w:lang w:val="de"/>
        </w:rPr>
        <w:t xml:space="preserve">Beginn des Tests, zu verwendende IK, Umfang. Anhang 2, Abschnitt 5.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die Testdatei die Prüfstufen 1 bis 3 fehlerlos durchläuft und die Rückmeldung das bestätigt.</w:t>
      </w:r>
    </w:p>
    <w:bookmarkEnd w:id="30"/>
    <w:bookmarkStart w:id="31" w:name="phase-4-erprobung"/>
    <w:p>
      <w:pPr>
        <w:pStyle w:val="Heading2"/>
      </w:pPr>
      <w:r>
        <w:rPr>
          <w:lang w:val="de"/>
        </w:rPr>
        <w:t xml:space="preserve">Phase 4 — Erprobung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 Bauarbeit, Wartezeit</w:t>
            </w:r>
          </w:p>
        </w:tc>
      </w:tr>
    </w:tbl>
    <w:p>
      <w:pPr>
        <w:pStyle w:val="BodyText"/>
      </w:pPr>
      <w:r>
        <w:rPr>
          <w:lang w:val="de"/>
        </w:rPr>
        <w:t xml:space="preserve">Einstellung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uebermittlungsart = erprobung</w:t>
      </w:r>
      <w:r>
        <w:rPr>
          <w:lang w:val="de"/>
        </w:rPr>
        <w:t xml:space="preserve">, Testindikator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1</w:t>
      </w:r>
      <w:r>
        <w:rPr>
          <w:lang w:val="de"/>
        </w:rPr>
        <w:t xml:space="preserve">, physikalischer Name weiterhin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TSOL…</w:t>
      </w:r>
      <w:r>
        <w:rPr>
          <w:lang w:val="de"/>
        </w:rPr>
        <w:t xml:space="preserve">. Geprüft wird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vollständige Verarbeitung</w:t>
      </w:r>
      <w:r>
        <w:rPr>
          <w:lang w:val="de"/>
        </w:rPr>
        <w:t xml:space="preserve">. Die Phase endet nicht durch Zeitablauf,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 Zulassung zum Echtverfahren durch die Kasse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Vor der ersten Übermittlung sind die Einzelheiten mit dem Empfänger abzustimmen — das ist vorgeschrieben (Anlage 1, Abschnitt 2), kein Entgegenkommen.</w:t>
      </w:r>
    </w:p>
    <w:bookmarkEnd w:id="31"/>
    <w:bookmarkStart w:id="32" w:name="phase-5-echtbetrieb"/>
    <w:p>
      <w:pPr>
        <w:pStyle w:val="Heading2"/>
      </w:pPr>
      <w:r>
        <w:rPr>
          <w:lang w:val="de"/>
        </w:rPr>
        <w:t xml:space="preserve">Phase 5 — Echtbetrieb</w:t>
      </w:r>
    </w:p>
    <w:p>
      <w:pPr>
        <w:pStyle w:val="FirstParagraph"/>
      </w:pPr>
      <w:r>
        <w:rPr>
          <w:lang w:val="de"/>
        </w:rPr>
        <w:t xml:space="preserve">Einstellung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uebermittlungsart = echt</w:t>
      </w:r>
      <w:r>
        <w:rPr>
          <w:lang w:val="de"/>
        </w:rPr>
        <w:t xml:space="preserve">, Testindikator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2</w:t>
      </w:r>
      <w:r>
        <w:rPr>
          <w:lang w:val="de"/>
        </w:rPr>
        <w:t xml:space="preserve">, physikalischer Name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ESOL…</w:t>
      </w:r>
      <w:r>
        <w:rPr>
          <w:lang w:val="de"/>
        </w:rPr>
        <w:t xml:space="preserve">. Ab hier gilt jede Lieferung als Forderung.</w:t>
      </w:r>
    </w:p>
    <w:p>
      <w:pPr>
        <w:pStyle w:val="BodyText"/>
      </w:pPr>
      <w:r>
        <w:rPr>
          <w:b/>
          <w:bCs/>
          <w:lang w:val="de"/>
        </w:rPr>
        <w:t xml:space="preserve">Voraussetzungen, die keine Software erfüllt:</w:t>
      </w:r>
      <w:r>
        <w:rPr>
          <w:lang w:val="de"/>
        </w:rPr>
        <w:t xml:space="preserve"> </w:t>
      </w:r>
      <w:r>
        <w:rPr>
          <w:lang w:val="de"/>
        </w:rPr>
        <w:t xml:space="preserve">die Zulassung aus Phase 4, das Übermittlungsprotokoll aus 1.5, und eine Sicherungskopie bis zur Bezahlung.</w:t>
      </w:r>
    </w:p>
    <w:bookmarkEnd w:id="32"/>
    <w:bookmarkStart w:id="33" w:name="reihenfolge-auf-einen-blick"/>
    <w:p>
      <w:pPr>
        <w:pStyle w:val="Heading2"/>
      </w:pPr>
      <w:r>
        <w:rPr>
          <w:lang w:val="de"/>
        </w:rPr>
        <w:t xml:space="preserve">Reihenfolge auf einen Blick</w:t>
      </w:r>
    </w:p>
    <w:p>
      <w:pPr>
        <w:pStyle w:val="SourceCode"/>
      </w:pPr>
      <w:r>
        <w:rPr>
          <w:rStyle w:val="VerbatimChar"/>
          <w:lang w:val="de"/>
        </w:rPr>
        <w:t xml:space="preserve">1.1 Warnungen sichtbar ──┬── 1.2 Beanstandungen erklären</w:t>
      </w:r>
      <w:r>
        <w:br/>
      </w:r>
      <w:r>
        <w:rPr>
          <w:rStyle w:val="VerbatimChar"/>
          <w:lang w:val="de"/>
        </w:rPr>
        <w:t xml:space="preserve">                         └── 1.5 Übermittlungsprotokoll</w:t>
      </w:r>
      <w:r>
        <w:br/>
      </w:r>
      <w:r>
        <w:rPr>
          <w:rStyle w:val="VerbatimChar"/>
          <w:lang w:val="de"/>
        </w:rPr>
        <w:t xml:space="preserve">1.3 Kostenträgerdatei ──┐</w:t>
      </w:r>
      <w:r>
        <w:br/>
      </w:r>
      <w:r>
        <w:rPr>
          <w:rStyle w:val="VerbatimChar"/>
          <w:lang w:val="de"/>
        </w:rPr>
        <w:t xml:space="preserve">1.7 Betriebsdaten ──────┴── 1.6 Auftragsdatei ── 2.2 Verschlüsselung ── 2.3 Versandweg</w:t>
      </w:r>
      <w:r>
        <w:br/>
      </w:r>
      <w:r>
        <w:rPr>
          <w:rStyle w:val="VerbatimChar"/>
          <w:lang w:val="de"/>
        </w:rPr>
        <w:t xml:space="preserve">         │                                                │</w:t>
      </w:r>
      <w:r>
        <w:br/>
      </w:r>
      <w:r>
        <w:rPr>
          <w:rStyle w:val="VerbatimChar"/>
          <w:lang w:val="de"/>
        </w:rPr>
        <w:t xml:space="preserve">         └── 2.1 Beschaffen (IK, Zertifikat, Anmeldung) ───┘</w:t>
      </w:r>
      <w:r>
        <w:br/>
      </w:r>
      <w:r>
        <w:rPr>
          <w:rStyle w:val="VerbatimChar"/>
          <w:lang w:val="de"/>
        </w:rPr>
        <w:t xml:space="preserve">1.4 Verarbeitungskennzeichen (unabhängig)</w:t>
      </w:r>
      <w:r>
        <w:br/>
      </w:r>
      <w:r>
        <w:br/>
      </w:r>
      <w:r>
        <w:rPr>
          <w:rStyle w:val="VerbatimChar"/>
          <w:lang w:val="de"/>
        </w:rPr>
        <w:t xml:space="preserve">                       Phase 3 Test ── Phase 4 Erprobung ── Phase 5 Echt</w:t>
      </w:r>
    </w:p>
    <w:p>
      <w:pPr>
        <w:pStyle w:val="FirstParagraph"/>
      </w:pPr>
      <w:r>
        <w:rPr>
          <w:b/>
          <w:bCs/>
          <w:lang w:val="de"/>
        </w:rPr>
        <w:t xml:space="preserve">Der kritische Pfad läuft über 1.3 und 1.7.</w:t>
      </w:r>
      <w:r>
        <w:rPr>
          <w:lang w:val="de"/>
        </w:rPr>
        <w:t xml:space="preserve"> </w:t>
      </w:r>
      <w:r>
        <w:rPr>
          <w:lang w:val="de"/>
        </w:rPr>
        <w:t xml:space="preserve">Die Kostenträgerdatei sagt, an wen geliefert wird; die Betriebsdaten sagen, wer liefert. Fehlt eines von beiden, ist die Datei falsch adressiert oder falsch unterschrieben.</w:t>
      </w:r>
    </w:p>
    <w:bookmarkEnd w:id="33"/>
    <w:bookmarkEnd w:id="34"/>
    <w:bookmarkStart w:id="39" w:name="teil-2-wartungsplan"/>
    <w:p>
      <w:pPr>
        <w:pStyle w:val="Heading1"/>
      </w:pPr>
      <w:r>
        <w:rPr>
          <w:lang w:val="de"/>
        </w:rPr>
        <w:t xml:space="preserve">Teil 2 — Wartungsplan</w:t>
      </w:r>
    </w:p>
    <w:bookmarkStart w:id="35" w:name="warum-es-diesen-teil-gibt"/>
    <w:p>
      <w:pPr>
        <w:pStyle w:val="Heading2"/>
      </w:pPr>
      <w:r>
        <w:rPr>
          <w:lang w:val="de"/>
        </w:rPr>
        <w:t xml:space="preserve">Warum es diesen Teil gibt</w:t>
      </w:r>
    </w:p>
    <w:p>
      <w:pPr>
        <w:pStyle w:val="FirstParagraph"/>
      </w:pPr>
      <w:r>
        <w:rPr>
          <w:lang w:val="de"/>
        </w:rPr>
        <w:t xml:space="preserve">Das Verfahren steht nicht still, und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Veralten fällt nicht auf.</w:t>
      </w:r>
      <w:r>
        <w:rPr>
          <w:lang w:val="de"/>
        </w:rPr>
        <w:t xml:space="preserve"> </w:t>
      </w:r>
      <w:r>
        <w:rPr>
          <w:lang w:val="de"/>
        </w:rPr>
        <w:t xml:space="preserve">Der Beleg liegt im Projekt selbst: die verbindlichen Anlagen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</w:t>
      </w:r>
      <w:r>
        <w:rPr>
          <w:lang w:val="de"/>
        </w:rPr>
        <w:t xml:space="preserve"> </w:t>
      </w:r>
      <w:r>
        <w:rPr>
          <w:lang w:val="de"/>
        </w:rPr>
        <w:t xml:space="preserve">waren am 07.09.2026 vom Juli und seit Monaten überholt, ohne dass es jemandem aufgefallen wäre.</w:t>
      </w:r>
    </w:p>
    <w:p>
      <w:pPr>
        <w:pStyle w:val="BodyText"/>
      </w:pPr>
      <w:r>
        <w:rPr>
          <w:lang w:val="de"/>
        </w:rPr>
        <w:t xml:space="preserve">Bei einer Abrechnungsstelle ist diese Pflege im Preis enthalten. Wer selbst überträgt, übernimmt sie.</w:t>
      </w:r>
    </w:p>
    <w:bookmarkEnd w:id="35"/>
    <w:bookmarkStart w:id="36" w:name="der-kalender"/>
    <w:p>
      <w:pPr>
        <w:pStyle w:val="Heading2"/>
      </w:pPr>
      <w:r>
        <w:rPr>
          <w:lang w:val="de"/>
        </w:rPr>
        <w:t xml:space="preserve">Der Kalender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Wann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Dauer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Wenn versäumt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Quartalsanfang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Kostenträgerdatei der genutzten Kassenarten laden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10 min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 an eine unzuständige 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Jährlich, 1 Monat vor Ablauf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Zertifikat erneuern (49 €)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30 min + 3–4 Tage Bearbeitung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Datenaustausch steht still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Jährlich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 und 3 auf neue Version 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 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Datei wird nach der Übergangsfrist abgewiesen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Bei Vertragsänderung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Vergütungssätze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 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falsche Beträge, Rückforderung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 jedem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Rückmeldung auswerten, offene Zahlungen 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5 min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unbemerkt nicht bezahlte Abrechnungen</w:t>
            </w:r>
          </w:p>
        </w:tc>
      </w:tr>
    </w:tbl>
    <w:p>
      <w:pPr>
        <w:pStyle w:val="BodyText"/>
      </w:pPr>
      <w:r>
        <w:rPr>
          <w:lang w:val="de"/>
        </w:rPr>
        <w:t xml:space="preserve">Übergangsfristen beim Versionswechsel betragen in der Regel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drei Monate</w:t>
      </w:r>
      <w:r>
        <w:rPr>
          <w:lang w:val="de"/>
        </w:rPr>
        <w:t xml:space="preserve">. Das ist der Puffer — nicht mehr.</w:t>
      </w:r>
    </w:p>
    <w:bookmarkEnd w:id="36"/>
    <w:bookmarkStart w:id="37" w:name="was-die-wartung-klein-hält"/>
    <w:p>
      <w:pPr>
        <w:pStyle w:val="Heading2"/>
      </w:pPr>
      <w:r>
        <w:rPr>
          <w:lang w:val="de"/>
        </w:rPr>
        <w:t xml:space="preserve">Was die Wartung klein hält</w:t>
      </w:r>
    </w:p>
    <w:p>
      <w:pPr>
        <w:pStyle w:val="FirstParagraph"/>
      </w:pPr>
      <w:r>
        <w:rPr>
          <w:lang w:val="de"/>
        </w:rPr>
        <w:t xml:space="preserve">Drei Bausteine verwandeln wiederkehrende Handarbeit in einmalige Arbeit: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Kostenträgerdatei einlesen</w:t>
      </w:r>
      <w:r>
        <w:rPr>
          <w:lang w:val="de"/>
        </w:rPr>
        <w:t xml:space="preserve"> </w:t>
      </w:r>
      <w:r>
        <w:rPr>
          <w:lang w:val="de"/>
        </w:rPr>
        <w:t xml:space="preserve">(1.3) — aus vier Pflegeterminen im Jahr wird ein Dateiaustausch.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Ablaufwarnung für das Zertifikat</w:t>
      </w:r>
      <w:r>
        <w:rPr>
          <w:lang w:val="de"/>
        </w:rPr>
        <w:t xml:space="preserve"> </w:t>
      </w:r>
      <w:r>
        <w:rPr>
          <w:lang w:val="de"/>
        </w:rPr>
        <w:t xml:space="preserve">— die Anwendung kennt das Datum aus den Betriebsdaten (1.7) und kann rechtzeitig erinnern. Größe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</w:t>
      </w:r>
      <w:r>
        <w:rPr>
          <w:lang w:val="de"/>
        </w:rPr>
        <w:t xml:space="preserve">, Wirkung groß: das ist der einzige Wartungspunkt, dessen Versäumnis den Betrieb anhält.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Versionsangabe sichtbar machen</w:t>
      </w:r>
      <w:r>
        <w:rPr>
          <w:lang w:val="de"/>
        </w:rPr>
        <w:t xml:space="preserve"> </w:t>
      </w:r>
      <w:r>
        <w:rPr>
          <w:lang w:val="de"/>
        </w:rPr>
        <w:t xml:space="preserve">— der Nachrichtentyp trägt sie bereits (</w:t>
      </w:r>
      <w:r>
        <w:rPr>
          <w:rStyle w:val="VerbatimChar"/>
          <w:lang w:val="de"/>
        </w:rPr>
        <w:t xml:space="preserve">SLGA:21:0:0</w:t>
      </w:r>
      <w:r>
        <w:rPr>
          <w:lang w:val="de"/>
        </w:rPr>
        <w:t xml:space="preserve">). Wer sieht, mit welcher Version er sendet, bemerkt einen Wechsel.</w:t>
      </w:r>
    </w:p>
    <w:p>
      <w:pPr>
        <w:pStyle w:val="FirstParagraph"/>
      </w:pPr>
      <w:r>
        <w:rPr>
          <w:lang w:val="de"/>
        </w:rPr>
        <w:t xml:space="preserve">Mit diesen dreien bleibt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</w:t>
      </w:r>
      <w:r>
        <w:rPr>
          <w:lang w:val="de"/>
        </w:rPr>
        <w:t xml:space="preserve"> </w:t>
      </w:r>
      <w:r>
        <w:rPr>
          <w:lang w:val="de"/>
        </w:rPr>
        <w:t xml:space="preserve">Aufgabe im Jahr: das Zertifikat erneuern.</w:t>
      </w:r>
    </w:p>
    <w:bookmarkEnd w:id="37"/>
    <w:bookmarkStart w:id="38" w:name="prüfliste-für-den-quartalswechsel"/>
    <w:p>
      <w:pPr>
        <w:pStyle w:val="Heading2"/>
      </w:pPr>
      <w:r>
        <w:rPr>
          <w:lang w:val="de"/>
        </w:rPr>
        <w:t xml:space="preserve">Prüfliste für den Quartalswechsel</w:t>
      </w:r>
    </w:p>
    <w:p>
      <w:pPr>
        <w:pStyle w:val="Compact"/>
        <w:numPr>
          <w:ilvl w:val="0"/>
          <w:numId w:val="1004"/>
        </w:numPr>
      </w:pPr>
      <w:r>
        <w:rPr>
          <w:lang w:val="de"/>
        </w:rPr>
        <w:t xml:space="preserve">Kostenträgerdateien der genutzten Kassenarten geladen</w:t>
      </w:r>
    </w:p>
    <w:p>
      <w:pPr>
        <w:pStyle w:val="Compact"/>
        <w:numPr>
          <w:ilvl w:val="0"/>
          <w:numId w:val="1005"/>
        </w:numPr>
      </w:pPr>
      <w:r>
        <w:rPr>
          <w:lang w:val="de"/>
        </w:rPr>
        <w:t xml:space="preserve">Zuordnung Kasse → Annahmestelle unverändert? Sonst: was hat sich geändert?</w:t>
      </w:r>
    </w:p>
    <w:p>
      <w:pPr>
        <w:pStyle w:val="Compact"/>
        <w:numPr>
          <w:ilvl w:val="0"/>
          <w:numId w:val="1006"/>
        </w:numPr>
      </w:pPr>
      <w:r>
        <w:rPr>
          <w:lang w:val="de"/>
        </w:rPr>
        <w:t xml:space="preserve">Läuft das Zertifikat in den nächsten drei Monaten ab?</w:t>
      </w:r>
    </w:p>
    <w:p>
      <w:pPr>
        <w:pStyle w:val="Compact"/>
        <w:numPr>
          <w:ilvl w:val="0"/>
          <w:numId w:val="1007"/>
        </w:numPr>
      </w:pPr>
      <w:r>
        <w:rPr>
          <w:lang w:val="de"/>
        </w:rPr>
        <w:t xml:space="preserve">Neue Version von Anlage 1 oder 3 veröffentlicht?</w:t>
      </w:r>
    </w:p>
    <w:p>
      <w:pPr>
        <w:pStyle w:val="Compact"/>
        <w:numPr>
          <w:ilvl w:val="0"/>
          <w:numId w:val="1008"/>
        </w:numPr>
      </w:pPr>
      <w:r>
        <w:rPr>
          <w:lang w:val="de"/>
        </w:rPr>
        <w:t xml:space="preserve">Offene Forderungen ohne Zahlungseingang älter als acht Wochen?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lang w:val="de"/>
        </w:rPr>
        <w:t xml:space="preserve">mvn clean test</w:t>
      </w:r>
      <w:r>
        <w:rPr>
          <w:lang w:val="de"/>
        </w:rPr>
        <w:t xml:space="preserve"> </w:t>
      </w:r>
      <w:r>
        <w:rPr>
          <w:lang w:val="de"/>
        </w:rPr>
        <w:t xml:space="preserve">grün, Paket baut</w:t>
      </w:r>
    </w:p>
    <w:bookmarkEnd w:id="38"/>
    <w:bookmarkEnd w:id="39"/>
    <w:bookmarkStart w:id="45" w:name="teil-3-fehlerbehebung-und-rückmeldungen"/>
    <w:p>
      <w:pPr>
        <w:pStyle w:val="Heading1"/>
      </w:pPr>
      <w:r>
        <w:rPr>
          <w:lang w:val="de"/>
        </w:rPr>
        <w:t xml:space="preserve">Teil 3 — Fehlerbehebung und Rückmeldungen</w:t>
      </w:r>
    </w:p>
    <w:bookmarkStart w:id="40" w:name="wo-geprüft-wird"/>
    <w:p>
      <w:pPr>
        <w:pStyle w:val="Heading2"/>
      </w:pPr>
      <w:r>
        <w:rPr>
          <w:lang w:val="de"/>
        </w:rPr>
        <w:t xml:space="preserve">Wo geprüft wird</w:t>
      </w:r>
    </w:p>
    <w:p>
      <w:pPr>
        <w:pStyle w:val="SourceCode"/>
      </w:pPr>
      <w:r>
        <w:rPr>
          <w:rStyle w:val="VerbatimChar"/>
          <w:lang w:val="de"/>
        </w:rPr>
        <w:t xml:space="preserve">bei uns          Prüfstufen 1–3 vorweggenommen, acht Regeln    ← hält den Versand auf</w:t>
      </w:r>
      <w:r>
        <w:br/>
      </w:r>
      <w:r>
        <w:rPr>
          <w:rStyle w:val="VerbatimChar"/>
          <w:lang w:val="de"/>
        </w:rPr>
        <w:t xml:space="preserve">Annahmestelle    Prüfstufe 1  Datei, Dateipaar, Anmeldung</w:t>
      </w:r>
      <w:r>
        <w:br/>
      </w:r>
      <w:r>
        <w:rPr>
          <w:rStyle w:val="VerbatimChar"/>
          <w:lang w:val="de"/>
        </w:rPr>
        <w:t xml:space="preserve">                 Prüfstufe 2  Segmentfolge, Feldart, -typ, -länge</w:t>
      </w:r>
      <w:r>
        <w:br/>
      </w:r>
      <w:r>
        <w:rPr>
          <w:rStyle w:val="VerbatimChar"/>
          <w:lang w:val="de"/>
        </w:rPr>
        <w:t xml:space="preserve">                 Prüfstufe 3  Inhalte gegen die Schlüsselverzeichnisse</w:t>
      </w:r>
      <w:r>
        <w:br/>
      </w:r>
      <w:r>
        <w:rPr>
          <w:rStyle w:val="VerbatimChar"/>
          <w:lang w:val="de"/>
        </w:rPr>
        <w:t xml:space="preserve">Krankenkasse     Prüfstufe 4  vertrags-, versicherungs-, leistungsrechtlich</w:t>
      </w:r>
    </w:p>
    <w:p>
      <w:pPr>
        <w:pStyle w:val="FirstParagraph"/>
      </w:pPr>
      <w:r>
        <w:rPr>
          <w:b/>
          <w:bCs/>
          <w:lang w:val="de"/>
        </w:rPr>
        <w:t xml:space="preserve">Alles, was wir vorher finden, kostet keine Woche Postlauf.</w:t>
      </w:r>
      <w:r>
        <w:rPr>
          <w:lang w:val="de"/>
        </w:rPr>
        <w:t xml:space="preserve"> </w:t>
      </w:r>
      <w:r>
        <w:rPr>
          <w:lang w:val="de"/>
        </w:rPr>
        <w:t xml:space="preserve">Deshalb ist die eigene Prüfung kein Beiwerk — der Absender hat sicherzustellen, dass nur geprüfte Datensätze übermittelt werden (Anlage 1, Abschnitt 3 Absatz 3).</w:t>
      </w:r>
    </w:p>
    <w:p>
      <w:pPr>
        <w:pStyle w:val="BodyText"/>
      </w:pPr>
      <w:r>
        <w:rPr>
          <w:lang w:val="de"/>
        </w:rPr>
        <w:t xml:space="preserve">Prüfstufe 4 kann kein Programm vorwegnehmen. Sie braucht den Vertrag.</w:t>
      </w:r>
    </w:p>
    <w:bookmarkEnd w:id="40"/>
    <w:bookmarkStart w:id="41" w:name="was-eine-gute-beanstandung-enthält"/>
    <w:p>
      <w:pPr>
        <w:pStyle w:val="Heading2"/>
      </w:pPr>
      <w:r>
        <w:rPr>
          <w:lang w:val="de"/>
        </w:rPr>
        <w:t xml:space="preserve">Was eine gute Beanstandung enthält</w:t>
      </w:r>
    </w:p>
    <w:p>
      <w:pPr>
        <w:pStyle w:val="FirstParagraph"/>
      </w:pPr>
      <w:r>
        <w:rPr>
          <w:lang w:val="de"/>
        </w:rPr>
        <w:t xml:space="preserve">Heute trägt ein Befund drei Angaben: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Code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Ort</w:t>
      </w:r>
      <w:r>
        <w:rPr>
          <w:lang w:val="de"/>
        </w:rPr>
        <w:t xml:space="preserve"> </w:t>
      </w:r>
      <w:r>
        <w:rPr>
          <w:lang w:val="de"/>
        </w:rPr>
        <w:t xml:space="preserve">(</w:t>
      </w:r>
      <w:r>
        <w:rPr>
          <w:rStyle w:val="VerbatimChar"/>
          <w:lang w:val="de"/>
        </w:rPr>
        <w:t xml:space="preserve">UNB (Zeile 1)</w:t>
      </w:r>
      <w:r>
        <w:rPr>
          <w:lang w:val="de"/>
        </w:rPr>
        <w:t xml:space="preserve">) und einen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Text</w:t>
      </w:r>
      <w:r>
        <w:rPr>
          <w:lang w:val="de"/>
        </w:rPr>
        <w:t xml:space="preserve">. Das ist mehr als üblich und trotzdem zu wenig. Es fehlen zwei: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Angabe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Heute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Wo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ENF (Zeile 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POSITION_HEBAMME_LAENGE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Warum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im Text vermischt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„Für Hebammenhilfe sind vier oder fünf Stellen vorgesehen”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Fundstelle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3, Abschnitt 8.2.6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Wie zu beheben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„Positionsnummer in der Blaupause ‚Geburtsvorbereitung’ berichtigen”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Die Fundstelle ist das Wichtigste.</w:t>
      </w:r>
      <w:r>
        <w:rPr>
          <w:lang w:val="de"/>
        </w:rPr>
        <w:t xml:space="preserve"> </w:t>
      </w:r>
      <w:r>
        <w:rPr>
          <w:lang w:val="de"/>
        </w:rPr>
        <w:t xml:space="preserve">Sie hilft nicht nur beim Nachschlagen — sie ist die Prüfung, ob die Regel überhaupt Grundlage hat. Genau dieser Zwang hätte die drei erfundenen Werte verhindert.</w:t>
      </w:r>
    </w:p>
    <w:p>
      <w:pPr>
        <w:pStyle w:val="BodyText"/>
      </w:pPr>
      <w:r>
        <w:rPr>
          <w:b/>
          <w:bCs/>
          <w:lang w:val="de"/>
        </w:rPr>
        <w:t xml:space="preserve">Die Handlungsanweisung ist das Zweitwichtigste.</w:t>
      </w:r>
      <w:r>
        <w:rPr>
          <w:lang w:val="de"/>
        </w:rPr>
        <w:t xml:space="preserve"> </w:t>
      </w:r>
      <w:r>
        <w:rPr>
          <w:lang w:val="de"/>
        </w:rPr>
        <w:t xml:space="preserve">„Die Menge ist 0,00” sagt, was ist. „Trage bei Anna Berger die Zahl der wahrgenommenen Termine ein” sagt, was zu tun ist — und nur das Zweite bringt jemanden weiter, der die Segmentstruktur nicht kennt.</w:t>
      </w:r>
    </w:p>
    <w:p>
      <w:pPr>
        <w:pStyle w:val="BodyText"/>
      </w:pPr>
      <w:r>
        <w:rPr>
          <w:b/>
          <w:bCs/>
          <w:lang w:val="de"/>
        </w:rPr>
        <w:t xml:space="preserve">Umzusetzen</w:t>
      </w:r>
      <w:r>
        <w:rPr>
          <w:lang w:val="de"/>
        </w:rPr>
        <w:t xml:space="preserve"> </w:t>
      </w:r>
      <w:r>
        <w:rPr>
          <w:lang w:val="de"/>
        </w:rPr>
        <w:t xml:space="preserve">als zwei zusätzliche Felder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ValidationMessage</w:t>
      </w:r>
      <w:r>
        <w:rPr>
          <w:lang w:val="de"/>
        </w:rPr>
        <w:t xml:space="preserve">. Ein Test läuft über alle Regeln und schlägt fehl, sobald ein Code ohne Fundstelle auskommt.</w:t>
      </w:r>
    </w:p>
    <w:bookmarkEnd w:id="41"/>
    <w:bookmarkStart w:id="42" w:name="was-zurückkommt-und-was-es-bedeutet"/>
    <w:p>
      <w:pPr>
        <w:pStyle w:val="Heading2"/>
      </w:pPr>
      <w:r>
        <w:rPr>
          <w:lang w:val="de"/>
        </w:rPr>
        <w:t xml:space="preserve">Was zurückkommt, und was es bedeutet</w:t>
      </w:r>
    </w:p>
    <w:p>
      <w:pPr>
        <w:pStyle w:val="FirstParagraph"/>
      </w:pPr>
      <w:r>
        <w:rPr>
          <w:rStyle w:val="VerbatimChar"/>
          <w:lang w:val="de"/>
        </w:rPr>
        <w:t xml:space="preserve">BillingOfficeResponseParser</w:t>
      </w:r>
      <w:r>
        <w:rPr>
          <w:lang w:val="de"/>
        </w:rPr>
        <w:t xml:space="preserve"> </w:t>
      </w:r>
      <w:r>
        <w:rPr>
          <w:lang w:val="de"/>
        </w:rPr>
        <w:t xml:space="preserve">ordnet eine Kassenantwort ein. Die Einstufung entscheidet über die Reaktion — sie zu verwechseln kostet Wochen: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Einstufung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Reaktion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Verarbeitungskennzeichen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 Zahlung warten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SYNTAX_ERROR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technisch falsch aufgebaut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neu erzeugen</w:t>
            </w:r>
            <w:r>
              <w:rPr>
                <w:lang w:val="de"/>
              </w:rPr>
              <w:t xml:space="preserve">, Inhalt bleibt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lesbar, fachlich beanstandet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korrigieren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04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Korrekturrechnung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TECHNICAL_ERROR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Übertragungsproblem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erneut senden</w:t>
            </w:r>
            <w:r>
              <w:rPr>
                <w:lang w:val="de"/>
              </w:rPr>
              <w:t xml:space="preserve">, nichts ändern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unverändert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einzuordnen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 Mensch muss draufschauen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–</w:t>
            </w:r>
          </w:p>
        </w:tc>
      </w:tr>
    </w:tbl>
    <w:p>
      <w:pPr>
        <w:pStyle w:val="BodyText"/>
      </w:pPr>
      <w:r>
        <w:rPr>
          <w:lang w:val="de"/>
        </w:rPr>
        <w:t xml:space="preserve">Zwei Eigenschaften dürfen beim Erweitern nicht verloren gehen: die Reihenfolge geht vom Spezifischen zum Allgemeinen (sonst gilt jeder technische Fehler als fachliche Ablehnung), und die Suchbegriffe sind an Wortgrenzen gebunden (sonst trifft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ok</w:t>
      </w:r>
      <w:r>
        <w:rPr>
          <w:lang w:val="de"/>
        </w:rPr>
        <w:t xml:space="preserve"> </w:t>
      </w:r>
      <w:r>
        <w:rPr>
          <w:lang w:val="de"/>
        </w:rPr>
        <w:t xml:space="preserve">in „Protokoll”).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nicht einzuordnende Antwort gilt nie als Annahme.</w:t>
      </w:r>
    </w:p>
    <w:bookmarkEnd w:id="42"/>
    <w:bookmarkStart w:id="43" w:name="der-fehlerkreislauf"/>
    <w:p>
      <w:pPr>
        <w:pStyle w:val="Heading2"/>
      </w:pPr>
      <w:r>
        <w:rPr>
          <w:lang w:val="de"/>
        </w:rPr>
        <w:t xml:space="preserve">Der Fehlerkreislauf</w:t>
      </w:r>
    </w:p>
    <w:p>
      <w:pPr>
        <w:pStyle w:val="SourceCode"/>
      </w:pPr>
      <w:r>
        <w:rPr>
          <w:rStyle w:val="VerbatimChar"/>
          <w:lang w:val="de"/>
        </w:rPr>
        <w:t xml:space="preserve">Versand ──&gt; Rückmeldung ──&gt; Einstufung</w:t>
      </w:r>
      <w:r>
        <w:br/>
      </w:r>
      <w:r>
        <w:rPr>
          <w:rStyle w:val="VerbatimChar"/>
          <w:lang w:val="de"/>
        </w:rPr>
        <w:t xml:space="preserve">                               │</w:t>
      </w:r>
      <w:r>
        <w:br/>
      </w:r>
      <w:r>
        <w:rPr>
          <w:rStyle w:val="VerbatimChar"/>
          <w:lang w:val="de"/>
        </w:rPr>
        <w:t xml:space="preserve">     ┌─────────────────────────┼──────────────────────┬────────────────┐</w:t>
      </w:r>
      <w:r>
        <w:br/>
      </w:r>
      <w:r>
        <w:rPr>
          <w:rStyle w:val="VerbatimChar"/>
          <w:lang w:val="de"/>
        </w:rPr>
        <w:t xml:space="preserve">     ▼                         ▼                      ▼                ▼</w:t>
      </w:r>
      <w:r>
        <w:br/>
      </w:r>
      <w:r>
        <w:rPr>
          <w:rStyle w:val="VerbatimChar"/>
          <w:lang w:val="de"/>
        </w:rPr>
        <w:t xml:space="preserve"> ACCEPTED                SYNTAX_ERROR            REJECTED       TECHNICAL_ERROR</w:t>
      </w:r>
      <w:r>
        <w:br/>
      </w:r>
      <w:r>
        <w:rPr>
          <w:rStyle w:val="VerbatimChar"/>
          <w:lang w:val="de"/>
        </w:rPr>
        <w:t xml:space="preserve">     │                         │                      │                │</w:t>
      </w:r>
      <w:r>
        <w:br/>
      </w:r>
      <w:r>
        <w:rPr>
          <w:rStyle w:val="VerbatimChar"/>
          <w:lang w:val="de"/>
        </w:rPr>
        <w:t xml:space="preserve"> auf Zahlung           Datei neu erzeugen      Daten berichtigen   erneut senden</w:t>
      </w:r>
      <w:r>
        <w:br/>
      </w:r>
      <w:r>
        <w:rPr>
          <w:rStyle w:val="VerbatimChar"/>
          <w:lang w:val="de"/>
        </w:rPr>
        <w:t xml:space="preserve">     │                         │                      │                │</w:t>
      </w:r>
      <w:r>
        <w:br/>
      </w:r>
      <w:r>
        <w:rPr>
          <w:rStyle w:val="VerbatimChar"/>
          <w:lang w:val="de"/>
        </w:rPr>
        <w:t xml:space="preserve"> bezahlt?                      └──────────┬───────────┘                │</w:t>
      </w:r>
      <w:r>
        <w:br/>
      </w:r>
      <w:r>
        <w:rPr>
          <w:rStyle w:val="VerbatimChar"/>
          <w:lang w:val="de"/>
        </w:rPr>
        <w:t xml:space="preserve">     │                                    ▼                            │</w:t>
      </w:r>
      <w:r>
        <w:br/>
      </w:r>
      <w:r>
        <w:rPr>
          <w:rStyle w:val="VerbatimChar"/>
          <w:lang w:val="de"/>
        </w:rPr>
        <w:t xml:space="preserve">     │                          Korrekturrechnung (FKT 04)             │</w:t>
      </w:r>
      <w:r>
        <w:br/>
      </w:r>
      <w:r>
        <w:rPr>
          <w:rStyle w:val="VerbatimChar"/>
          <w:lang w:val="de"/>
        </w:rPr>
        <w:t xml:space="preserve">     │                                    │                            │</w:t>
      </w:r>
      <w:r>
        <w:br/>
      </w:r>
      <w:r>
        <w:rPr>
          <w:rStyle w:val="VerbatimChar"/>
          <w:lang w:val="de"/>
        </w:rPr>
        <w:t xml:space="preserve">     └──────────&gt; Sicherungskopie darf weg └────────&gt; erneuter Versand &lt;┘</w:t>
      </w:r>
    </w:p>
    <w:p>
      <w:pPr>
        <w:pStyle w:val="FirstParagraph"/>
      </w:pPr>
      <w:r>
        <w:rPr>
          <w:b/>
          <w:bCs/>
          <w:lang w:val="de"/>
        </w:rPr>
        <w:t xml:space="preserve">Heute fehlt der rechte Ast vollständig.</w:t>
      </w:r>
      <w:r>
        <w:rPr>
          <w:lang w:val="de"/>
        </w:rPr>
        <w:t xml:space="preserve"> </w:t>
      </w:r>
      <w:r>
        <w:rPr>
          <w:lang w:val="de"/>
        </w:rPr>
        <w:t xml:space="preserve">Das Programm kennt nur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FKT+01</w:t>
      </w:r>
      <w:r>
        <w:rPr>
          <w:lang w:val="de"/>
        </w:rPr>
        <w:t xml:space="preserve">. Auf eine Zurückweisung lässt sich damit nicht antworten — dieselbe Rechnung noch einmal zu schicken sieht für die Kasse aus wie eine Doppelabrechnung. Das ist Arbeitspaket 1.4, und es ist klein.</w:t>
      </w:r>
    </w:p>
    <w:bookmarkEnd w:id="43"/>
    <w:bookmarkStart w:id="44" w:name="was-dafür-zu-bauen-ist"/>
    <w:p>
      <w:pPr>
        <w:pStyle w:val="Heading2"/>
      </w:pPr>
      <w:r>
        <w:rPr>
          <w:lang w:val="de"/>
        </w:rPr>
        <w:t xml:space="preserve">Was dafür zu bauen 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Fundstelle und Handlungsanweisung je Befund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weiß, was zu tun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Verarbeitungskennzeichen 02/03/04/10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überhaupt auf eine Zurückweisung antworten können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Rückmeldungsjournal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welche Lieferung wurde wann wie beantwortet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Wiedervorlage für offene Forderungen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darf nicht still verschwinden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Zustand „bezahlt”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Ende der Aufbewahrungspflicht für die Sicherungskopie</w:t>
            </w:r>
          </w:p>
        </w:tc>
      </w:tr>
    </w:tbl>
    <w:bookmarkEnd w:id="44"/>
    <w:bookmarkEnd w:id="45"/>
    <w:bookmarkStart w:id="53" w:name="Xadfc589e1c7e510af175c8e8e68b387b6c31125"/>
    <w:p>
      <w:pPr>
        <w:pStyle w:val="Heading1"/>
      </w:pPr>
      <w:r>
        <w:rPr>
          <w:lang w:val="de"/>
        </w:rPr>
        <w:t xml:space="preserve">Teil 4 — Vorbereitung auf spezifikationsgetriebenes Arbeiten</w:t>
      </w:r>
    </w:p>
    <w:bookmarkStart w:id="46" w:name="warum-gerade-hier"/>
    <w:p>
      <w:pPr>
        <w:pStyle w:val="Heading2"/>
      </w:pPr>
      <w:r>
        <w:rPr>
          <w:lang w:val="de"/>
        </w:rPr>
        <w:t xml:space="preserve">Warum gerade hier</w:t>
      </w:r>
    </w:p>
    <w:p>
      <w:pPr>
        <w:pStyle w:val="FirstParagraph"/>
      </w:pPr>
      <w:r>
        <w:rPr>
          <w:lang w:val="de"/>
        </w:rPr>
        <w:t xml:space="preserve">Dieses Projekt ist ein besonders guter und ein besonders gefährlicher Fall für agentische Entwicklung.</w:t>
      </w:r>
    </w:p>
    <w:p>
      <w:pPr>
        <w:pStyle w:val="BodyText"/>
      </w:pPr>
      <w:r>
        <w:rPr>
          <w:b/>
          <w:bCs/>
          <w:lang w:val="de"/>
        </w:rPr>
        <w:t xml:space="preserve">Gut</w:t>
      </w:r>
      <w:r>
        <w:rPr>
          <w:lang w:val="de"/>
        </w:rPr>
        <w:t xml:space="preserve">, weil die Fachlichkeit vollständig schriftlich vorliegt: die Technische Anlage, die Anhänge, die Schlüsselverzeichnisse. Es gibt für fast jede Frage eine Fundstelle.</w:t>
      </w:r>
    </w:p>
    <w:p>
      <w:pPr>
        <w:pStyle w:val="BodyText"/>
      </w:pPr>
      <w:r>
        <w:rPr>
          <w:b/>
          <w:bCs/>
          <w:lang w:val="de"/>
        </w:rPr>
        <w:t xml:space="preserve">Gefährlich</w:t>
      </w:r>
      <w:r>
        <w:rPr>
          <w:lang w:val="de"/>
        </w:rPr>
        <w:t xml:space="preserve">, weil eine erfundene Regel nicht auffällt. Ein falscher Leistungsbereich erzeugt eine Datei, die sich übersetzt, prüft, versendet — und erst Wochen später von der Kasse zurückkommt.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Der Übersetzer fängt hier nichts, die Tests fangen nur, was jemand als Erwartung hingeschrieben hat.</w:t>
      </w:r>
      <w:r>
        <w:rPr>
          <w:lang w:val="de"/>
        </w:rPr>
        <w:t xml:space="preserve"> </w:t>
      </w:r>
      <w:r>
        <w:rPr>
          <w:lang w:val="de"/>
        </w:rPr>
        <w:t xml:space="preserve">Genau so sind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HEB260907…</w:t>
      </w:r>
      <w:r>
        <w:rPr>
          <w:lang w:val="de"/>
        </w:rPr>
        <w:t xml:space="preserve"> </w:t>
      </w:r>
      <w:r>
        <w:rPr>
          <w:lang w:val="de"/>
        </w:rPr>
        <w:t xml:space="preserve">und die neunstellige Positionsnummer entstanden: aus einer Beispieldatei übernommen, nie gegen die Vorgabe gehalten.</w:t>
      </w:r>
    </w:p>
    <w:bookmarkEnd w:id="46"/>
    <w:bookmarkStart w:id="47" w:name="was-schon-spezifikationsartig-ist"/>
    <w:p>
      <w:pPr>
        <w:pStyle w:val="Heading2"/>
      </w:pPr>
      <w:r>
        <w:rPr>
          <w:lang w:val="de"/>
        </w:rPr>
        <w:t xml:space="preserve">Was schon spezifikationsartig 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Vorhandenes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es leistet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Fünf Skills unter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.claude/skills/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Fachwissen, Architekturregeln, wo was hingehört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segments/*.json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Feldarten, Längen, Erklärungen der DTA-Segmente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codes/*.json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Schlüsselwerte mit Herkunft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Information/Valide.DTA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ausführbare Messlatte: muss unbeanstandet durchlaufen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Testkonventionen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deutsche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@DisplayName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in ganzen Sätzen — lesbar als Anforderung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Naechste_Schritte.md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Merksätze und Fallstricke als Erfahrungsspeicher</w:t>
            </w:r>
          </w:p>
        </w:tc>
      </w:tr>
    </w:tbl>
    <w:p>
      <w:pPr>
        <w:pStyle w:val="BodyText"/>
      </w:pPr>
      <w:r>
        <w:rPr>
          <w:lang w:val="de"/>
        </w:rPr>
        <w:t xml:space="preserve">Das ist eine gute Grundlage. Es fehlt die Verbindung zwischen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Vorgabe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Code</w:t>
      </w:r>
      <w:r>
        <w:rPr>
          <w:lang w:val="de"/>
        </w:rPr>
        <w:t xml:space="preserve">.</w:t>
      </w:r>
    </w:p>
    <w:bookmarkEnd w:id="47"/>
    <w:bookmarkStart w:id="48" w:name="X41d6d0735727f016fe962267e39292eb30cbe24"/>
    <w:p>
      <w:pPr>
        <w:pStyle w:val="Heading2"/>
      </w:pPr>
      <w:r>
        <w:rPr>
          <w:lang w:val="de"/>
        </w:rPr>
        <w:t xml:space="preserve">Was fehlt: die Fundstelle als Pflichtangabe</w:t>
      </w:r>
    </w:p>
    <w:p>
      <w:pPr>
        <w:pStyle w:val="FirstParagraph"/>
      </w:pPr>
      <w:r>
        <w:rPr>
          <w:b/>
          <w:bCs/>
          <w:lang w:val="de"/>
        </w:rPr>
        <w:t xml:space="preserve">Der eine Baustein, der am meisten trägt.</w:t>
      </w:r>
      <w:r>
        <w:rPr>
          <w:lang w:val="de"/>
        </w:rPr>
        <w:t xml:space="preserve"> </w:t>
      </w:r>
      <w:r>
        <w:rPr>
          <w:lang w:val="de"/>
        </w:rPr>
        <w:t xml:space="preserve">Jede Regel, jeder Schlüsselwert, jedes Format zeigt auf Anlage und Abschnitt — maschinenlesbar, nicht nur im Fließtext eines Kommentars.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"sammelgruppe"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"fundstelle"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"dokument"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"Anlage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"abschnitt"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"8.1.5"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de"/>
        </w:rPr>
        <w:t xml:space="preserve">Damit wird zweierlei möglich, das heute nicht geht: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Änderung der Vorgabe lässt sich auf die betroffenen Stellen abbilden</w:t>
      </w:r>
      <w:r>
        <w:rPr>
          <w:lang w:val="de"/>
        </w:rPr>
        <w:t xml:space="preserve"> </w:t>
      </w:r>
      <w:r>
        <w:rPr>
          <w:lang w:val="de"/>
        </w:rPr>
        <w:t xml:space="preserve">— bei einer neuen Anlage 3 zeigt eine Abfrage, was zu prüfen ist. Und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Regel ohne Fundstelle fällt auf</w:t>
      </w:r>
      <w:r>
        <w:rPr>
          <w:lang w:val="de"/>
        </w:rPr>
        <w:t xml:space="preserve">, statt sich als Vermutung zu tarnen.</w:t>
      </w:r>
    </w:p>
    <w:bookmarkEnd w:id="48"/>
    <w:bookmarkStart w:id="49" w:name="der-arbeitszyklus"/>
    <w:p>
      <w:pPr>
        <w:pStyle w:val="Heading2"/>
      </w:pPr>
      <w:r>
        <w:rPr>
          <w:lang w:val="de"/>
        </w:rPr>
        <w:t xml:space="preserve">Der Arbeitszyklus</w:t>
      </w:r>
    </w:p>
    <w:p>
      <w:pPr>
        <w:pStyle w:val="SourceCode"/>
      </w:pPr>
      <w:r>
        <w:rPr>
          <w:rStyle w:val="VerbatimChar"/>
          <w:lang w:val="de"/>
        </w:rPr>
        <w:t xml:space="preserve">Spezifikation ──&gt; Plan ──&gt; Umsetzung ──&gt; Nachweis ──&gt; Übergabe</w:t>
      </w:r>
      <w:r>
        <w:br/>
      </w:r>
      <w:r>
        <w:rPr>
          <w:rStyle w:val="VerbatimChar"/>
          <w:lang w:val="de"/>
        </w:rPr>
        <w:t xml:space="preserve">     │              │           │            │            │</w:t>
      </w:r>
      <w:r>
        <w:br/>
      </w:r>
      <w:r>
        <w:rPr>
          <w:rStyle w:val="VerbatimChar"/>
          <w:lang w:val="de"/>
        </w:rPr>
        <w:t xml:space="preserve">  Was und        Reihen-     Code +      Test grün,   Merksatz,</w:t>
      </w:r>
      <w:r>
        <w:br/>
      </w:r>
      <w:r>
        <w:rPr>
          <w:rStyle w:val="VerbatimChar"/>
          <w:lang w:val="de"/>
        </w:rPr>
        <w:t xml:space="preserve">  woher          folge       Tests       Gegenprobe   falls gelernt</w:t>
      </w:r>
      <w:r>
        <w:br/>
      </w:r>
      <w:r>
        <w:rPr>
          <w:rStyle w:val="VerbatimChar"/>
          <w:lang w:val="de"/>
        </w:rPr>
        <w:t xml:space="preserve">     │</w:t>
      </w:r>
      <w:r>
        <w:br/>
      </w:r>
      <w:r>
        <w:rPr>
          <w:rStyle w:val="VerbatimChar"/>
          <w:lang w:val="de"/>
        </w:rPr>
        <w:t xml:space="preserve">  Fundstelle ist Pflicht</w:t>
      </w:r>
    </w:p>
    <w:p>
      <w:pPr>
        <w:pStyle w:val="FirstParagraph"/>
      </w:pPr>
      <w:r>
        <w:rPr>
          <w:b/>
          <w:bCs/>
          <w:lang w:val="de"/>
        </w:rPr>
        <w:t xml:space="preserve">Der Nachweis ist mehr als „Tests grün”.</w:t>
      </w:r>
      <w:r>
        <w:rPr>
          <w:lang w:val="de"/>
        </w:rPr>
        <w:t xml:space="preserve"> </w:t>
      </w:r>
      <w:r>
        <w:rPr>
          <w:lang w:val="de"/>
        </w:rPr>
        <w:t xml:space="preserve">Zu jeder Verhaltensänderung gehört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Gegenprobe</w:t>
      </w:r>
      <w:r>
        <w:rPr>
          <w:lang w:val="de"/>
        </w:rPr>
        <w:t xml:space="preserve">: ein Test, der ohne die Änderung fehlschlägt. Ein Test, der in beiden Fassungen besteht, prüft nichts — dieser Fall ist in diesem Projekt bereits vorgekommen.</w:t>
      </w:r>
    </w:p>
    <w:bookmarkEnd w:id="49"/>
    <w:bookmarkStart w:id="50" w:name="vorlage-für-eine-spezifikation"/>
    <w:p>
      <w:pPr>
        <w:pStyle w:val="Heading2"/>
      </w:pPr>
      <w:r>
        <w:rPr>
          <w:lang w:val="de"/>
        </w:rPr>
        <w:t xml:space="preserve">Vorlage für eine Spezifikation</w:t>
      </w:r>
    </w:p>
    <w:p>
      <w:pPr>
        <w:pStyle w:val="FirstParagraph"/>
      </w:pPr>
      <w:r>
        <w:rPr>
          <w:lang w:val="de"/>
        </w:rPr>
        <w:t xml:space="preserve">Abzulegen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Information/spezifikationen/&lt;kurzname&gt;.md</w:t>
      </w:r>
      <w:r>
        <w:rPr>
          <w:lang w:val="de"/>
        </w:rPr>
        <w:t xml:space="preserve">, eine je Arbeitspaket:</w:t>
      </w:r>
    </w:p>
    <w:p>
      <w:pPr>
        <w:pStyle w:val="SourceCode"/>
      </w:pPr>
      <w:r>
        <w:rPr>
          <w:rStyle w:val="FunctionTok"/>
        </w:rPr>
        <w:t xml:space="preserve"># &lt;Kurzname&gt;</w:t>
      </w:r>
      <w:r>
        <w:br/>
      </w:r>
      <w:r>
        <w:br/>
      </w:r>
      <w:r>
        <w:rPr>
          <w:rStyle w:val="FunctionTok"/>
        </w:rPr>
        <w:t xml:space="preserve">## Ziel</w:t>
      </w:r>
      <w:r>
        <w:br/>
      </w:r>
      <w:r>
        <w:rPr>
          <w:rStyle w:val="NormalTok"/>
        </w:rPr>
        <w:t xml:space="preserve">Ein Satz. Was kann jemand danach, was vorher nicht ging?</w:t>
      </w:r>
      <w:r>
        <w:br/>
      </w:r>
      <w:r>
        <w:br/>
      </w:r>
      <w:r>
        <w:rPr>
          <w:rStyle w:val="FunctionTok"/>
        </w:rPr>
        <w:t xml:space="preserve">## Fundstelle</w:t>
      </w:r>
      <w:r>
        <w:br/>
      </w:r>
      <w:r>
        <w:rPr>
          <w:rStyle w:val="NormalTok"/>
        </w:rPr>
        <w:t xml:space="preserve">Anlage 1, Abschnitt 5.4 — wörtliches Zitat der maßgeblichen Stelle.</w:t>
      </w:r>
      <w:r>
        <w:br/>
      </w:r>
      <w:r>
        <w:rPr>
          <w:rStyle w:val="NormalTok"/>
        </w:rPr>
        <w:t xml:space="preserve">Ohne Fundstelle keine Spezifikation.</w:t>
      </w:r>
      <w:r>
        <w:br/>
      </w:r>
      <w:r>
        <w:br/>
      </w:r>
      <w:r>
        <w:rPr>
          <w:rStyle w:val="FunctionTok"/>
        </w:rPr>
        <w:t xml:space="preserve">## Beispiel</w:t>
      </w:r>
      <w:r>
        <w:br/>
      </w:r>
      <w:r>
        <w:rPr>
          <w:rStyle w:val="NormalTok"/>
        </w:rPr>
        <w:t xml:space="preserve">Eingabe  → Ausgabe, konkret und nachrechenbar.</w:t>
      </w:r>
      <w:r>
        <w:br/>
      </w:r>
      <w:r>
        <w:br/>
      </w:r>
      <w:r>
        <w:rPr>
          <w:rStyle w:val="FunctionTok"/>
        </w:rPr>
        <w:t xml:space="preserve">## Abnahmekriterien</w:t>
      </w:r>
      <w:r>
        <w:br/>
      </w:r>
      <w:r>
        <w:rPr>
          <w:rStyle w:val="NormalTok"/>
        </w:rPr>
        <w:t xml:space="preserve">Als Testnamen formuliert, deutsch, ganze Sätze: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"Der Leistungsbereich folgt dem Abrechnungscode und nicht einem Festwert"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"Ein unbekannter Abrechnungscode fällt auf J und nicht auf einen fremden Bereich"</w:t>
      </w:r>
      <w:r>
        <w:br/>
      </w:r>
      <w:r>
        <w:br/>
      </w:r>
      <w:r>
        <w:rPr>
          <w:rStyle w:val="FunctionTok"/>
        </w:rPr>
        <w:t xml:space="preserve">## Nicht-Ziele</w:t>
      </w:r>
      <w:r>
        <w:br/>
      </w:r>
      <w:r>
        <w:rPr>
          <w:rStyle w:val="NormalTok"/>
        </w:rPr>
        <w:t xml:space="preserve">Was ausdrücklich nicht dazugehört — verhindert Ausufern.</w:t>
      </w:r>
      <w:r>
        <w:br/>
      </w:r>
      <w:r>
        <w:br/>
      </w:r>
      <w:r>
        <w:rPr>
          <w:rStyle w:val="FunctionTok"/>
        </w:rPr>
        <w:t xml:space="preserve">## Gegenprobe</w:t>
      </w:r>
      <w:r>
        <w:br/>
      </w:r>
      <w:r>
        <w:rPr>
          <w:rStyle w:val="NormalTok"/>
        </w:rPr>
        <w:t xml:space="preserve">Welcher Test schlägt fehl, wenn die Änderung fehlt?</w:t>
      </w:r>
    </w:p>
    <w:bookmarkEnd w:id="50"/>
    <w:bookmarkStart w:id="51" w:name="was-ein-agent-hier-wissen-muss"/>
    <w:p>
      <w:pPr>
        <w:pStyle w:val="Heading2"/>
      </w:pPr>
      <w:r>
        <w:rPr>
          <w:lang w:val="de"/>
        </w:rPr>
        <w:t xml:space="preserve">Was ein Agent hier wissen muss</w:t>
      </w:r>
    </w:p>
    <w:p>
      <w:pPr>
        <w:pStyle w:val="FirstParagraph"/>
      </w:pPr>
      <w:r>
        <w:rPr>
          <w:lang w:val="de"/>
        </w:rPr>
        <w:t xml:space="preserve">Diese Punkte kosten sonst jedes Mal Zeit; sie stehen ausführlich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Naechste_Schritte.md</w:t>
      </w:r>
      <w:r>
        <w:rPr>
          <w:lang w:val="de"/>
        </w:rP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de"/>
        </w:rPr>
        <w:t xml:space="preserve">mvn install -DskipTests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nach jeder Änderung an</w:t>
      </w:r>
      <w:r>
        <w:rPr>
          <w:b/>
          <w:bCs/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— sonst läuft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gkv-ui</w:t>
      </w:r>
      <w:r>
        <w:rPr>
          <w:lang w:val="de"/>
        </w:rPr>
        <w:t xml:space="preserve"> </w:t>
      </w:r>
      <w:r>
        <w:rPr>
          <w:lang w:val="de"/>
        </w:rPr>
        <w:t xml:space="preserve">gegen ein altes Jar.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de"/>
        </w:rPr>
        <w:t xml:space="preserve">mvn clean test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vor dem Urteil</w:t>
      </w:r>
      <w:r>
        <w:rPr>
          <w:lang w:val="de"/>
        </w:rPr>
        <w:t xml:space="preserve"> </w:t>
      </w:r>
      <w:r>
        <w:rPr>
          <w:lang w:val="de"/>
        </w:rPr>
        <w:t xml:space="preserve">— inkrementelle Läufe können grün lügen.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de"/>
        </w:rPr>
        <w:t xml:space="preserve">gkv.home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 Werkzeugen setzen</w:t>
      </w:r>
      <w:r>
        <w:rPr>
          <w:lang w:val="de"/>
        </w:rPr>
        <w:t xml:space="preserve">, nicht nur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gkv.db.path</w:t>
      </w:r>
      <w:r>
        <w:rPr>
          <w:lang w:val="de"/>
        </w:rPr>
        <w:t xml:space="preserve">. Sonst schreibt ein Testlauf in den echten Ausgangsordner — das ist einmal mit 98 Dateien passiert.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de"/>
        </w:rPr>
        <w:t xml:space="preserve">Kein</w:t>
      </w:r>
      <w:r>
        <w:rPr>
          <w:b/>
          <w:bCs/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setStyle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im Quelltext</w:t>
      </w:r>
      <w:r>
        <w:rPr>
          <w:lang w:val="de"/>
        </w:rPr>
        <w:t xml:space="preserve">, keine Dialogfenster, nichts Neues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View</w:t>
      </w:r>
      <w:r>
        <w:rPr>
          <w:lang w:val="de"/>
        </w:rP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de"/>
        </w:rPr>
        <w:t xml:space="preserve">IK in Testdaten brauchen eine gültige Prüfziffer.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de"/>
        </w:rPr>
        <w:t xml:space="preserve">Valide.DTA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muss unbeanstandet durchlaufen</w:t>
      </w:r>
      <w:r>
        <w:rPr>
          <w:lang w:val="de"/>
        </w:rPr>
        <w:t xml:space="preserve"> </w:t>
      </w:r>
      <w:r>
        <w:rPr>
          <w:lang w:val="de"/>
        </w:rPr>
        <w:t xml:space="preserve">— jeder Einzeltest verletzt danach genau eine Vorgabe.</w:t>
      </w:r>
    </w:p>
    <w:bookmarkEnd w:id="51"/>
    <w:bookmarkStart w:id="52" w:name="wann-fertig-fertig-ist"/>
    <w:p>
      <w:pPr>
        <w:pStyle w:val="Heading2"/>
      </w:pPr>
      <w:r>
        <w:rPr>
          <w:lang w:val="de"/>
        </w:rPr>
        <w:t xml:space="preserve">Wann fertig fertig ist</w:t>
      </w:r>
    </w:p>
    <w:p>
      <w:pPr>
        <w:pStyle w:val="FirstParagraph"/>
      </w:pPr>
      <w:r>
        <w:rPr>
          <w:lang w:val="de"/>
        </w:rPr>
        <w:t xml:space="preserve">Eine Aufgabe gilt als erledigt, wenn: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lang w:val="de"/>
        </w:rPr>
        <w:t xml:space="preserve">mvn clean test</w:t>
      </w:r>
      <w:r>
        <w:rPr>
          <w:lang w:val="de"/>
        </w:rPr>
        <w:t xml:space="preserve"> </w:t>
      </w:r>
      <w:r>
        <w:rPr>
          <w:lang w:val="de"/>
        </w:rPr>
        <w:t xml:space="preserve">grün ist — vollständig, nicht inkrementell,</w:t>
      </w:r>
    </w:p>
    <w:p>
      <w:pPr>
        <w:pStyle w:val="Compact"/>
        <w:numPr>
          <w:ilvl w:val="0"/>
          <w:numId w:val="1011"/>
        </w:numPr>
      </w:pPr>
      <w:r>
        <w:rPr>
          <w:lang w:val="de"/>
        </w:rPr>
        <w:t xml:space="preserve">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Gegenprobe</w:t>
      </w:r>
      <w:r>
        <w:rPr>
          <w:lang w:val="de"/>
        </w:rPr>
        <w:t xml:space="preserve"> </w:t>
      </w:r>
      <w:r>
        <w:rPr>
          <w:lang w:val="de"/>
        </w:rPr>
        <w:t xml:space="preserve">zeigt, dass der neue Test die Änderung wirklich prüft,</w:t>
      </w:r>
    </w:p>
    <w:p>
      <w:pPr>
        <w:pStyle w:val="Compact"/>
        <w:numPr>
          <w:ilvl w:val="0"/>
          <w:numId w:val="1011"/>
        </w:numPr>
      </w:pPr>
      <w:r>
        <w:rPr>
          <w:lang w:val="de"/>
        </w:rPr>
        <w:t xml:space="preserve">jede neue Regel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Fundstelle</w:t>
      </w:r>
      <w:r>
        <w:rPr>
          <w:lang w:val="de"/>
        </w:rPr>
        <w:t xml:space="preserve"> </w:t>
      </w:r>
      <w:r>
        <w:rPr>
          <w:lang w:val="de"/>
        </w:rPr>
        <w:t xml:space="preserve">nennt,</w:t>
      </w:r>
    </w:p>
    <w:p>
      <w:pPr>
        <w:pStyle w:val="Compact"/>
        <w:numPr>
          <w:ilvl w:val="0"/>
          <w:numId w:val="1011"/>
        </w:numPr>
      </w:pPr>
      <w:r>
        <w:rPr>
          <w:lang w:val="de"/>
        </w:rPr>
        <w:t xml:space="preserve">Checkstyle nicht mehr Warnungen meldet als vorher,</w:t>
      </w:r>
    </w:p>
    <w:p>
      <w:pPr>
        <w:pStyle w:val="Compact"/>
        <w:numPr>
          <w:ilvl w:val="0"/>
          <w:numId w:val="1011"/>
        </w:numPr>
      </w:pPr>
      <w:r>
        <w:rPr>
          <w:lang w:val="de"/>
        </w:rPr>
        <w:t xml:space="preserve">die Dokumentation die Änderung trägt — und bei Oberflächenarbeit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Vorschau</w:t>
      </w:r>
      <w:r>
        <w:rPr>
          <w:lang w:val="de"/>
        </w:rPr>
        <w:t xml:space="preserve"> </w:t>
      </w:r>
      <w:r>
        <w:rPr>
          <w:lang w:val="de"/>
        </w:rPr>
        <w:t xml:space="preserve">angesehen wurde, in beiden Fassungen.</w:t>
      </w:r>
    </w:p>
    <w:p>
      <w:pPr>
        <w:pStyle w:val="FirstParagraph"/>
      </w:pPr>
      <w:r>
        <w:rPr>
          <w:lang w:val="de"/>
        </w:rPr>
        <w:t xml:space="preserve">Punkt 5 ist nicht Formsache: der Dunkelmodus hatte zwei Fehler, die kein Test gefunden hat und das erste Bild sofort zeigte.</w:t>
      </w:r>
    </w:p>
    <w:bookmarkEnd w:id="52"/>
    <w:bookmarkEnd w:id="53"/>
    <w:bookmarkStart w:id="58" w:name="teil-5-zukunftspläne"/>
    <w:p>
      <w:pPr>
        <w:pStyle w:val="Heading1"/>
      </w:pPr>
      <w:r>
        <w:rPr>
          <w:lang w:val="de"/>
        </w:rPr>
        <w:t xml:space="preserve">Teil 5 — Zukunftspläne</w:t>
      </w:r>
    </w:p>
    <w:bookmarkStart w:id="54" w:name="als-nächstes-wenn-der-echtbetrieb-läuft"/>
    <w:p>
      <w:pPr>
        <w:pStyle w:val="Heading2"/>
      </w:pPr>
      <w:r>
        <w:rPr>
          <w:lang w:val="de"/>
        </w:rPr>
        <w:t xml:space="preserve">Als Nächstes, wenn der Echtbetrieb läuft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Vorhaben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Größe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Stornierung und Nachberechnung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sobald real abgerechnet wird, unvermeidlich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Sammelrechnung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mehrere Einzelrechnungen unter einem Kostenträger-IK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Echte Rechnungsnummern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heute steht fest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REC+00000000:0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Positionsnummernverzeichnis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macht aus der Formprüfung eine fachliche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</w:tbl>
    <w:bookmarkEnd w:id="54"/>
    <w:bookmarkStart w:id="55" w:name="datensicherheit"/>
    <w:p>
      <w:pPr>
        <w:pStyle w:val="Heading2"/>
      </w:pPr>
      <w:r>
        <w:rPr>
          <w:lang w:val="de"/>
        </w:rPr>
        <w:t xml:space="preserve">Datensicherheit</w:t>
      </w:r>
    </w:p>
    <w:p>
      <w:pPr>
        <w:pStyle w:val="FirstParagraph"/>
      </w:pPr>
      <w:r>
        <w:rPr>
          <w:lang w:val="de"/>
        </w:rPr>
        <w:t xml:space="preserve">Nach Wirkung geordnet, nicht nach Aufwand: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de"/>
        </w:rPr>
        <w:t xml:space="preserve">Festplattenverschlüsselung auf dem Arbeitsgerät</w:t>
      </w:r>
      <w:r>
        <w:rPr>
          <w:lang w:val="de"/>
        </w:rPr>
        <w:t xml:space="preserve"> </w:t>
      </w:r>
      <w:r>
        <w:rPr>
          <w:lang w:val="de"/>
        </w:rPr>
        <w:t xml:space="preserve">— deckt den häufigsten realen Fall ab (Verlust, Diebstahl) und kostet keine Zeile Quelltext.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Zuerst</w:t>
      </w:r>
      <w:r>
        <w:rPr>
          <w:lang w:val="de"/>
        </w:rPr>
        <w:t xml:space="preserve"> </w:t>
      </w:r>
      <w:r>
        <w:rPr>
          <w:lang w:val="de"/>
        </w:rPr>
        <w:t xml:space="preserve">— und spätestens, bevor mit 1.7 eine Kontoverbindung in die unverschlüsselte Datenbank kommt.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de"/>
        </w:rPr>
        <w:t xml:space="preserve">Sicherung und Aufbewahrungsfristen</w:t>
      </w:r>
      <w:r>
        <w:rPr>
          <w:lang w:val="de"/>
        </w:rPr>
        <w:t xml:space="preserve"> </w:t>
      </w:r>
      <w:r>
        <w:rPr>
          <w:lang w:val="de"/>
        </w:rPr>
        <w:t xml:space="preserve">— was wann gelöscht werden darf und muss.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de"/>
        </w:rPr>
        <w:t xml:space="preserve">Datenbankverschlüsselung</w:t>
      </w:r>
      <w:r>
        <w:rPr>
          <w:lang w:val="de"/>
        </w:rPr>
        <w:t xml:space="preserve"> </w:t>
      </w:r>
      <w:r>
        <w:rPr>
          <w:lang w:val="de"/>
        </w:rPr>
        <w:t xml:space="preserve">— der kleinere Gewinn, solange Punkt 1 fehlt.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de"/>
        </w:rPr>
        <w:t xml:space="preserve">Anmeldung und Zugriffsprotokoll</w:t>
      </w:r>
      <w:r>
        <w:rPr>
          <w:lang w:val="de"/>
        </w:rPr>
        <w:t xml:space="preserve"> </w:t>
      </w:r>
      <w:r>
        <w:rPr>
          <w:lang w:val="de"/>
        </w:rPr>
        <w:t xml:space="preserve">— erst sinnvoll, wenn mehr als eine Person arbeitet.</w:t>
      </w:r>
    </w:p>
    <w:p>
      <w:pPr>
        <w:pStyle w:val="FirstParagraph"/>
      </w:pPr>
      <w:r>
        <w:rPr>
          <w:lang w:val="de"/>
        </w:rPr>
        <w:t xml:space="preserve">Sobald echte Zugangsdaten dazukommen: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in die Datenbank</w:t>
      </w:r>
      <w:r>
        <w:rPr>
          <w:lang w:val="de"/>
        </w:rPr>
        <w:t xml:space="preserve">, sondern in den Anmeldeinformationsspeicher des Betriebssystems.</w:t>
      </w:r>
    </w:p>
    <w:bookmarkEnd w:id="55"/>
    <w:bookmarkStart w:id="56" w:name="weiter-draußen"/>
    <w:p>
      <w:pPr>
        <w:pStyle w:val="Heading2"/>
      </w:pPr>
      <w:r>
        <w:rPr>
          <w:lang w:val="de"/>
        </w:rPr>
        <w:t xml:space="preserve">Weiter draußen</w:t>
      </w:r>
    </w:p>
    <w:p>
      <w:pPr>
        <w:pStyle w:val="FirstParagraph"/>
      </w:pPr>
      <w:r>
        <w:rPr>
          <w:b/>
          <w:bCs/>
          <w:lang w:val="de"/>
        </w:rPr>
        <w:t xml:space="preserve">KIM statt E-Mail.</w:t>
      </w:r>
      <w:r>
        <w:rPr>
          <w:lang w:val="de"/>
        </w:rPr>
        <w:t xml:space="preserve"> </w:t>
      </w:r>
      <w:r>
        <w:rPr>
          <w:lang w:val="de"/>
        </w:rPr>
        <w:t xml:space="preserve">Wird KIM verwendet, entfallen Krankenkassenkommunikationssystem, Auftragsdatei und SECON — drei der aufwendigsten Bausteine (GGT Anlage 20). Heute veröffentlicht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</w:t>
      </w:r>
      <w:r>
        <w:rPr>
          <w:lang w:val="de"/>
        </w:rPr>
        <w:t xml:space="preserve"> </w:t>
      </w:r>
      <w:r>
        <w:rPr>
          <w:lang w:val="de"/>
        </w:rPr>
        <w:t xml:space="preserve">Annahmestelle für Sonstige Leistungserbringer eine KIM-Adresse; der DFÜ-Schlüssel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080</w:t>
      </w:r>
      <w:r>
        <w:rPr>
          <w:lang w:val="de"/>
        </w:rPr>
        <w:t xml:space="preserve"> </w:t>
      </w:r>
      <w:r>
        <w:rPr>
          <w:lang w:val="de"/>
        </w:rPr>
        <w:t xml:space="preserve">ist aber vorgesehen.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Beim Quartalswechsel lohnt der Blick in die Kostenträgerdatei.</w:t>
      </w:r>
      <w:r>
        <w:rPr>
          <w:lang w:val="de"/>
        </w:rPr>
        <w:t xml:space="preserve"> </w:t>
      </w:r>
      <w:r>
        <w:rPr>
          <w:lang w:val="de"/>
        </w:rPr>
        <w:t xml:space="preserve">Sobald dort eine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080</w:t>
      </w:r>
      <w:r>
        <w:rPr>
          <w:lang w:val="de"/>
        </w:rPr>
        <w:t xml:space="preserve"> </w:t>
      </w:r>
      <w:r>
        <w:rPr>
          <w:lang w:val="de"/>
        </w:rPr>
        <w:t xml:space="preserve">auftaucht, ändert sich die Rechnung: die Bausteine 1.6 und 2.2 wären dann nicht mehr nötig, dafür ein TI-Anschluss mit SMC-B und laufenden Kosten.</w:t>
      </w:r>
    </w:p>
    <w:p>
      <w:pPr>
        <w:pStyle w:val="BodyText"/>
      </w:pPr>
      <w:r>
        <w:rPr>
          <w:b/>
          <w:bCs/>
          <w:lang w:val="de"/>
        </w:rPr>
        <w:t xml:space="preserve">Weitere Leistungsbereiche.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Leistungsbereich</w:t>
      </w:r>
      <w:r>
        <w:rPr>
          <w:lang w:val="de"/>
        </w:rPr>
        <w:t xml:space="preserve"> </w:t>
      </w:r>
      <w:r>
        <w:rPr>
          <w:lang w:val="de"/>
        </w:rPr>
        <w:t xml:space="preserve">kennt bereits alle Sammelgruppenschlüssel aus Anlage 3; es fehlen nur Einträge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codes/abrechnungscodes.json</w:t>
      </w:r>
      <w:r>
        <w:rPr>
          <w:lang w:val="de"/>
        </w:rPr>
        <w:t xml:space="preserve">. Der Schritt ist klein, sobald jemand ihn braucht.</w:t>
      </w:r>
    </w:p>
    <w:p>
      <w:pPr>
        <w:pStyle w:val="BodyText"/>
      </w:pPr>
      <w:r>
        <w:rPr>
          <w:b/>
          <w:bCs/>
          <w:lang w:val="de"/>
        </w:rPr>
        <w:t xml:space="preserve">Automatische Abrechnung</w:t>
      </w:r>
      <w:r>
        <w:rPr>
          <w:lang w:val="de"/>
        </w:rPr>
        <w:t xml:space="preserve"> </w:t>
      </w:r>
      <w:r>
        <w:rPr>
          <w:lang w:val="de"/>
        </w:rPr>
        <w:t xml:space="preserve">(monatlich, ohne Anstoß) — zurückgestellt. Erst soll der Weg von Hand verlässlich sein. Ein automatischer Lauf, der Forderungen an Krankenkassen stellt, ohne dass jemand hinsieht, ist die falsche Reihenfolge.</w:t>
      </w:r>
    </w:p>
    <w:bookmarkEnd w:id="56"/>
    <w:bookmarkStart w:id="57" w:name="was-bewusst-nicht-geplant-ist"/>
    <w:p>
      <w:pPr>
        <w:pStyle w:val="Heading2"/>
      </w:pPr>
      <w:r>
        <w:rPr>
          <w:lang w:val="de"/>
        </w:rPr>
        <w:t xml:space="preserve">Was bewusst nicht geplant 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de"/>
        </w:rPr>
        <w:t xml:space="preserve">Mehrbenutzerbetrieb.</w:t>
      </w:r>
      <w:r>
        <w:rPr>
          <w:lang w:val="de"/>
        </w:rPr>
        <w:t xml:space="preserve"> </w:t>
      </w:r>
      <w:r>
        <w:rPr>
          <w:lang w:val="de"/>
        </w:rPr>
        <w:t xml:space="preserve">SQLite lässt einen Schreiber zu; das reicht für eine Praxis und ist eine bewusste Grenze.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de"/>
        </w:rPr>
        <w:t xml:space="preserve">Privatabrechnung.</w:t>
      </w:r>
      <w:r>
        <w:rPr>
          <w:lang w:val="de"/>
        </w:rPr>
        <w:t xml:space="preserve"> </w:t>
      </w:r>
      <w:r>
        <w:rPr>
          <w:lang w:val="de"/>
        </w:rPr>
        <w:t xml:space="preserve">Ein anderes Verfahren mit eigenen Regeln.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de"/>
        </w:rPr>
        <w:t xml:space="preserve">Eine Weboberfläche.</w:t>
      </w:r>
      <w:r>
        <w:rPr>
          <w:lang w:val="de"/>
        </w:rPr>
        <w:t xml:space="preserve"> </w:t>
      </w:r>
      <w:r>
        <w:rPr>
          <w:lang w:val="de"/>
        </w:rPr>
        <w:t xml:space="preserve">Die Daten liegen beim Benutzer, und das ist ein Vorzug, kein Mangel.</w:t>
      </w:r>
    </w:p>
    <w:bookmarkEnd w:id="57"/>
    <w:bookmarkEnd w:id="58"/>
    <w:bookmarkStart w:id="59" w:name="anhang-woher-die-angaben-stammen"/>
    <w:p>
      <w:pPr>
        <w:pStyle w:val="Heading1"/>
      </w:pPr>
      <w:r>
        <w:rPr>
          <w:lang w:val="de"/>
        </w:rPr>
        <w:t xml:space="preserve">Anhang — Woher die Angaben stammen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Aussage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Fundstelle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 ist die Datenannahmestelle je Kassenart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Abschnitte 3 und 5.3.1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Testindikator 0 / 1 / 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5.4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Leistungsbereich = Sammelgruppenschlüssel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5.4; Anlage 3, Abschnitt 8.1.14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Abrechnungscode 50 = Hebamme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3, Abschnitt 8.1.5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 Hebammenhilfe 4–5 Stellen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3, Abschnitt 8.2.6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Verarbeitungskennzeichen 01/02/03/04/10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3, Abschnitt 8.1.7; Anwendbarkeit in Anlage 1, Abschnitt 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Logischer Dateiname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Anhang 1, Abschnitt 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Physikalischer Dateiname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Anhang 1, Abschnitt 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Dokumentation, zwei Jahre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3 Abs. 2; Anhang 1, Abschnitt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Sicherungskopie bis zur Bezahlung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3 Abs.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Erprobung vorgeschrieben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Test- und Erprobungsverfahren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Anhang 2, Abschnitte 3 bis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Kostenträgerdatei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Anhang 3, Abschnitte 5 und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 Bankverbindung in der Nutzdatendatei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5.5 — kein Segment und kein Feld dafür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Auftragsdatei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GGT Anlage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KIM ersetzt KKS, Auftragsdatei, SECON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GGT Anlage 20, Abschnitt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Zertifikat: Preis, Gültigkeit, je 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ITSG Trust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IK gebührenfrei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ARGE·IK</w:t>
            </w:r>
          </w:p>
        </w:tc>
      </w:tr>
    </w:tbl>
    <w:p>
      <w:pPr>
        <w:pStyle w:val="BodyText"/>
      </w:pPr>
      <w:r>
        <w:rPr>
          <w:lang w:val="de"/>
        </w:rPr>
        <w:t xml:space="preserve">Alle Dokumente liegen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</w:t>
      </w:r>
      <w:r>
        <w:rPr>
          <w:lang w:val="de"/>
        </w:rPr>
        <w:t xml:space="preserve"> </w:t>
      </w:r>
      <w:r>
        <w:rPr>
          <w:lang w:val="de"/>
        </w:rPr>
        <w:t xml:space="preserve">oder sind dort verlinkt.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 eine Angabe ändert, ändert auch die Fundstelle</w:t>
      </w:r>
      <w:r>
        <w:rPr>
          <w:lang w:val="de"/>
        </w:rPr>
        <w:t xml:space="preserve"> </w:t>
      </w:r>
      <w:r>
        <w:rPr>
          <w:lang w:val="de"/>
        </w:rPr>
        <w:t xml:space="preserve">— oder stellt fest, dass er keine hat.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Umsetzungsplan</dc:title>
  <dc:creator/>
  <dc:language>de</dc:language>
  <cp:keywords/>
  <dcterms:created xsi:type="dcterms:W3CDTF">2026-09-07T20:43:16Z</dcterms:created>
  <dcterms:modified xsi:type="dcterms:W3CDTF">2026-09-07T20:43:16Z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7. September 2026</vt:lpwstr>
  </property>
  <property fmtid="{D5CDD505-2E9C-101B-9397-08002B2CF9AE}" pid="3" name="subtitle">
    <vt:lpwstr>Weg in den Echtbetrieb, Wartung, Fehlerbehebung und die Vorbereitung auf spezifikationsgetriebenes Arbeiten</vt:lpwstr>
  </property>
  <property fmtid="{D5CDD505-2E9C-101B-9397-08002B2CF9AE}" pid="4" name="toc-title">
    <vt:lpwstr>Inhaltsverzeichnis</vt:lpwstr>
  </property>
</Properties>
</file>