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5.png" ContentType="image/png"/>
  <Override PartName="/word/media/rId5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Leistungsposition</w:t>
            </w:r>
          </w:p>
        </w:tc>
        <w:tc>
          <w:tcPr/>
          <w:p>
            <w:pPr>
              <w:pStyle w:val="Compact"/>
            </w:pPr>
            <w:r>
              <w:rPr>
                <w:lang w:val="de-DE"/>
              </w:rPr>
              <w:t xml:space="preserve">Einzelbetrag und Menge einer Leistungszeile stehen nicht auf null</w:t>
            </w:r>
          </w:p>
        </w:tc>
      </w:tr>
      <w:tr>
        <w:tc>
          <w:tcPr/>
          <w:p>
            <w:pPr>
              <w:pStyle w:val="Compact"/>
            </w:pPr>
            <w:r>
              <w:rPr>
                <w:lang w:val="de-DE"/>
              </w:rPr>
              <w:t xml:space="preserve">Positionsnummer</w:t>
            </w:r>
          </w:p>
        </w:tc>
        <w:tc>
          <w:tcPr/>
          <w:p>
            <w:pPr>
              <w:pStyle w:val="Compact"/>
            </w:pPr>
            <w:r>
              <w:rPr>
                <w:lang w:val="de-DE"/>
              </w:rPr>
              <w:t xml:space="preserve">Länge der Abrechnungspositionsnummer passt zum Abrechnungscode</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 und Warnungen</w:t>
      </w:r>
      <w:r>
        <w:rPr>
          <w:lang w:val="de-DE"/>
        </w:rPr>
        <w:t xml:space="preserve"> </w:t>
      </w:r>
      <w:r>
        <w:rPr>
          <w:lang w:val="de-DE"/>
        </w:rPr>
        <w:t xml:space="preserve">verhindern nichts.</w:t>
      </w:r>
    </w:p>
    <w:p>
      <w:pPr>
        <w:pStyle w:val="BlockText"/>
      </w:pPr>
      <w:r>
        <w:rPr>
          <w:b/>
          <w:bCs/>
          <w:lang w:val="de-DE"/>
        </w:rPr>
        <w:t xml:space="preserve">Sie werden derzeit auch nicht angezeigt.</w:t>
      </w:r>
      <w:r>
        <w:rPr>
          <w:lang w:val="de-DE"/>
        </w:rPr>
        <w:t xml:space="preserve"> </w:t>
      </w:r>
      <w:r>
        <w:rPr>
          <w:lang w:val="de-DE"/>
        </w:rPr>
        <w:t xml:space="preserve">Der Prüfbericht erreicht die Oberfläche nur über die Ausnahme, die bei einem Fehler geworfen wird; ein Bericht ohne Fehler wird verworfen. Eine Warnung, die niemand sieht, ist keine Warnung — das ist die dringendste offene Lücke, siehe</w:t>
      </w:r>
      <w:r>
        <w:rPr>
          <w:lang w:val="de-DE"/>
        </w:rPr>
        <w:t xml:space="preserve"> </w:t>
      </w:r>
      <w:r>
        <w:rPr>
          <w:rStyle w:val="VerbatimChar"/>
          <w:lang w:val="de-DE"/>
        </w:rPr>
        <w:t xml:space="preserve">Naechste_Schritte.md</w:t>
      </w:r>
      <w:r>
        <w:rPr>
          <w:lang w:val="de-DE"/>
        </w:rPr>
        <w:t xml:space="preserve">, Abschnitt D.</w:t>
      </w:r>
    </w:p>
    <w:p>
      <w:pPr>
        <w:pStyle w:val="FirstParagraph"/>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30"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p>
      <w:pPr>
        <w:pStyle w:val="BlockText"/>
      </w:pPr>
      <w:r>
        <w:rPr>
          <w:b/>
          <w:bCs/>
          <w:lang w:val="de-DE"/>
        </w:rPr>
        <w:t xml:space="preserve">Für den echten Betrieb ist diese Zuordnung zu eng.</w:t>
      </w:r>
      <w:r>
        <w:rPr>
          <w:lang w:val="de-DE"/>
        </w:rPr>
        <w:t xml:space="preserve"> </w:t>
      </w:r>
      <w:r>
        <w:rPr>
          <w:lang w:val="de-DE"/>
        </w:rPr>
        <w:t xml:space="preserve">Empfänger einer Lieferung ist nicht die einzelne Krankenkasse, sondern die</w:t>
      </w:r>
      <w:r>
        <w:rPr>
          <w:lang w:val="de-DE"/>
        </w:rPr>
        <w:t xml:space="preserve"> </w:t>
      </w:r>
      <w:r>
        <w:rPr>
          <w:b/>
          <w:bCs/>
          <w:lang w:val="de-DE"/>
        </w:rPr>
        <w:t xml:space="preserve">Datenannahmestelle mit Entschlüsselungsbefugnis</w:t>
      </w:r>
      <w:r>
        <w:rPr>
          <w:lang w:val="de-DE"/>
        </w:rPr>
        <w:t xml:space="preserve"> </w:t>
      </w:r>
      <w:r>
        <w:rPr>
          <w:lang w:val="de-DE"/>
        </w:rPr>
        <w:t xml:space="preserve">ihrer Kassenart. Siehe „Der Weg zur Kasse”.</w:t>
      </w:r>
    </w:p>
    <w:bookmarkEnd w:id="26"/>
    <w:bookmarkStart w:id="27" w:name="art-der-erzeugten-dateien"/>
    <w:p>
      <w:pPr>
        <w:pStyle w:val="Heading2"/>
      </w:pPr>
      <w:r>
        <w:rPr>
          <w:lang w:val="de-DE"/>
        </w:rPr>
        <w:t xml:space="preserve">Art der erzeugten Dateien</w:t>
      </w:r>
    </w:p>
    <w:p>
      <w:pPr>
        <w:pStyle w:val="FirstParagraph"/>
      </w:pPr>
      <w:r>
        <w:rPr>
          <w:lang w:val="de-DE"/>
        </w:rPr>
        <w:t xml:space="preserve">Die letzte Stelle des</w:t>
      </w:r>
      <w:r>
        <w:rPr>
          <w:lang w:val="de-DE"/>
        </w:rPr>
        <w:t xml:space="preserve"> </w:t>
      </w:r>
      <w:r>
        <w:rPr>
          <w:rStyle w:val="VerbatimChar"/>
          <w:lang w:val="de-DE"/>
        </w:rPr>
        <w:t xml:space="preserve">UNB</w:t>
      </w:r>
      <w:r>
        <w:rPr>
          <w:lang w:val="de-DE"/>
        </w:rPr>
        <w:t xml:space="preserve">-Segments sagt, wofür sich eine Datei ausgibt: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Wert</w:t>
            </w:r>
          </w:p>
        </w:tc>
        <w:tc>
          <w:tcPr/>
          <w:p>
            <w:pPr>
              <w:pStyle w:val="Compact"/>
            </w:pPr>
            <w:r>
              <w:rPr>
                <w:lang w:val="de-DE"/>
              </w:rPr>
              <w:t xml:space="preserve">Bedeutung</w:t>
            </w:r>
          </w:p>
        </w:tc>
        <w:tc>
          <w:tcPr/>
          <w:p>
            <w:pPr>
              <w:pStyle w:val="Compact"/>
            </w:pPr>
            <w:r>
              <w:rPr>
                <w:lang w:val="de-DE"/>
              </w:rPr>
              <w:t xml:space="preserve">Folge</w:t>
            </w:r>
          </w:p>
        </w:tc>
      </w:tr>
      <w:tr>
        <w:tc>
          <w:tcPr/>
          <w:p>
            <w:pPr>
              <w:pStyle w:val="Compact"/>
            </w:pPr>
            <w:r>
              <w:rPr>
                <w:rStyle w:val="VerbatimChar"/>
                <w:lang w:val="de-DE"/>
              </w:rPr>
              <w:t xml:space="preserve">0</w:t>
            </w:r>
          </w:p>
        </w:tc>
        <w:tc>
          <w:tcPr/>
          <w:p>
            <w:pPr>
              <w:pStyle w:val="Compact"/>
            </w:pPr>
            <w:r>
              <w:rPr>
                <w:lang w:val="de-DE"/>
              </w:rPr>
              <w:t xml:space="preserve">Testdatei</w:t>
            </w:r>
          </w:p>
        </w:tc>
        <w:tc>
          <w:tcPr/>
          <w:p>
            <w:pPr>
              <w:pStyle w:val="Compact"/>
            </w:pPr>
            <w:r>
              <w:rPr>
                <w:lang w:val="de-DE"/>
              </w:rPr>
              <w:t xml:space="preserve">wird angenommen, aber nicht verarbeitet</w:t>
            </w:r>
          </w:p>
        </w:tc>
      </w:tr>
      <w:tr>
        <w:tc>
          <w:tcPr/>
          <w:p>
            <w:pPr>
              <w:pStyle w:val="Compact"/>
            </w:pPr>
            <w:r>
              <w:rPr>
                <w:rStyle w:val="VerbatimChar"/>
                <w:lang w:val="de-DE"/>
              </w:rPr>
              <w:t xml:space="preserve">1</w:t>
            </w:r>
          </w:p>
        </w:tc>
        <w:tc>
          <w:tcPr/>
          <w:p>
            <w:pPr>
              <w:pStyle w:val="Compact"/>
            </w:pPr>
            <w:r>
              <w:rPr>
                <w:lang w:val="de-DE"/>
              </w:rPr>
              <w:t xml:space="preserve">Erprobungsdatei</w:t>
            </w:r>
          </w:p>
        </w:tc>
        <w:tc>
          <w:tcPr/>
          <w:p>
            <w:pPr>
              <w:pStyle w:val="Compact"/>
            </w:pPr>
            <w:r>
              <w:rPr>
                <w:lang w:val="de-DE"/>
              </w:rPr>
              <w:t xml:space="preserve">wird verarbeitet und geprüft, aber</w:t>
            </w:r>
            <w:r>
              <w:rPr>
                <w:lang w:val="de-DE"/>
              </w:rPr>
              <w:t xml:space="preserve"> </w:t>
            </w:r>
            <w:r>
              <w:rPr>
                <w:b/>
                <w:bCs/>
                <w:lang w:val="de-DE"/>
              </w:rPr>
              <w:t xml:space="preserve">nicht bezahlt</w:t>
            </w:r>
          </w:p>
        </w:tc>
      </w:tr>
      <w:tr>
        <w:tc>
          <w:tcPr/>
          <w:p>
            <w:pPr>
              <w:pStyle w:val="Compact"/>
            </w:pPr>
            <w:r>
              <w:rPr>
                <w:rStyle w:val="VerbatimChar"/>
                <w:lang w:val="de-DE"/>
              </w:rPr>
              <w:t xml:space="preserve">2</w:t>
            </w:r>
          </w:p>
        </w:tc>
        <w:tc>
          <w:tcPr/>
          <w:p>
            <w:pPr>
              <w:pStyle w:val="Compact"/>
            </w:pPr>
            <w:r>
              <w:rPr>
                <w:lang w:val="de-DE"/>
              </w:rPr>
              <w:t xml:space="preserve">Echtdatei</w:t>
            </w:r>
          </w:p>
        </w:tc>
        <w:tc>
          <w:tcPr/>
          <w:p>
            <w:pPr>
              <w:pStyle w:val="Compact"/>
            </w:pPr>
            <w:r>
              <w:rPr>
                <w:lang w:val="de-DE"/>
              </w:rPr>
              <w:t xml:space="preserve">gilt als Forderung</w:t>
            </w:r>
          </w:p>
        </w:tc>
      </w:tr>
    </w:tbl>
    <w:p>
      <w:pPr>
        <w:pStyle w:val="BodyText"/>
      </w:pPr>
      <w:r>
        <w:rPr>
          <w:lang w:val="de-DE"/>
        </w:rPr>
        <w:t xml:space="preserve">Einstellbar unter „Einstellungen”; die Vorgabe ist</w:t>
      </w:r>
      <w:r>
        <w:rPr>
          <w:lang w:val="de-DE"/>
        </w:rPr>
        <w:t xml:space="preserve"> </w:t>
      </w:r>
      <w:r>
        <w:rPr>
          <w:b/>
          <w:bCs/>
          <w:lang w:val="de-DE"/>
        </w:rPr>
        <w:t xml:space="preserve">Erprobung</w:t>
      </w:r>
      <w:r>
        <w:rPr>
          <w:lang w:val="de-DE"/>
        </w:rPr>
        <w:t xml:space="preserve">. Das Programm wechselt nicht von selbst in den Echtbetrieb — auch dann nicht, wenn die Einstellungsdatei fehlt oder unlesbar ist.</w:t>
      </w:r>
    </w:p>
    <w:bookmarkEnd w:id="27"/>
    <w:bookmarkStart w:id="28"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8"/>
    <w:bookmarkStart w:id="29"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9"/>
    <w:bookmarkEnd w:id="30"/>
    <w:bookmarkStart w:id="58" w:name="der-weg-zur-kasse"/>
    <w:p>
      <w:pPr>
        <w:pStyle w:val="Heading1"/>
      </w:pPr>
      <w:r>
        <w:rPr>
          <w:lang w:val="de-DE"/>
        </w:rPr>
        <w:t xml:space="preserve">Der Weg zur Kasse</w:t>
      </w:r>
    </w:p>
    <w:p>
      <w:pPr>
        <w:pStyle w:val="FirstParagraph"/>
      </w:pPr>
      <w:r>
        <w:rPr>
          <w:lang w:val="de-DE"/>
        </w:rPr>
        <w:t xml:space="preserve">Dieses Kapitel beschreibt, wie eine Lieferung tatsächlich zur Krankenkasse gelangt, was davon das Programm leistet und was dafür noch fehlt.</w:t>
      </w:r>
    </w:p>
    <w:p>
      <w:pPr>
        <w:pStyle w:val="BodyText"/>
      </w:pPr>
      <w:r>
        <w:rPr>
          <w:lang w:val="de-DE"/>
        </w:rPr>
        <w:t xml:space="preserve">Grundlage sind die Unterlagen unter</w:t>
      </w:r>
      <w:r>
        <w:rPr>
          <w:lang w:val="de-DE"/>
        </w:rPr>
        <w:t xml:space="preserve"> </w:t>
      </w:r>
      <w:r>
        <w:rPr>
          <w:rStyle w:val="VerbatimChar"/>
          <w:lang w:val="de-DE"/>
        </w:rPr>
        <w:t xml:space="preserve">Information/</w:t>
      </w:r>
      <w:r>
        <w:rPr>
          <w:lang w:val="de-DE"/>
        </w:rPr>
        <w:t xml:space="preserve">. Sie liegen</w:t>
      </w:r>
      <w:r>
        <w:rPr>
          <w:lang w:val="de-DE"/>
        </w:rPr>
        <w:t xml:space="preserve"> </w:t>
      </w:r>
      <w:r>
        <w:rPr>
          <w:b/>
          <w:bCs/>
          <w:lang w:val="de-DE"/>
        </w:rPr>
        <w:t xml:space="preserve">vollständig</w:t>
      </w:r>
      <w:r>
        <w:rPr>
          <w:lang w:val="de-DE"/>
        </w:rPr>
        <w:t xml:space="preserve"> </w:t>
      </w:r>
      <w:r>
        <w:rPr>
          <w:lang w:val="de-DE"/>
        </w:rPr>
        <w:t xml:space="preserve">vor; bis zum 07.09.2026 fehlten zwei Anhänge, und ihr Fehlen war der Grund, warum drei Angaben im Programm frei erfunden waren. Sie waren nie schwer zu bekommen — sie stehen frei zum Herunterladen auf</w:t>
      </w:r>
      <w:r>
        <w:rPr>
          <w:lang w:val="de-DE"/>
        </w:rPr>
        <w:t xml:space="preserve"> </w:t>
      </w:r>
      <w:hyperlink r:id="rId31">
        <w:r>
          <w:rPr>
            <w:rStyle w:val="Hyperlink"/>
            <w:lang w:val="de-DE"/>
          </w:rPr>
          <w:t xml:space="preserve">gkv-datenaustausch.de</w:t>
        </w:r>
      </w:hyperlink>
      <w:r>
        <w:rPr>
          <w:lang w:val="de-DE"/>
        </w:rPr>
        <w:t xml:space="preserve">, dem Portal des GKV-Spitzenverbandes.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Unterlage</w:t>
            </w:r>
          </w:p>
        </w:tc>
        <w:tc>
          <w:tcPr/>
          <w:p>
            <w:pPr>
              <w:pStyle w:val="Compact"/>
            </w:pPr>
            <w:r>
              <w:rPr>
                <w:lang w:val="de-DE"/>
              </w:rPr>
              <w:t xml:space="preserve">Datei</w:t>
            </w:r>
          </w:p>
        </w:tc>
        <w:tc>
          <w:tcPr/>
          <w:p>
            <w:pPr>
              <w:pStyle w:val="Compact"/>
            </w:pPr>
            <w:r>
              <w:rPr>
                <w:lang w:val="de-DE"/>
              </w:rPr>
              <w:t xml:space="preserve">Regelt</w:t>
            </w:r>
          </w:p>
        </w:tc>
      </w:tr>
      <w:tr>
        <w:tc>
          <w:tcPr/>
          <w:p>
            <w:pPr>
              <w:pStyle w:val="Compact"/>
            </w:pPr>
            <w:r>
              <w:rPr>
                <w:lang w:val="de-DE"/>
              </w:rPr>
              <w:t xml:space="preserve">Anlage 1, Version 21</w:t>
            </w:r>
          </w:p>
        </w:tc>
        <w:tc>
          <w:tcPr/>
          <w:p>
            <w:pPr>
              <w:pStyle w:val="Compact"/>
            </w:pPr>
            <w:r>
              <w:rPr>
                <w:rStyle w:val="VerbatimChar"/>
                <w:lang w:val="de-DE"/>
              </w:rPr>
              <w:t xml:space="preserve">Anlage_1_TP5_V21_20260115.pdf</w:t>
            </w:r>
          </w:p>
        </w:tc>
        <w:tc>
          <w:tcPr/>
          <w:p>
            <w:pPr>
              <w:pStyle w:val="Compact"/>
            </w:pPr>
            <w:r>
              <w:rPr>
                <w:lang w:val="de-DE"/>
              </w:rPr>
              <w:t xml:space="preserve">Aufbau der Nutzdaten —</w:t>
            </w:r>
            <w:r>
              <w:rPr>
                <w:lang w:val="de-DE"/>
              </w:rPr>
              <w:t xml:space="preserve"> </w:t>
            </w:r>
            <w:r>
              <w:rPr>
                <w:b/>
                <w:bCs/>
                <w:lang w:val="de-DE"/>
              </w:rPr>
              <w:t xml:space="preserve">heute gültig</w:t>
            </w:r>
          </w:p>
        </w:tc>
      </w:tr>
      <w:tr>
        <w:tc>
          <w:tcPr/>
          <w:p>
            <w:pPr>
              <w:pStyle w:val="Compact"/>
            </w:pPr>
            <w:r>
              <w:rPr>
                <w:lang w:val="de-DE"/>
              </w:rPr>
              <w:t xml:space="preserve">Anlage 1, Version 22</w:t>
            </w:r>
          </w:p>
        </w:tc>
        <w:tc>
          <w:tcPr/>
          <w:p>
            <w:pPr>
              <w:pStyle w:val="Compact"/>
            </w:pPr>
            <w:r>
              <w:rPr>
                <w:rStyle w:val="VerbatimChar"/>
                <w:lang w:val="de-DE"/>
              </w:rPr>
              <w:t xml:space="preserve">Anlage_1_TP5_V22_20260521.pdf</w:t>
            </w:r>
          </w:p>
        </w:tc>
        <w:tc>
          <w:tcPr/>
          <w:p>
            <w:pPr>
              <w:pStyle w:val="Compact"/>
            </w:pPr>
            <w:r>
              <w:rPr>
                <w:lang w:val="de-DE"/>
              </w:rPr>
              <w:t xml:space="preserve">dasselbe, anzuwenden ab 01.02.2027</w:t>
            </w:r>
          </w:p>
        </w:tc>
      </w:tr>
      <w:tr>
        <w:tc>
          <w:tcPr/>
          <w:p>
            <w:pPr>
              <w:pStyle w:val="Compact"/>
            </w:pPr>
            <w:r>
              <w:rPr>
                <w:lang w:val="de-DE"/>
              </w:rPr>
              <w:t xml:space="preserve">Anlage 3, Version 22</w:t>
            </w:r>
          </w:p>
        </w:tc>
        <w:tc>
          <w:tcPr/>
          <w:p>
            <w:pPr>
              <w:pStyle w:val="Compact"/>
            </w:pPr>
            <w:r>
              <w:rPr>
                <w:rStyle w:val="VerbatimChar"/>
                <w:lang w:val="de-DE"/>
              </w:rPr>
              <w:t xml:space="preserve">Anlage_3_TP5_V22_20260521.pdf</w:t>
            </w:r>
          </w:p>
        </w:tc>
        <w:tc>
          <w:tcPr/>
          <w:p>
            <w:pPr>
              <w:pStyle w:val="Compact"/>
            </w:pPr>
            <w:r>
              <w:rPr>
                <w:lang w:val="de-DE"/>
              </w:rPr>
              <w:t xml:space="preserve">Schlüsselverzeichnisse</w:t>
            </w:r>
          </w:p>
        </w:tc>
      </w:tr>
      <w:tr>
        <w:tc>
          <w:tcPr/>
          <w:p>
            <w:pPr>
              <w:pStyle w:val="Compact"/>
            </w:pPr>
            <w:r>
              <w:rPr>
                <w:lang w:val="de-DE"/>
              </w:rPr>
              <w:t xml:space="preserve">Anhang 1 zur Anlage 1</w:t>
            </w:r>
          </w:p>
        </w:tc>
        <w:tc>
          <w:tcPr/>
          <w:p>
            <w:pPr>
              <w:pStyle w:val="Compact"/>
            </w:pPr>
            <w:r>
              <w:rPr>
                <w:rStyle w:val="VerbatimChar"/>
                <w:lang w:val="de-DE"/>
              </w:rPr>
              <w:t xml:space="preserve">Anhang_1_Datenuebermittlung_20170831.pdf</w:t>
            </w:r>
          </w:p>
        </w:tc>
        <w:tc>
          <w:tcPr/>
          <w:p>
            <w:pPr>
              <w:pStyle w:val="Compact"/>
            </w:pPr>
            <w:r>
              <w:rPr>
                <w:lang w:val="de-DE"/>
              </w:rPr>
              <w:t xml:space="preserve">Übermittlung, Dateinamen, Dokumentation</w:t>
            </w:r>
          </w:p>
        </w:tc>
      </w:tr>
      <w:tr>
        <w:tc>
          <w:tcPr/>
          <w:p>
            <w:pPr>
              <w:pStyle w:val="Compact"/>
            </w:pPr>
            <w:r>
              <w:rPr>
                <w:lang w:val="de-DE"/>
              </w:rPr>
              <w:t xml:space="preserve">Anhang 2 zur Anlage 1</w:t>
            </w:r>
          </w:p>
        </w:tc>
        <w:tc>
          <w:tcPr/>
          <w:p>
            <w:pPr>
              <w:pStyle w:val="Compact"/>
            </w:pPr>
            <w:r>
              <w:rPr>
                <w:rStyle w:val="VerbatimChar"/>
                <w:lang w:val="de-DE"/>
              </w:rPr>
              <w:t xml:space="preserve">Anhang_2_Pruefverfahren.pdf</w:t>
            </w:r>
          </w:p>
        </w:tc>
        <w:tc>
          <w:tcPr/>
          <w:p>
            <w:pPr>
              <w:pStyle w:val="Compact"/>
            </w:pPr>
            <w:r>
              <w:rPr>
                <w:lang w:val="de-DE"/>
              </w:rPr>
              <w:t xml:space="preserve">Prüf- und Erprobungsverfahren</w:t>
            </w:r>
          </w:p>
        </w:tc>
      </w:tr>
      <w:tr>
        <w:tc>
          <w:tcPr/>
          <w:p>
            <w:pPr>
              <w:pStyle w:val="Compact"/>
            </w:pPr>
            <w:r>
              <w:rPr>
                <w:lang w:val="de-DE"/>
              </w:rPr>
              <w:t xml:space="preserve">Anhang 3 zur Anlage 1</w:t>
            </w:r>
          </w:p>
        </w:tc>
        <w:tc>
          <w:tcPr/>
          <w:p>
            <w:pPr>
              <w:pStyle w:val="Compact"/>
            </w:pPr>
            <w:r>
              <w:rPr>
                <w:rStyle w:val="VerbatimChar"/>
                <w:lang w:val="de-DE"/>
              </w:rPr>
              <w:t xml:space="preserve">Anhang_3_Kostentraegerdatei_V10_20260414.pdf</w:t>
            </w:r>
          </w:p>
        </w:tc>
        <w:tc>
          <w:tcPr/>
          <w:p>
            <w:pPr>
              <w:pStyle w:val="Compact"/>
            </w:pPr>
            <w:r>
              <w:rPr>
                <w:lang w:val="de-DE"/>
              </w:rPr>
              <w:t xml:space="preserve">Aufbau der Kostenträgerdatei</w:t>
            </w:r>
          </w:p>
        </w:tc>
      </w:tr>
      <w:tr>
        <w:tc>
          <w:tcPr/>
          <w:p>
            <w:pPr>
              <w:pStyle w:val="Compact"/>
            </w:pPr>
            <w:r>
              <w:rPr>
                <w:lang w:val="de-DE"/>
              </w:rPr>
              <w:t xml:space="preserve">GGT Anlage 2</w:t>
            </w:r>
          </w:p>
        </w:tc>
        <w:tc>
          <w:tcPr/>
          <w:p>
            <w:pPr>
              <w:pStyle w:val="Compact"/>
            </w:pPr>
            <w:r>
              <w:rPr>
                <w:rStyle w:val="VerbatimChar"/>
                <w:lang w:val="de-DE"/>
              </w:rPr>
              <w:t xml:space="preserve">GGT_Anlage_2_Auftragsdatei.pdf</w:t>
            </w:r>
          </w:p>
        </w:tc>
        <w:tc>
          <w:tcPr/>
          <w:p>
            <w:pPr>
              <w:pStyle w:val="Compact"/>
            </w:pPr>
            <w:r>
              <w:rPr>
                <w:lang w:val="de-DE"/>
              </w:rPr>
              <w:t xml:space="preserve">Auftragsdatei</w:t>
            </w:r>
          </w:p>
        </w:tc>
      </w:tr>
      <w:tr>
        <w:tc>
          <w:tcPr/>
          <w:p>
            <w:pPr>
              <w:pStyle w:val="Compact"/>
            </w:pPr>
            <w:r>
              <w:rPr>
                <w:lang w:val="de-DE"/>
              </w:rPr>
              <w:t xml:space="preserve">GGT Anlage 7</w:t>
            </w:r>
          </w:p>
        </w:tc>
        <w:tc>
          <w:tcPr/>
          <w:p>
            <w:pPr>
              <w:pStyle w:val="Compact"/>
            </w:pPr>
            <w:r>
              <w:rPr>
                <w:rStyle w:val="VerbatimChar"/>
                <w:lang w:val="de-DE"/>
              </w:rPr>
              <w:t xml:space="preserve">GGT_Anlage_7_EMail.pdf</w:t>
            </w:r>
          </w:p>
        </w:tc>
        <w:tc>
          <w:tcPr/>
          <w:p>
            <w:pPr>
              <w:pStyle w:val="Compact"/>
            </w:pPr>
            <w:r>
              <w:rPr>
                <w:lang w:val="de-DE"/>
              </w:rPr>
              <w:t xml:space="preserve">Übertragung per E-Mail</w:t>
            </w:r>
          </w:p>
        </w:tc>
      </w:tr>
      <w:tr>
        <w:tc>
          <w:tcPr/>
          <w:p>
            <w:pPr>
              <w:pStyle w:val="Compact"/>
            </w:pPr>
            <w:r>
              <w:rPr>
                <w:lang w:val="de-DE"/>
              </w:rPr>
              <w:t xml:space="preserve">GGT Anlage 20</w:t>
            </w:r>
          </w:p>
        </w:tc>
        <w:tc>
          <w:tcPr/>
          <w:p>
            <w:pPr>
              <w:pStyle w:val="Compact"/>
            </w:pPr>
            <w:r>
              <w:rPr>
                <w:rStyle w:val="VerbatimChar"/>
                <w:lang w:val="de-DE"/>
              </w:rPr>
              <w:t xml:space="preserve">GGT_Anlage_20_KIM.pdf</w:t>
            </w:r>
          </w:p>
        </w:tc>
        <w:tc>
          <w:tcPr/>
          <w:p>
            <w:pPr>
              <w:pStyle w:val="Compact"/>
            </w:pPr>
            <w:r>
              <w:rPr>
                <w:lang w:val="de-DE"/>
              </w:rPr>
              <w:t xml:space="preserve">Übertragung über KIM in der Telematikinfrastruktur</w:t>
            </w:r>
          </w:p>
        </w:tc>
      </w:tr>
    </w:tbl>
    <w:p>
      <w:pPr>
        <w:pStyle w:val="BlockText"/>
      </w:pPr>
      <w:r>
        <w:rPr>
          <w:lang w:val="de-DE"/>
        </w:rPr>
        <w:t xml:space="preserve">Die Security-Schnittstelle (SECON, GGT Anlage 16) ist mit 5 MB nicht mitgelieferter Bestandteil des Projekts. Sie steht unter</w:t>
      </w:r>
      <w:r>
        <w:rPr>
          <w:lang w:val="de-DE"/>
        </w:rPr>
        <w:t xml:space="preserve"> </w:t>
      </w:r>
      <w:hyperlink r:id="rId32">
        <w:r>
          <w:rPr>
            <w:rStyle w:val="Hyperlink"/>
            <w:lang w:val="de-DE"/>
          </w:rPr>
          <w:t xml:space="preserve">Technische Standards</w:t>
        </w:r>
      </w:hyperlink>
      <w:r>
        <w:rPr>
          <w:lang w:val="de-DE"/>
        </w:rPr>
        <w:t xml:space="preserve"> </w:t>
      </w:r>
      <w:r>
        <w:rPr>
          <w:lang w:val="de-DE"/>
        </w:rPr>
        <w:t xml:space="preserve">und wird erst gebraucht, wenn tatsächlich selbst verschlüsselt wird.</w:t>
      </w:r>
    </w:p>
    <w:bookmarkStart w:id="33" w:name="der-vorgesehene-weg"/>
    <w:p>
      <w:pPr>
        <w:pStyle w:val="Heading2"/>
      </w:pPr>
      <w:r>
        <w:rPr>
          <w:lang w:val="de-DE"/>
        </w:rPr>
        <w:t xml:space="preserve">Der vorgesehene Weg</w:t>
      </w:r>
    </w:p>
    <w:p>
      <w:pPr>
        <w:pStyle w:val="SourceCode"/>
      </w:pPr>
      <w:r>
        <w:rPr>
          <w:rStyle w:val="VerbatimChar"/>
          <w:lang w:val="de-DE"/>
        </w:rPr>
        <w:t xml:space="preserve">Leistungserbringerin (eigenes IK)</w:t>
      </w:r>
      <w:r>
        <w:br/>
      </w:r>
      <w:r>
        <w:rPr>
          <w:rStyle w:val="VerbatimChar"/>
          <w:lang w:val="de-DE"/>
        </w:rPr>
        <w:t xml:space="preserve">      │  Nutzdatendatei (UNB … UNZ) + Auftragsdatei</w:t>
      </w:r>
      <w:r>
        <w:br/>
      </w:r>
      <w:r>
        <w:rPr>
          <w:rStyle w:val="VerbatimChar"/>
          <w:lang w:val="de-DE"/>
        </w:rPr>
        <w:t xml:space="preserve">      │  verschlüsselt mit dem öffentlichen Schlüssel der Annahmestelle</w:t>
      </w:r>
      <w:r>
        <w:br/>
      </w:r>
      <w:r>
        <w:rPr>
          <w:rStyle w:val="VerbatimChar"/>
          <w:lang w:val="de-DE"/>
        </w:rPr>
        <w:t xml:space="preserve">      ▼</w:t>
      </w:r>
      <w:r>
        <w:br/>
      </w:r>
      <w:r>
        <w:rPr>
          <w:rStyle w:val="VerbatimChar"/>
          <w:lang w:val="de-DE"/>
        </w:rPr>
        <w:t xml:space="preserve">Datenannahmestelle mit Entschlüsselungsbefugnis   ← je Kassenart eine</w:t>
      </w:r>
      <w:r>
        <w:br/>
      </w:r>
      <w:r>
        <w:rPr>
          <w:rStyle w:val="VerbatimChar"/>
          <w:lang w:val="de-DE"/>
        </w:rPr>
        <w:t xml:space="preserve">      │  Prüfstufe 1  Datei, Dateipaar, Anmeldung des Absenders</w:t>
      </w:r>
      <w:r>
        <w:br/>
      </w:r>
      <w:r>
        <w:rPr>
          <w:rStyle w:val="VerbatimChar"/>
          <w:lang w:val="de-DE"/>
        </w:rPr>
        <w:t xml:space="preserve">      │  Prüfstufe 2  Segmentfolge, Feldart, Feldtyp, Feldlänge</w:t>
      </w:r>
      <w:r>
        <w:br/>
      </w:r>
      <w:r>
        <w:rPr>
          <w:rStyle w:val="VerbatimChar"/>
          <w:lang w:val="de-DE"/>
        </w:rPr>
        <w:t xml:space="preserve">      │  Prüfstufe 3  Inhalte gegen die Schlüsselverzeichnisse</w:t>
      </w:r>
      <w:r>
        <w:br/>
      </w:r>
      <w:r>
        <w:rPr>
          <w:rStyle w:val="VerbatimChar"/>
          <w:lang w:val="de-DE"/>
        </w:rPr>
        <w:t xml:space="preserve">      ▼</w:t>
      </w:r>
      <w:r>
        <w:br/>
      </w:r>
      <w:r>
        <w:rPr>
          <w:rStyle w:val="VerbatimChar"/>
          <w:lang w:val="de-DE"/>
        </w:rPr>
        <w:t xml:space="preserve">Krankenkasse</w:t>
      </w:r>
      <w:r>
        <w:br/>
      </w:r>
      <w:r>
        <w:rPr>
          <w:rStyle w:val="VerbatimChar"/>
          <w:lang w:val="de-DE"/>
        </w:rPr>
        <w:t xml:space="preserve">      │  Prüfstufe 4  vertrags-, versicherungs- und leistungsrechtlich</w:t>
      </w:r>
      <w:r>
        <w:br/>
      </w:r>
      <w:r>
        <w:rPr>
          <w:rStyle w:val="VerbatimChar"/>
          <w:lang w:val="de-DE"/>
        </w:rPr>
        <w:t xml:space="preserve">      ▼</w:t>
      </w:r>
      <w:r>
        <w:br/>
      </w:r>
      <w:r>
        <w:rPr>
          <w:rStyle w:val="VerbatimChar"/>
          <w:lang w:val="de-DE"/>
        </w:rPr>
        <w:t xml:space="preserve">Bezahlung  oder  Zurückweisung</w:t>
      </w:r>
    </w:p>
    <w:p>
      <w:pPr>
        <w:pStyle w:val="FirstParagraph"/>
      </w:pPr>
      <w:r>
        <w:rPr>
          <w:lang w:val="de-DE"/>
        </w:rPr>
        <w:t xml:space="preserve">Drei Punkte daran werden regelmäßig unterschätzt:</w:t>
      </w:r>
    </w:p>
    <w:p>
      <w:pPr>
        <w:pStyle w:val="BodyText"/>
      </w:pPr>
      <w:r>
        <w:rPr>
          <w:b/>
          <w:bCs/>
          <w:lang w:val="de-DE"/>
        </w:rPr>
        <w:t xml:space="preserve">Empfänger ist die Datenannahmestelle, nicht die Kasse.</w:t>
      </w:r>
      <w:r>
        <w:rPr>
          <w:lang w:val="de-DE"/>
        </w:rPr>
        <w:t xml:space="preserve"> </w:t>
      </w:r>
      <w:r>
        <w:rPr>
          <w:lang w:val="de-DE"/>
        </w:rPr>
        <w:t xml:space="preserve">Für jede Datenannahmestelle mit Entschlüsselungsbefugnis ist je Kassenart</w:t>
      </w:r>
      <w:r>
        <w:rPr>
          <w:lang w:val="de-DE"/>
        </w:rPr>
        <w:t xml:space="preserve"> </w:t>
      </w:r>
      <w:r>
        <w:rPr>
          <w:b/>
          <w:bCs/>
          <w:lang w:val="de-DE"/>
        </w:rPr>
        <w:t xml:space="preserve">eine</w:t>
      </w:r>
      <w:r>
        <w:rPr>
          <w:lang w:val="de-DE"/>
        </w:rPr>
        <w:t xml:space="preserve"> </w:t>
      </w:r>
      <w:r>
        <w:rPr>
          <w:lang w:val="de-DE"/>
        </w:rPr>
        <w:t xml:space="preserve">Nutzdatendatei zu erstellen (Anlage 1, Abschnitt 3 und 5.3.1). Ihr IK steht im</w:t>
      </w:r>
      <w:r>
        <w:rPr>
          <w:lang w:val="de-DE"/>
        </w:rPr>
        <w:t xml:space="preserve"> </w:t>
      </w:r>
      <w:r>
        <w:rPr>
          <w:rStyle w:val="VerbatimChar"/>
          <w:lang w:val="de-DE"/>
        </w:rPr>
        <w:t xml:space="preserve">UNB</w:t>
      </w:r>
      <w:r>
        <w:rPr>
          <w:lang w:val="de-DE"/>
        </w:rPr>
        <w:t xml:space="preserve"> </w:t>
      </w:r>
      <w:r>
        <w:rPr>
          <w:lang w:val="de-DE"/>
        </w:rPr>
        <w:t xml:space="preserve">als Empfänger.</w:t>
      </w:r>
    </w:p>
    <w:p>
      <w:pPr>
        <w:pStyle w:val="BodyText"/>
      </w:pPr>
      <w:r>
        <w:rPr>
          <w:b/>
          <w:bCs/>
          <w:lang w:val="de-DE"/>
        </w:rPr>
        <w:t xml:space="preserve">Zu jeder Nutzdatendatei gehört eine Auftragsdatei.</w:t>
      </w:r>
      <w:r>
        <w:rPr>
          <w:lang w:val="de-DE"/>
        </w:rPr>
        <w:t xml:space="preserve"> </w:t>
      </w:r>
      <w:r>
        <w:rPr>
          <w:lang w:val="de-DE"/>
        </w:rPr>
        <w:t xml:space="preserve">Sie geht unverschlüsselt voraus und trägt die Transportangaben; ohne sie scheitert die Lieferung bereits in Prüfstufe 1, die ausdrücklich prüft, „ob die Dateien paarweise übermittelt” wurden.</w:t>
      </w:r>
    </w:p>
    <w:p>
      <w:pPr>
        <w:pStyle w:val="BodyText"/>
      </w:pPr>
      <w:r>
        <w:rPr>
          <w:b/>
          <w:bCs/>
          <w:lang w:val="de-DE"/>
        </w:rPr>
        <w:t xml:space="preserve">Die Erprobung ist vorgeschrieben, nicht optional.</w:t>
      </w:r>
      <w:r>
        <w:rPr>
          <w:lang w:val="de-DE"/>
        </w:rPr>
        <w:t xml:space="preserve"> </w:t>
      </w:r>
      <w:r>
        <w:rPr>
          <w:lang w:val="de-DE"/>
        </w:rPr>
        <w:t xml:space="preserve">Vor der erstmaligen Durchführung und vor jeder Änderung des Verfahrens sind die Einzelheiten mit dem Empfänger abzustimmen und die ordnungsgemäße Verarbeitung zu erproben (Anlage 1, Abschnitt 2).</w:t>
      </w:r>
    </w:p>
    <w:bookmarkEnd w:id="33"/>
    <w:bookmarkStart w:id="35" w:name="X0de51972567ef01cca32833bc9fdaaf060ee2f9"/>
    <w:p>
      <w:pPr>
        <w:pStyle w:val="Heading2"/>
      </w:pPr>
      <w:r>
        <w:rPr>
          <w:lang w:val="de-DE"/>
        </w:rPr>
        <w:t xml:space="preserve">Wer der Empfänger ist — und wie man ihn findet</w:t>
      </w:r>
    </w:p>
    <w:p>
      <w:pPr>
        <w:pStyle w:val="FirstParagraph"/>
      </w:pPr>
      <w:r>
        <w:rPr>
          <w:lang w:val="de-DE"/>
        </w:rPr>
        <w:t xml:space="preserve">Die Zuordnung steht in der</w:t>
      </w:r>
      <w:r>
        <w:rPr>
          <w:lang w:val="de-DE"/>
        </w:rPr>
        <w:t xml:space="preserve"> </w:t>
      </w:r>
      <w:r>
        <w:rPr>
          <w:b/>
          <w:bCs/>
          <w:lang w:val="de-DE"/>
        </w:rPr>
        <w:t xml:space="preserve">Kostenträgerdatei</w:t>
      </w:r>
      <w:r>
        <w:rPr>
          <w:lang w:val="de-DE"/>
        </w:rPr>
        <w:t xml:space="preserve">, die jeder Kassenartenverband vierteljährlich veröffentlicht (</w:t>
      </w:r>
      <w:hyperlink r:id="rId34">
        <w:r>
          <w:rPr>
            <w:rStyle w:val="Hyperlink"/>
            <w:lang w:val="de-DE"/>
          </w:rPr>
          <w:t xml:space="preserve">Kostenträgerdateien SLE</w:t>
        </w:r>
      </w:hyperlink>
      <w:r>
        <w:rPr>
          <w:lang w:val="de-DE"/>
        </w:rPr>
        <w:t xml:space="preserve">). Sie ist selbst eine EDIFACT-Datei mit der Endung</w:t>
      </w:r>
      <w:r>
        <w:rPr>
          <w:lang w:val="de-DE"/>
        </w:rPr>
        <w:t xml:space="preserve"> </w:t>
      </w:r>
      <w:r>
        <w:rPr>
          <w:rStyle w:val="VerbatimChar"/>
          <w:lang w:val="de-DE"/>
        </w:rPr>
        <w:t xml:space="preserve">.KE0</w:t>
      </w:r>
      <w:r>
        <w:rPr>
          <w:lang w:val="de-DE"/>
        </w:rPr>
        <w:t xml:space="preserve">,</w:t>
      </w:r>
      <w:r>
        <w:rPr>
          <w:lang w:val="de-DE"/>
        </w:rPr>
        <w:t xml:space="preserve"> </w:t>
      </w:r>
      <w:r>
        <w:rPr>
          <w:rStyle w:val="VerbatimChar"/>
          <w:lang w:val="de-DE"/>
        </w:rPr>
        <w:t xml:space="preserve">.KE1</w:t>
      </w:r>
      <w:r>
        <w:rPr>
          <w:lang w:val="de-DE"/>
        </w:rPr>
        <w:t xml:space="preserve"> </w:t>
      </w:r>
      <w:r>
        <w:rPr>
          <w:lang w:val="de-DE"/>
        </w:rPr>
        <w:t xml:space="preserve">und so fort — im selben Segmentstil wie unsere Nutzdaten, das Programm könnte sie mit dem vorhandenen Leser verarbeiten.</w:t>
      </w:r>
    </w:p>
    <w:p>
      <w:pPr>
        <w:pStyle w:val="BodyText"/>
      </w:pPr>
      <w:r>
        <w:rPr>
          <w:lang w:val="de-DE"/>
        </w:rPr>
        <w:t xml:space="preserve">Der Weg von der Kasse auf der Versichertenkarte zur Annahmestelle geht über drei Segmente:</w:t>
      </w:r>
    </w:p>
    <w:p>
      <w:pPr>
        <w:pStyle w:val="SourceCode"/>
      </w:pPr>
      <w:r>
        <w:rPr>
          <w:rStyle w:val="VerbatimChar"/>
          <w:lang w:val="de-DE"/>
        </w:rPr>
        <w:t xml:space="preserve">IDK   IK der Versichertenkarte</w:t>
      </w:r>
      <w:r>
        <w:br/>
      </w:r>
      <w:r>
        <w:rPr>
          <w:rStyle w:val="VerbatimChar"/>
          <w:lang w:val="de-DE"/>
        </w:rPr>
        <w:t xml:space="preserve"> └─ VKG+01+&lt;IK&gt;            → Verweis auf den Kostenträger</w:t>
      </w:r>
      <w:r>
        <w:br/>
      </w:r>
      <w:r>
        <w:rPr>
          <w:rStyle w:val="VerbatimChar"/>
          <w:lang w:val="de-DE"/>
        </w:rPr>
        <w:t xml:space="preserve">      └─ VKG+03+&lt;IK&gt;+…+50  → Datenannahmestelle MIT Entschlüsselungsbefugnis</w:t>
      </w:r>
      <w:r>
        <w:br/>
      </w:r>
      <w:r>
        <w:rPr>
          <w:rStyle w:val="VerbatimChar"/>
          <w:lang w:val="de-DE"/>
        </w:rPr>
        <w:t xml:space="preserve">           │                 (VKG+02 wäre ein Netzbetreiber OHNE)</w:t>
      </w:r>
      <w:r>
        <w:br/>
      </w:r>
      <w:r>
        <w:rPr>
          <w:rStyle w:val="VerbatimChar"/>
          <w:lang w:val="de-DE"/>
        </w:rPr>
        <w:t xml:space="preserve">           └─ DFU           → die Adresse: 070 E-Mail, 016 FTAM, 080 KIM</w:t>
      </w:r>
    </w:p>
    <w:p>
      <w:pPr>
        <w:pStyle w:val="FirstParagraph"/>
      </w:pPr>
      <w:r>
        <w:rPr>
          <w:lang w:val="de-DE"/>
        </w:rPr>
        <w:t xml:space="preserve">Das</w:t>
      </w:r>
      <w:r>
        <w:rPr>
          <w:lang w:val="de-DE"/>
        </w:rPr>
        <w:t xml:space="preserve"> </w:t>
      </w:r>
      <w:r>
        <w:rPr>
          <w:rStyle w:val="VerbatimChar"/>
          <w:lang w:val="de-DE"/>
        </w:rPr>
        <w:t xml:space="preserve">VKG</w:t>
      </w:r>
      <w:r>
        <w:rPr>
          <w:lang w:val="de-DE"/>
        </w:rPr>
        <w:t xml:space="preserve">-Segment trägt an vorletzter Stelle den</w:t>
      </w:r>
      <w:r>
        <w:rPr>
          <w:lang w:val="de-DE"/>
        </w:rPr>
        <w:t xml:space="preserve"> </w:t>
      </w:r>
      <w:r>
        <w:rPr>
          <w:b/>
          <w:bCs/>
          <w:lang w:val="de-DE"/>
        </w:rPr>
        <w:t xml:space="preserve">Abrechnungscode</w:t>
      </w:r>
      <w:r>
        <w:rPr>
          <w:lang w:val="de-DE"/>
        </w:rPr>
        <w:t xml:space="preserve">. Für Hebammenhilfe ist das die</w:t>
      </w:r>
      <w:r>
        <w:rPr>
          <w:lang w:val="de-DE"/>
        </w:rPr>
        <w:t xml:space="preserve"> </w:t>
      </w:r>
      <w:r>
        <w:rPr>
          <w:b/>
          <w:bCs/>
          <w:lang w:val="de-DE"/>
        </w:rPr>
        <w:t xml:space="preserve">50</w:t>
      </w:r>
      <w:r>
        <w:rPr>
          <w:lang w:val="de-DE"/>
        </w:rPr>
        <w:t xml:space="preserve">; nur die Verweise mit dieser Ausprägung gelten für uns.</w:t>
      </w:r>
    </w:p>
    <w:p>
      <w:pPr>
        <w:pStyle w:val="BodyText"/>
      </w:pPr>
      <w:r>
        <w:rPr>
          <w:lang w:val="de-DE"/>
        </w:rPr>
        <w:t xml:space="preserve">Ein Beispiel aus den Dateien vom Sommer 2026, nachgeschlagen und nicht angenommen: sowohl der AOK-Bundesverband als auch der Verband der Ersatzkassen führen für den Abrechnungscode 50 dieselbe Stelle — die</w:t>
      </w:r>
      <w:r>
        <w:rPr>
          <w:lang w:val="de-DE"/>
        </w:rPr>
        <w:t xml:space="preserve"> </w:t>
      </w:r>
      <w:r>
        <w:rPr>
          <w:b/>
          <w:bCs/>
          <w:lang w:val="de-DE"/>
        </w:rPr>
        <w:t xml:space="preserve">IQVIA Health System Services GmbH, IK 661430035</w:t>
      </w:r>
      <w:r>
        <w:rPr>
          <w:lang w:val="de-DE"/>
        </w:rPr>
        <w:t xml:space="preserve">, erreichbar über</w:t>
      </w:r>
      <w:r>
        <w:rPr>
          <w:lang w:val="de-DE"/>
        </w:rPr>
        <w:t xml:space="preserve"> </w:t>
      </w:r>
      <w:r>
        <w:rPr>
          <w:rStyle w:val="VerbatimChar"/>
          <w:lang w:val="de-DE"/>
        </w:rPr>
        <w:t xml:space="preserve">edi302@iqvia-hss.de</w:t>
      </w:r>
      <w:r>
        <w:rPr>
          <w:lang w:val="de-DE"/>
        </w:rPr>
        <w:t xml:space="preserve"> </w:t>
      </w:r>
      <w:r>
        <w:rPr>
          <w:lang w:val="de-DE"/>
        </w:rPr>
        <w:t xml:space="preserve">und über FTAM. Aus 23 Kassen im heutigen</w:t>
      </w:r>
      <w:r>
        <w:rPr>
          <w:lang w:val="de-DE"/>
        </w:rPr>
        <w:t xml:space="preserve"> </w:t>
      </w:r>
      <w:r>
        <w:rPr>
          <w:rStyle w:val="VerbatimChar"/>
          <w:lang w:val="de-DE"/>
        </w:rPr>
        <w:t xml:space="preserve">billing-office-endpoints.json</w:t>
      </w:r>
      <w:r>
        <w:rPr>
          <w:lang w:val="de-DE"/>
        </w:rPr>
        <w:t xml:space="preserve"> </w:t>
      </w:r>
      <w:r>
        <w:rPr>
          <w:lang w:val="de-DE"/>
        </w:rPr>
        <w:t xml:space="preserve">wird damit eine sehr viel kürzere Liste.</w:t>
      </w:r>
    </w:p>
    <w:p>
      <w:pPr>
        <w:pStyle w:val="BlockText"/>
      </w:pPr>
      <w:r>
        <w:rPr>
          <w:lang w:val="de-DE"/>
        </w:rPr>
        <w:t xml:space="preserve">Der Befund gilt für die Dateien vom Juli und Oktober 2026 und für die dort geführten Kassenarten. Er ersetzt keine eigene Abfrage: die Dateien ändern sich vierteljährlich, und für BKK, IKK, Knappschaft und die landwirtschaftlichen Kassen ist er nicht geprüft.</w:t>
      </w:r>
    </w:p>
    <w:bookmarkEnd w:id="35"/>
    <w:bookmarkStart w:id="36" w:name="wie-die-datei-übertragen-wird"/>
    <w:p>
      <w:pPr>
        <w:pStyle w:val="Heading2"/>
      </w:pPr>
      <w:r>
        <w:rPr>
          <w:lang w:val="de-DE"/>
        </w:rPr>
        <w:t xml:space="preserve">Wie die Datei übertragen wird</w:t>
      </w:r>
    </w:p>
    <w:p>
      <w:pPr>
        <w:pStyle w:val="FirstParagraph"/>
      </w:pPr>
      <w:r>
        <w:rPr>
          <w:lang w:val="de-DE"/>
        </w:rPr>
        <w:t xml:space="preserve">Nach Anhang 1, Abschnitt 4.1 ist</w:t>
      </w:r>
      <w:r>
        <w:rPr>
          <w:lang w:val="de-DE"/>
        </w:rPr>
        <w:t xml:space="preserve"> </w:t>
      </w:r>
      <w:r>
        <w:rPr>
          <w:b/>
          <w:bCs/>
          <w:lang w:val="de-DE"/>
        </w:rPr>
        <w:t xml:space="preserve">die Datenfernübertragung der Regelfall</w:t>
      </w:r>
      <w:r>
        <w:rPr>
          <w:lang w:val="de-DE"/>
        </w:rPr>
        <w:t xml:space="preserve">; Datenträger sind nur zulässig, wenn eine Übertragung technisch oder wirtschaftlich nicht möglich ist. Die Kosten trägt der Absender.</w:t>
      </w:r>
    </w:p>
    <w:p>
      <w:pPr>
        <w:pStyle w:val="BodyText"/>
      </w:pPr>
      <w:r>
        <w:rPr>
          <w:lang w:val="de-DE"/>
        </w:rPr>
        <w:t xml:space="preserve">Zugelassen sind: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Schlüssel</w:t>
            </w:r>
          </w:p>
        </w:tc>
        <w:tc>
          <w:tcPr/>
          <w:p>
            <w:pPr>
              <w:pStyle w:val="Compact"/>
            </w:pPr>
            <w:r>
              <w:rPr>
                <w:lang w:val="de-DE"/>
              </w:rPr>
              <w:t xml:space="preserve">Weg</w:t>
            </w:r>
          </w:p>
        </w:tc>
        <w:tc>
          <w:tcPr/>
          <w:p>
            <w:pPr>
              <w:pStyle w:val="Compact"/>
            </w:pPr>
            <w:r>
              <w:rPr>
                <w:lang w:val="de-DE"/>
              </w:rPr>
              <w:t xml:space="preserve">Bemerkung</w:t>
            </w:r>
          </w:p>
        </w:tc>
      </w:tr>
      <w:tr>
        <w:tc>
          <w:tcPr/>
          <w:p>
            <w:pPr>
              <w:pStyle w:val="Compact"/>
            </w:pPr>
            <w:r>
              <w:rPr>
                <w:rStyle w:val="VerbatimChar"/>
                <w:lang w:val="de-DE"/>
              </w:rPr>
              <w:t xml:space="preserve">070</w:t>
            </w:r>
          </w:p>
        </w:tc>
        <w:tc>
          <w:tcPr/>
          <w:p>
            <w:pPr>
              <w:pStyle w:val="Compact"/>
            </w:pPr>
            <w:r>
              <w:rPr>
                <w:lang w:val="de-DE"/>
              </w:rPr>
              <w:t xml:space="preserve">E-Mail über das Internet</w:t>
            </w:r>
          </w:p>
        </w:tc>
        <w:tc>
          <w:tcPr/>
          <w:p>
            <w:pPr>
              <w:pStyle w:val="Compact"/>
            </w:pPr>
            <w:r>
              <w:rPr>
                <w:lang w:val="de-DE"/>
              </w:rPr>
              <w:t xml:space="preserve">heute der verbreitete Weg</w:t>
            </w:r>
          </w:p>
        </w:tc>
      </w:tr>
      <w:tr>
        <w:tc>
          <w:tcPr/>
          <w:p>
            <w:pPr>
              <w:pStyle w:val="Compact"/>
            </w:pPr>
            <w:r>
              <w:rPr>
                <w:rStyle w:val="VerbatimChar"/>
                <w:lang w:val="de-DE"/>
              </w:rPr>
              <w:t xml:space="preserve">016</w:t>
            </w:r>
          </w:p>
        </w:tc>
        <w:tc>
          <w:tcPr/>
          <w:p>
            <w:pPr>
              <w:pStyle w:val="Compact"/>
            </w:pPr>
            <w:r>
              <w:rPr>
                <w:lang w:val="de-DE"/>
              </w:rPr>
              <w:t xml:space="preserve">FTAM über TCP/IP</w:t>
            </w:r>
          </w:p>
        </w:tc>
        <w:tc>
          <w:tcPr/>
          <w:p>
            <w:pPr>
              <w:pStyle w:val="Compact"/>
            </w:pPr>
            <w:r>
              <w:rPr>
                <w:lang w:val="de-DE"/>
              </w:rPr>
              <w:t xml:space="preserve">für größere Mengen</w:t>
            </w:r>
          </w:p>
        </w:tc>
      </w:tr>
      <w:tr>
        <w:tc>
          <w:tcPr/>
          <w:p>
            <w:pPr>
              <w:pStyle w:val="Compact"/>
            </w:pPr>
            <w:r>
              <w:rPr>
                <w:rStyle w:val="VerbatimChar"/>
                <w:lang w:val="de-DE"/>
              </w:rPr>
              <w:t xml:space="preserve">080</w:t>
            </w:r>
          </w:p>
        </w:tc>
        <w:tc>
          <w:tcPr/>
          <w:p>
            <w:pPr>
              <w:pStyle w:val="Compact"/>
            </w:pPr>
            <w:r>
              <w:rPr>
                <w:lang w:val="de-DE"/>
              </w:rPr>
              <w:t xml:space="preserve">KIM-Mail in der Telematikinfrastruktur</w:t>
            </w:r>
          </w:p>
        </w:tc>
        <w:tc>
          <w:tcPr/>
          <w:p>
            <w:pPr>
              <w:pStyle w:val="Compact"/>
            </w:pPr>
            <w:r>
              <w:rPr>
                <w:lang w:val="de-DE"/>
              </w:rPr>
              <w:t xml:space="preserve">vorgesehen, aber noch von keiner Annahmestelle für Sonstige Leistungserbringer veröffentlicht</w:t>
            </w:r>
          </w:p>
        </w:tc>
      </w:tr>
    </w:tbl>
    <w:p>
      <w:pPr>
        <w:pStyle w:val="BodyText"/>
      </w:pPr>
      <w:r>
        <w:rPr>
          <w:b/>
          <w:bCs/>
          <w:lang w:val="de-DE"/>
        </w:rPr>
        <w:t xml:space="preserve">KIM ist der Weg, der die meiste Arbeit erspart</w:t>
      </w:r>
      <w:r>
        <w:rPr>
          <w:lang w:val="de-DE"/>
        </w:rPr>
        <w:t xml:space="preserve"> </w:t>
      </w:r>
      <w:r>
        <w:rPr>
          <w:lang w:val="de-DE"/>
        </w:rPr>
        <w:t xml:space="preserve">— und deshalb der, den man im Blick behalten sollte. Wird KIM verwendet, gelten nach GGT Anlage 20 die Vorgaben zu</w:t>
      </w:r>
      <w:r>
        <w:rPr>
          <w:lang w:val="de-DE"/>
        </w:rPr>
        <w:t xml:space="preserve"> </w:t>
      </w:r>
      <w:r>
        <w:rPr>
          <w:b/>
          <w:bCs/>
          <w:lang w:val="de-DE"/>
        </w:rPr>
        <w:t xml:space="preserve">Krankenkassenkommunikationssystem, Auftragsdatei und SECON ausdrücklich nicht</w:t>
      </w:r>
      <w:r>
        <w:rPr>
          <w:lang w:val="de-DE"/>
        </w:rPr>
        <w:t xml:space="preserve">; sie werden durch Komponenten der Telematikinfrastruktur ersetzt. Damit entfielen auf einen Schlag drei der aufwendigsten Bausteine. Voraussetzung sind ein TI-Anschluss und eine SMC-B; die Adresse der Kasse wird über das Verzeichnisdienst-Attribut</w:t>
      </w:r>
      <w:r>
        <w:rPr>
          <w:lang w:val="de-DE"/>
        </w:rPr>
        <w:t xml:space="preserve"> </w:t>
      </w:r>
      <w:r>
        <w:rPr>
          <w:rStyle w:val="VerbatimChar"/>
          <w:lang w:val="de-DE"/>
        </w:rPr>
        <w:t xml:space="preserve">domainID</w:t>
      </w:r>
      <w:r>
        <w:rPr>
          <w:lang w:val="de-DE"/>
        </w:rPr>
        <w:t xml:space="preserve"> </w:t>
      </w:r>
      <w:r>
        <w:rPr>
          <w:lang w:val="de-DE"/>
        </w:rPr>
        <w:t xml:space="preserve">= Haupt-IK gesucht.</w:t>
      </w:r>
    </w:p>
    <w:p>
      <w:pPr>
        <w:pStyle w:val="BodyText"/>
      </w:pPr>
      <w:r>
        <w:rPr>
          <w:lang w:val="de-DE"/>
        </w:rPr>
        <w:t xml:space="preserve">Solange keine Annahmestelle eine KIM-Adresse führt, bleibt es bei E-Mail mit verschlüsseltem Anhang.</w:t>
      </w:r>
    </w:p>
    <w:bookmarkEnd w:id="36"/>
    <w:bookmarkStart w:id="37" w:name="die-dateinamen-sind-vorgeschrieben"/>
    <w:p>
      <w:pPr>
        <w:pStyle w:val="Heading2"/>
      </w:pPr>
      <w:r>
        <w:rPr>
          <w:lang w:val="de-DE"/>
        </w:rPr>
        <w:t xml:space="preserve">Die Dateinamen sind vorgeschrieben</w:t>
      </w:r>
    </w:p>
    <w:p>
      <w:pPr>
        <w:pStyle w:val="FirstParagraph"/>
      </w:pPr>
      <w:r>
        <w:rPr>
          <w:lang w:val="de-DE"/>
        </w:rPr>
        <w:t xml:space="preserve">Beides stand bis zum 07.09.2026 falsch im Programm, und beides fällt in Prüfstufe 1 oder 2 auf.</w:t>
      </w:r>
    </w:p>
    <w:p>
      <w:pPr>
        <w:pStyle w:val="BodyText"/>
      </w:pPr>
      <w:r>
        <w:rPr>
          <w:b/>
          <w:bCs/>
          <w:lang w:val="de-DE"/>
        </w:rPr>
        <w:t xml:space="preserve">Logischer Dateiname</w:t>
      </w:r>
      <w:r>
        <w:rPr>
          <w:lang w:val="de-DE"/>
        </w:rPr>
        <w:t xml:space="preserve"> </w:t>
      </w:r>
      <w:r>
        <w:rPr>
          <w:lang w:val="de-DE"/>
        </w:rPr>
        <w:t xml:space="preserve">— elf Stellen, im</w:t>
      </w:r>
      <w:r>
        <w:rPr>
          <w:lang w:val="de-DE"/>
        </w:rPr>
        <w:t xml:space="preserve"> </w:t>
      </w:r>
      <w:r>
        <w:rPr>
          <w:rStyle w:val="VerbatimChar"/>
          <w:lang w:val="de-DE"/>
        </w:rPr>
        <w:t xml:space="preserve">UNB</w:t>
      </w:r>
      <w:r>
        <w:rPr>
          <w:lang w:val="de-DE"/>
        </w:rPr>
        <w:t xml:space="preserve"> </w:t>
      </w:r>
      <w:r>
        <w:rPr>
          <w:lang w:val="de-DE"/>
        </w:rPr>
        <w:t xml:space="preserve">als Anwendungsreferenz und im Feld „Dateiname” der Auftragsdatei, dort identisch (Anhang 1, Abschnitt 4.2):</w:t>
      </w:r>
    </w:p>
    <w:p>
      <w:pPr>
        <w:pStyle w:val="SourceCode"/>
      </w:pPr>
      <w:r>
        <w:rPr>
          <w:rStyle w:val="VerbatimChar"/>
          <w:lang w:val="de-DE"/>
        </w:rPr>
        <w:t xml:space="preserve">SL  191400  S  09</w:t>
      </w:r>
      <w:r>
        <w:br/>
      </w:r>
      <w:r>
        <w:rPr>
          <w:rStyle w:val="VerbatimChar"/>
          <w:lang w:val="de-DE"/>
        </w:rPr>
        <w:t xml:space="preserve">│   │       │  └─ Nummer des Abrechnungsmonats</w:t>
      </w:r>
      <w:r>
        <w:br/>
      </w:r>
      <w:r>
        <w:rPr>
          <w:rStyle w:val="VerbatimChar"/>
          <w:lang w:val="de-DE"/>
        </w:rPr>
        <w:t xml:space="preserve">│   │       └──── S = Selbstabrechner, A = Abrechnungsstelle</w:t>
      </w:r>
      <w:r>
        <w:br/>
      </w:r>
      <w:r>
        <w:rPr>
          <w:rStyle w:val="VerbatimChar"/>
          <w:lang w:val="de-DE"/>
        </w:rPr>
        <w:t xml:space="preserve">│   └──────────── Stellen 3 bis 8 des Absender-IK</w:t>
      </w:r>
      <w:r>
        <w:br/>
      </w:r>
      <w:r>
        <w:rPr>
          <w:rStyle w:val="VerbatimChar"/>
          <w:lang w:val="de-DE"/>
        </w:rPr>
        <w:t xml:space="preserve">└──────────────── „SL" für Sonstige Leistungserbringer</w:t>
      </w:r>
    </w:p>
    <w:p>
      <w:pPr>
        <w:pStyle w:val="FirstParagraph"/>
      </w:pPr>
      <w:r>
        <w:rPr>
          <w:b/>
          <w:bCs/>
          <w:lang w:val="de-DE"/>
        </w:rPr>
        <w:t xml:space="preserve">Physikalischer Dateiname</w:t>
      </w:r>
      <w:r>
        <w:rPr>
          <w:lang w:val="de-DE"/>
        </w:rPr>
        <w:t xml:space="preserve"> </w:t>
      </w:r>
      <w:r>
        <w:rPr>
          <w:lang w:val="de-DE"/>
        </w:rPr>
        <w:t xml:space="preserve">— acht Stellen, in der Auftragsdatei (Abschnitt 4.3):</w:t>
      </w:r>
      <w:r>
        <w:rPr>
          <w:lang w:val="de-DE"/>
        </w:rPr>
        <w:t xml:space="preserve"> </w:t>
      </w:r>
      <w:r>
        <w:rPr>
          <w:rStyle w:val="VerbatimChar"/>
          <w:lang w:val="de-DE"/>
        </w:rPr>
        <w:t xml:space="preserve">E</w:t>
      </w:r>
      <w:r>
        <w:rPr>
          <w:lang w:val="de-DE"/>
        </w:rPr>
        <w:t xml:space="preserve"> </w:t>
      </w:r>
      <w:r>
        <w:rPr>
          <w:lang w:val="de-DE"/>
        </w:rPr>
        <w:t xml:space="preserve">für Echtdaten oder</w:t>
      </w:r>
      <w:r>
        <w:rPr>
          <w:lang w:val="de-DE"/>
        </w:rPr>
        <w:t xml:space="preserve"> </w:t>
      </w:r>
      <w:r>
        <w:rPr>
          <w:rStyle w:val="VerbatimChar"/>
          <w:lang w:val="de-DE"/>
        </w:rPr>
        <w:t xml:space="preserve">T</w:t>
      </w:r>
      <w:r>
        <w:rPr>
          <w:lang w:val="de-DE"/>
        </w:rPr>
        <w:t xml:space="preserve"> </w:t>
      </w:r>
      <w:r>
        <w:rPr>
          <w:lang w:val="de-DE"/>
        </w:rPr>
        <w:t xml:space="preserve">für Testdaten, dann</w:t>
      </w:r>
      <w:r>
        <w:rPr>
          <w:lang w:val="de-DE"/>
        </w:rPr>
        <w:t xml:space="preserve"> </w:t>
      </w:r>
      <w:r>
        <w:rPr>
          <w:rStyle w:val="VerbatimChar"/>
          <w:lang w:val="de-DE"/>
        </w:rPr>
        <w:t xml:space="preserve">SOL</w:t>
      </w:r>
      <w:r>
        <w:rPr>
          <w:lang w:val="de-DE"/>
        </w:rPr>
        <w:t xml:space="preserve">, dann</w:t>
      </w:r>
      <w:r>
        <w:rPr>
          <w:lang w:val="de-DE"/>
        </w:rPr>
        <w:t xml:space="preserve"> </w:t>
      </w:r>
      <w:r>
        <w:rPr>
          <w:rStyle w:val="VerbatimChar"/>
          <w:lang w:val="de-DE"/>
        </w:rPr>
        <w:t xml:space="preserve">0</w:t>
      </w:r>
      <w:r>
        <w:rPr>
          <w:lang w:val="de-DE"/>
        </w:rPr>
        <w:t xml:space="preserve">, dann eine dreistellige Transfernummer. Also</w:t>
      </w:r>
      <w:r>
        <w:rPr>
          <w:lang w:val="de-DE"/>
        </w:rPr>
        <w:t xml:space="preserve"> </w:t>
      </w:r>
      <w:r>
        <w:rPr>
          <w:rStyle w:val="VerbatimChar"/>
          <w:lang w:val="de-DE"/>
        </w:rPr>
        <w:t xml:space="preserve">ESOL0001</w:t>
      </w:r>
      <w:r>
        <w:rPr>
          <w:lang w:val="de-DE"/>
        </w:rPr>
        <w:t xml:space="preserve">,</w:t>
      </w:r>
      <w:r>
        <w:rPr>
          <w:lang w:val="de-DE"/>
        </w:rPr>
        <w:t xml:space="preserve"> </w:t>
      </w:r>
      <w:r>
        <w:rPr>
          <w:rStyle w:val="VerbatimChar"/>
          <w:lang w:val="de-DE"/>
        </w:rPr>
        <w:t xml:space="preserve">TSOL0001</w:t>
      </w:r>
      <w:r>
        <w:rPr>
          <w:lang w:val="de-DE"/>
        </w:rPr>
        <w:t xml:space="preserve">.</w:t>
      </w:r>
    </w:p>
    <w:bookmarkEnd w:id="37"/>
    <w:bookmarkStart w:id="38" w:name="test-und-erprobung"/>
    <w:p>
      <w:pPr>
        <w:pStyle w:val="Heading2"/>
      </w:pPr>
      <w:r>
        <w:rPr>
          <w:lang w:val="de-DE"/>
        </w:rPr>
        <w:t xml:space="preserve">Test und Erprobung</w:t>
      </w:r>
    </w:p>
    <w:p>
      <w:pPr>
        <w:pStyle w:val="FirstParagraph"/>
      </w:pPr>
      <w:r>
        <w:rPr>
          <w:lang w:val="de-DE"/>
        </w:rPr>
        <w:t xml:space="preserve">Anhang 2 unterscheidet zwei Stufen, und der Unterschied ist praktisch bedeutsam: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de-DE"/>
              </w:rPr>
              <w:t xml:space="preserve">Testverfahren</w:t>
            </w:r>
          </w:p>
        </w:tc>
        <w:tc>
          <w:tcPr/>
          <w:p>
            <w:pPr>
              <w:pStyle w:val="Compact"/>
            </w:pPr>
            <w:r>
              <w:rPr>
                <w:lang w:val="de-DE"/>
              </w:rPr>
              <w:t xml:space="preserve">Erprobungsverfahren</w:t>
            </w:r>
          </w:p>
        </w:tc>
      </w:tr>
      <w:tr>
        <w:tc>
          <w:tcPr/>
          <w:p>
            <w:pPr>
              <w:pStyle w:val="Compact"/>
            </w:pPr>
            <w:r>
              <w:rPr>
                <w:lang w:val="de-DE"/>
              </w:rPr>
              <w:t xml:space="preserve">Wann</w:t>
            </w:r>
          </w:p>
        </w:tc>
        <w:tc>
          <w:tcPr/>
          <w:p>
            <w:pPr>
              <w:pStyle w:val="Compact"/>
            </w:pPr>
            <w:r>
              <w:rPr>
                <w:lang w:val="de-DE"/>
              </w:rPr>
              <w:t xml:space="preserve">vor der Erprobung, bei Versionswechseln</w:t>
            </w:r>
          </w:p>
        </w:tc>
        <w:tc>
          <w:tcPr/>
          <w:p>
            <w:pPr>
              <w:pStyle w:val="Compact"/>
            </w:pPr>
            <w:r>
              <w:rPr>
                <w:lang w:val="de-DE"/>
              </w:rPr>
              <w:t xml:space="preserve">vor dem Echtbetrieb</w:t>
            </w:r>
          </w:p>
        </w:tc>
      </w:tr>
      <w:tr>
        <w:tc>
          <w:tcPr/>
          <w:p>
            <w:pPr>
              <w:pStyle w:val="Compact"/>
            </w:pPr>
            <w:r>
              <w:rPr>
                <w:lang w:val="de-DE"/>
              </w:rPr>
              <w:t xml:space="preserve">Testindikator im</w:t>
            </w:r>
            <w:r>
              <w:rPr>
                <w:lang w:val="de-DE"/>
              </w:rPr>
              <w:t xml:space="preserve"> </w:t>
            </w:r>
            <w:r>
              <w:rPr>
                <w:rStyle w:val="VerbatimChar"/>
                <w:lang w:val="de-DE"/>
              </w:rPr>
              <w:t xml:space="preserve">UNB</w:t>
            </w:r>
          </w:p>
        </w:tc>
        <w:tc>
          <w:tcPr/>
          <w:p>
            <w:pPr>
              <w:pStyle w:val="Compact"/>
            </w:pPr>
            <w:r>
              <w:rPr>
                <w:rStyle w:val="VerbatimChar"/>
                <w:lang w:val="de-DE"/>
              </w:rPr>
              <w:t xml:space="preserve">0</w:t>
            </w:r>
          </w:p>
        </w:tc>
        <w:tc>
          <w:tcPr/>
          <w:p>
            <w:pPr>
              <w:pStyle w:val="Compact"/>
            </w:pPr>
            <w:r>
              <w:rPr>
                <w:rStyle w:val="VerbatimChar"/>
                <w:lang w:val="de-DE"/>
              </w:rPr>
              <w:t xml:space="preserve">1</w:t>
            </w:r>
          </w:p>
        </w:tc>
      </w:tr>
      <w:tr>
        <w:tc>
          <w:tcPr/>
          <w:p>
            <w:pPr>
              <w:pStyle w:val="Compact"/>
            </w:pPr>
            <w:r>
              <w:rPr>
                <w:lang w:val="de-DE"/>
              </w:rPr>
              <w:t xml:space="preserve">Physikalischer Name</w:t>
            </w:r>
          </w:p>
        </w:tc>
        <w:tc>
          <w:tcPr/>
          <w:p>
            <w:pPr>
              <w:pStyle w:val="Compact"/>
            </w:pPr>
            <w:r>
              <w:rPr>
                <w:rStyle w:val="VerbatimChar"/>
                <w:lang w:val="de-DE"/>
              </w:rPr>
              <w:t xml:space="preserve">TSOL…</w:t>
            </w:r>
          </w:p>
        </w:tc>
        <w:tc>
          <w:tcPr/>
          <w:p>
            <w:pPr>
              <w:pStyle w:val="Compact"/>
            </w:pPr>
            <w:r>
              <w:rPr>
                <w:rStyle w:val="VerbatimChar"/>
                <w:lang w:val="de-DE"/>
              </w:rPr>
              <w:t xml:space="preserve">TSOL…</w:t>
            </w:r>
          </w:p>
        </w:tc>
      </w:tr>
      <w:tr>
        <w:tc>
          <w:tcPr/>
          <w:p>
            <w:pPr>
              <w:pStyle w:val="Compact"/>
            </w:pPr>
            <w:r>
              <w:rPr>
                <w:lang w:val="de-DE"/>
              </w:rPr>
              <w:t xml:space="preserve">Geprüft wird</w:t>
            </w:r>
          </w:p>
        </w:tc>
        <w:tc>
          <w:tcPr/>
          <w:p>
            <w:pPr>
              <w:pStyle w:val="Compact"/>
            </w:pPr>
            <w:r>
              <w:rPr>
                <w:lang w:val="de-DE"/>
              </w:rPr>
              <w:t xml:space="preserve">Prüfstufen 1 bis 3</w:t>
            </w:r>
          </w:p>
        </w:tc>
        <w:tc>
          <w:tcPr/>
          <w:p>
            <w:pPr>
              <w:pStyle w:val="Compact"/>
            </w:pPr>
            <w:r>
              <w:rPr>
                <w:lang w:val="de-DE"/>
              </w:rPr>
              <w:t xml:space="preserve">vollständige Verarbeitung</w:t>
            </w:r>
          </w:p>
        </w:tc>
      </w:tr>
      <w:tr>
        <w:tc>
          <w:tcPr/>
          <w:p>
            <w:pPr>
              <w:pStyle w:val="Compact"/>
            </w:pPr>
            <w:r>
              <w:rPr>
                <w:lang w:val="de-DE"/>
              </w:rPr>
              <w:t xml:space="preserve">Zahlung</w:t>
            </w:r>
          </w:p>
        </w:tc>
        <w:tc>
          <w:tcPr/>
          <w:p>
            <w:pPr>
              <w:pStyle w:val="Compact"/>
            </w:pPr>
            <w:r>
              <w:rPr>
                <w:lang w:val="de-DE"/>
              </w:rPr>
              <w:t xml:space="preserve">nein</w:t>
            </w:r>
          </w:p>
        </w:tc>
        <w:tc>
          <w:tcPr/>
          <w:p>
            <w:pPr>
              <w:pStyle w:val="Compact"/>
            </w:pPr>
            <w:r>
              <w:rPr>
                <w:lang w:val="de-DE"/>
              </w:rPr>
              <w:t xml:space="preserve">nein</w:t>
            </w:r>
          </w:p>
        </w:tc>
      </w:tr>
      <w:tr>
        <w:tc>
          <w:tcPr/>
          <w:p>
            <w:pPr>
              <w:pStyle w:val="Compact"/>
            </w:pPr>
            <w:r>
              <w:rPr>
                <w:lang w:val="de-DE"/>
              </w:rPr>
              <w:t xml:space="preserve">Endet</w:t>
            </w:r>
          </w:p>
        </w:tc>
        <w:tc>
          <w:tcPr/>
          <w:p>
            <w:pPr>
              <w:pStyle w:val="Compact"/>
            </w:pPr>
            <w:r>
              <w:rPr>
                <w:lang w:val="de-DE"/>
              </w:rPr>
              <w:t xml:space="preserve">mit der Rückmeldung</w:t>
            </w:r>
          </w:p>
        </w:tc>
        <w:tc>
          <w:tcPr/>
          <w:p>
            <w:pPr>
              <w:pStyle w:val="Compact"/>
            </w:pPr>
            <w:r>
              <w:rPr>
                <w:lang w:val="de-DE"/>
              </w:rPr>
              <w:t xml:space="preserve">mit der</w:t>
            </w:r>
            <w:r>
              <w:rPr>
                <w:lang w:val="de-DE"/>
              </w:rPr>
              <w:t xml:space="preserve"> </w:t>
            </w:r>
            <w:r>
              <w:rPr>
                <w:b/>
                <w:bCs/>
                <w:lang w:val="de-DE"/>
              </w:rPr>
              <w:t xml:space="preserve">Zulassung zum Echtverfahren durch die Kasse</w:t>
            </w:r>
          </w:p>
        </w:tc>
      </w:tr>
    </w:tbl>
    <w:p>
      <w:pPr>
        <w:pStyle w:val="BodyText"/>
      </w:pPr>
      <w:r>
        <w:rPr>
          <w:lang w:val="de-DE"/>
        </w:rPr>
        <w:t xml:space="preserve">Zweierlei ist daran wichtig. Erstens:</w:t>
      </w:r>
      <w:r>
        <w:rPr>
          <w:lang w:val="de-DE"/>
        </w:rPr>
        <w:t xml:space="preserve"> </w:t>
      </w:r>
      <w:r>
        <w:rPr>
          <w:b/>
          <w:bCs/>
          <w:lang w:val="de-DE"/>
        </w:rPr>
        <w:t xml:space="preserve">man fragt nicht um einen Gefallen.</w:t>
      </w:r>
      <w:r>
        <w:rPr>
          <w:lang w:val="de-DE"/>
        </w:rPr>
        <w:t xml:space="preserve"> </w:t>
      </w:r>
      <w:r>
        <w:rPr>
          <w:lang w:val="de-DE"/>
        </w:rPr>
        <w:t xml:space="preserve">Die Spitzenverbände bieten das Prüfverfahren ausdrücklich auch Leistungserbringern an, „die ihre Abrechnungssoftware selbst entwickelt haben”. Es ist ein vorgesehener Weg, kein Entgegenkommen.</w:t>
      </w:r>
    </w:p>
    <w:p>
      <w:pPr>
        <w:pStyle w:val="BodyText"/>
      </w:pPr>
      <w:r>
        <w:rPr>
          <w:lang w:val="de-DE"/>
        </w:rPr>
        <w:t xml:space="preserve">Zweitens:</w:t>
      </w:r>
      <w:r>
        <w:rPr>
          <w:lang w:val="de-DE"/>
        </w:rPr>
        <w:t xml:space="preserve"> </w:t>
      </w:r>
      <w:r>
        <w:rPr>
          <w:b/>
          <w:bCs/>
          <w:lang w:val="de-DE"/>
        </w:rPr>
        <w:t xml:space="preserve">auch die Erprobungsdatei trägt den physikalischen Namen einer Testdatei.</w:t>
      </w:r>
      <w:r>
        <w:rPr>
          <w:lang w:val="de-DE"/>
        </w:rPr>
        <w:t xml:space="preserve"> </w:t>
      </w:r>
      <w:r>
        <w:rPr>
          <w:lang w:val="de-DE"/>
        </w:rPr>
        <w:t xml:space="preserve">Testindikator</w:t>
      </w:r>
      <w:r>
        <w:rPr>
          <w:lang w:val="de-DE"/>
        </w:rPr>
        <w:t xml:space="preserve"> </w:t>
      </w:r>
      <w:r>
        <w:rPr>
          <w:rStyle w:val="VerbatimChar"/>
          <w:lang w:val="de-DE"/>
        </w:rPr>
        <w:t xml:space="preserve">1</w:t>
      </w:r>
      <w:r>
        <w:rPr>
          <w:lang w:val="de-DE"/>
        </w:rPr>
        <w:t xml:space="preserve"> </w:t>
      </w:r>
      <w:r>
        <w:rPr>
          <w:lang w:val="de-DE"/>
        </w:rPr>
        <w:t xml:space="preserve">und</w:t>
      </w:r>
      <w:r>
        <w:rPr>
          <w:lang w:val="de-DE"/>
        </w:rPr>
        <w:t xml:space="preserve"> </w:t>
      </w:r>
      <w:r>
        <w:rPr>
          <w:rStyle w:val="VerbatimChar"/>
          <w:lang w:val="de-DE"/>
        </w:rPr>
        <w:t xml:space="preserve">TSOL</w:t>
      </w:r>
      <w:r>
        <w:rPr>
          <w:lang w:val="de-DE"/>
        </w:rPr>
        <w:t xml:space="preserve"> </w:t>
      </w:r>
      <w:r>
        <w:rPr>
          <w:lang w:val="de-DE"/>
        </w:rPr>
        <w:t xml:space="preserve">gehören zusammen — eine Erprobungsdatei mit</w:t>
      </w:r>
      <w:r>
        <w:rPr>
          <w:lang w:val="de-DE"/>
        </w:rPr>
        <w:t xml:space="preserve"> </w:t>
      </w:r>
      <w:r>
        <w:rPr>
          <w:rStyle w:val="VerbatimChar"/>
          <w:lang w:val="de-DE"/>
        </w:rPr>
        <w:t xml:space="preserve">ESOL</w:t>
      </w:r>
      <w:r>
        <w:rPr>
          <w:lang w:val="de-DE"/>
        </w:rPr>
        <w:t xml:space="preserve"> </w:t>
      </w:r>
      <w:r>
        <w:rPr>
          <w:lang w:val="de-DE"/>
        </w:rPr>
        <w:t xml:space="preserve">wäre in sich widersprüchlich.</w:t>
      </w:r>
    </w:p>
    <w:bookmarkEnd w:id="38"/>
    <w:bookmarkStart w:id="39" w:name="was-das-programm-davon-leistet"/>
    <w:p>
      <w:pPr>
        <w:pStyle w:val="Heading2"/>
      </w:pPr>
      <w:r>
        <w:rPr>
          <w:lang w:val="de-DE"/>
        </w:rPr>
        <w:t xml:space="preserve">Was das Programm davon leistet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Schritt</w:t>
            </w:r>
          </w:p>
        </w:tc>
        <w:tc>
          <w:tcPr/>
          <w:p>
            <w:pPr>
              <w:pStyle w:val="Compact"/>
            </w:pPr>
            <w:r>
              <w:rPr>
                <w:lang w:val="de-DE"/>
              </w:rPr>
              <w:t xml:space="preserve">Stand</w:t>
            </w:r>
          </w:p>
        </w:tc>
      </w:tr>
      <w:tr>
        <w:tc>
          <w:tcPr/>
          <w:p>
            <w:pPr>
              <w:pStyle w:val="Compact"/>
            </w:pPr>
            <w:r>
              <w:rPr>
                <w:lang w:val="de-DE"/>
              </w:rPr>
              <w:t xml:space="preserve">Nutzdaten erzeugen (SLGA + SLLA)</w:t>
            </w:r>
          </w:p>
        </w:tc>
        <w:tc>
          <w:tcPr/>
          <w:p>
            <w:pPr>
              <w:pStyle w:val="Compact"/>
            </w:pPr>
            <w:r>
              <w:rPr>
                <w:lang w:val="de-DE"/>
              </w:rPr>
              <w:t xml:space="preserve">vollständig</w:t>
            </w:r>
          </w:p>
        </w:tc>
      </w:tr>
      <w:tr>
        <w:tc>
          <w:tcPr/>
          <w:p>
            <w:pPr>
              <w:pStyle w:val="Compact"/>
            </w:pPr>
            <w:r>
              <w:rPr>
                <w:lang w:val="de-DE"/>
              </w:rPr>
              <w:t xml:space="preserve">Prüfstufen 1 bis 3 vorab selbst durchlaufen</w:t>
            </w:r>
          </w:p>
        </w:tc>
        <w:tc>
          <w:tcPr/>
          <w:p>
            <w:pPr>
              <w:pStyle w:val="Compact"/>
            </w:pPr>
            <w:r>
              <w:rPr>
                <w:lang w:val="de-DE"/>
              </w:rPr>
              <w:t xml:space="preserve">weitgehend, acht Regeln</w:t>
            </w:r>
          </w:p>
        </w:tc>
      </w:tr>
      <w:tr>
        <w:tc>
          <w:tcPr/>
          <w:p>
            <w:pPr>
              <w:pStyle w:val="Compact"/>
            </w:pPr>
            <w:r>
              <w:rPr>
                <w:lang w:val="de-DE"/>
              </w:rPr>
              <w:t xml:space="preserve">Datenaustauschreferenz fortlaufend und dauerhaft vergeben</w:t>
            </w:r>
          </w:p>
        </w:tc>
        <w:tc>
          <w:tcPr/>
          <w:p>
            <w:pPr>
              <w:pStyle w:val="Compact"/>
            </w:pPr>
            <w:r>
              <w:rPr>
                <w:lang w:val="de-DE"/>
              </w:rPr>
              <w:t xml:space="preserve">vollständig</w:t>
            </w:r>
          </w:p>
        </w:tc>
      </w:tr>
      <w:tr>
        <w:tc>
          <w:tcPr/>
          <w:p>
            <w:pPr>
              <w:pStyle w:val="Compact"/>
            </w:pPr>
            <w:r>
              <w:rPr>
                <w:lang w:val="de-DE"/>
              </w:rPr>
              <w:t xml:space="preserve">Art der Datei (Test / Erprobung / Echt)</w:t>
            </w:r>
          </w:p>
        </w:tc>
        <w:tc>
          <w:tcPr/>
          <w:p>
            <w:pPr>
              <w:pStyle w:val="Compact"/>
            </w:pPr>
            <w:r>
              <w:rPr>
                <w:lang w:val="de-DE"/>
              </w:rPr>
              <w:t xml:space="preserve">einstellbar</w:t>
            </w:r>
          </w:p>
        </w:tc>
      </w:tr>
      <w:tr>
        <w:tc>
          <w:tcPr/>
          <w:p>
            <w:pPr>
              <w:pStyle w:val="Compact"/>
            </w:pPr>
            <w:r>
              <w:rPr>
                <w:lang w:val="de-DE"/>
              </w:rPr>
              <w:t xml:space="preserve">Leistungsbereich im</w:t>
            </w:r>
            <w:r>
              <w:rPr>
                <w:lang w:val="de-DE"/>
              </w:rPr>
              <w:t xml:space="preserve"> </w:t>
            </w:r>
            <w:r>
              <w:rPr>
                <w:rStyle w:val="VerbatimChar"/>
                <w:lang w:val="de-DE"/>
              </w:rPr>
              <w:t xml:space="preserve">UNB</w:t>
            </w:r>
            <w:r>
              <w:rPr>
                <w:lang w:val="de-DE"/>
              </w:rPr>
              <w:t xml:space="preserve"> </w:t>
            </w:r>
            <w:r>
              <w:rPr>
                <w:lang w:val="de-DE"/>
              </w:rPr>
              <w:t xml:space="preserve">aus dem Abrechnungscode</w:t>
            </w:r>
          </w:p>
        </w:tc>
        <w:tc>
          <w:tcPr/>
          <w:p>
            <w:pPr>
              <w:pStyle w:val="Compact"/>
            </w:pPr>
            <w:r>
              <w:rPr>
                <w:b/>
                <w:bCs/>
                <w:lang w:val="de-DE"/>
              </w:rPr>
              <w:t xml:space="preserve">seit 07.09.2026</w:t>
            </w:r>
          </w:p>
        </w:tc>
      </w:tr>
      <w:tr>
        <w:tc>
          <w:tcPr/>
          <w:p>
            <w:pPr>
              <w:pStyle w:val="Compact"/>
            </w:pPr>
            <w:r>
              <w:rPr>
                <w:lang w:val="de-DE"/>
              </w:rPr>
              <w:t xml:space="preserve">Logischer Dateiname nach Anhang 1</w:t>
            </w:r>
          </w:p>
        </w:tc>
        <w:tc>
          <w:tcPr/>
          <w:p>
            <w:pPr>
              <w:pStyle w:val="Compact"/>
            </w:pPr>
            <w:r>
              <w:rPr>
                <w:b/>
                <w:bCs/>
                <w:lang w:val="de-DE"/>
              </w:rPr>
              <w:t xml:space="preserve">seit 07.09.2026</w:t>
            </w:r>
          </w:p>
        </w:tc>
      </w:tr>
      <w:tr>
        <w:tc>
          <w:tcPr/>
          <w:p>
            <w:pPr>
              <w:pStyle w:val="Compact"/>
            </w:pPr>
            <w:r>
              <w:rPr>
                <w:lang w:val="de-DE"/>
              </w:rPr>
              <w:t xml:space="preserve">Physikalischer Dateiname</w:t>
            </w:r>
          </w:p>
        </w:tc>
        <w:tc>
          <w:tcPr/>
          <w:p>
            <w:pPr>
              <w:pStyle w:val="Compact"/>
            </w:pPr>
            <w:r>
              <w:rPr>
                <w:lang w:val="de-DE"/>
              </w:rPr>
              <w:t xml:space="preserve">fehlt — gehört zur Auftragsdatei</w:t>
            </w:r>
          </w:p>
        </w:tc>
      </w:tr>
      <w:tr>
        <w:tc>
          <w:tcPr/>
          <w:p>
            <w:pPr>
              <w:pStyle w:val="Compact"/>
            </w:pPr>
            <w:r>
              <w:rPr>
                <w:lang w:val="de-DE"/>
              </w:rPr>
              <w:t xml:space="preserve">Auftragsdatei</w:t>
            </w:r>
          </w:p>
        </w:tc>
        <w:tc>
          <w:tcPr/>
          <w:p>
            <w:pPr>
              <w:pStyle w:val="Compact"/>
            </w:pPr>
            <w:r>
              <w:rPr>
                <w:b/>
                <w:bCs/>
                <w:lang w:val="de-DE"/>
              </w:rPr>
              <w:t xml:space="preserve">fehlt</w:t>
            </w:r>
          </w:p>
        </w:tc>
      </w:tr>
      <w:tr>
        <w:tc>
          <w:tcPr/>
          <w:p>
            <w:pPr>
              <w:pStyle w:val="Compact"/>
            </w:pPr>
            <w:r>
              <w:rPr>
                <w:lang w:val="de-DE"/>
              </w:rPr>
              <w:t xml:space="preserve">Verschlüsselung</w:t>
            </w:r>
          </w:p>
        </w:tc>
        <w:tc>
          <w:tcPr/>
          <w:p>
            <w:pPr>
              <w:pStyle w:val="Compact"/>
            </w:pPr>
            <w:r>
              <w:rPr>
                <w:b/>
                <w:bCs/>
                <w:lang w:val="de-DE"/>
              </w:rPr>
              <w:t xml:space="preserve">fehlt</w:t>
            </w:r>
          </w:p>
        </w:tc>
      </w:tr>
      <w:tr>
        <w:tc>
          <w:tcPr/>
          <w:p>
            <w:pPr>
              <w:pStyle w:val="Compact"/>
            </w:pPr>
            <w:r>
              <w:rPr>
                <w:lang w:val="de-DE"/>
              </w:rPr>
              <w:t xml:space="preserve">Zuordnung zur Datenannahmestelle statt zur Kasse</w:t>
            </w:r>
          </w:p>
        </w:tc>
        <w:tc>
          <w:tcPr/>
          <w:p>
            <w:pPr>
              <w:pStyle w:val="Compact"/>
            </w:pPr>
            <w:r>
              <w:rPr>
                <w:b/>
                <w:bCs/>
                <w:lang w:val="de-DE"/>
              </w:rPr>
              <w:t xml:space="preserve">fehlt</w:t>
            </w:r>
          </w:p>
        </w:tc>
      </w:tr>
      <w:tr>
        <w:tc>
          <w:tcPr/>
          <w:p>
            <w:pPr>
              <w:pStyle w:val="Compact"/>
            </w:pPr>
            <w:r>
              <w:rPr>
                <w:lang w:val="de-DE"/>
              </w:rPr>
              <w:t xml:space="preserve">Übertragung selbst</w:t>
            </w:r>
          </w:p>
        </w:tc>
        <w:tc>
          <w:tcPr/>
          <w:p>
            <w:pPr>
              <w:pStyle w:val="Compact"/>
            </w:pPr>
            <w:r>
              <w:rPr>
                <w:lang w:val="de-DE"/>
              </w:rPr>
              <w:t xml:space="preserve">dateibasiert, kein realer Weg</w:t>
            </w:r>
          </w:p>
        </w:tc>
      </w:tr>
    </w:tbl>
    <w:p>
      <w:pPr>
        <w:pStyle w:val="BodyText"/>
      </w:pPr>
      <w:r>
        <w:rPr>
          <w:lang w:val="de-DE"/>
        </w:rPr>
        <w:t xml:space="preserve">Die eigene Prüfung vor dem Versand ist kein Beiwerk: der Absender hat sicherzustellen, dass</w:t>
      </w:r>
      <w:r>
        <w:rPr>
          <w:lang w:val="de-DE"/>
        </w:rPr>
        <w:t xml:space="preserve"> </w:t>
      </w:r>
      <w:r>
        <w:rPr>
          <w:b/>
          <w:bCs/>
          <w:lang w:val="de-DE"/>
        </w:rPr>
        <w:t xml:space="preserve">nur geprüfte Datensätze übermittelt werden</w:t>
      </w:r>
      <w:r>
        <w:rPr>
          <w:lang w:val="de-DE"/>
        </w:rPr>
        <w:t xml:space="preserve"> </w:t>
      </w:r>
      <w:r>
        <w:rPr>
          <w:lang w:val="de-DE"/>
        </w:rPr>
        <w:t xml:space="preserve">(Anlage 1, Abschnitt 3 Absatz 3). Genau dafür ist die Prüfstufe im Programm das Tor vor dem Versand.</w:t>
      </w:r>
    </w:p>
    <w:bookmarkEnd w:id="39"/>
    <w:bookmarkStart w:id="41" w:name="drei-mögliche-wege"/>
    <w:p>
      <w:pPr>
        <w:pStyle w:val="Heading2"/>
      </w:pPr>
      <w:r>
        <w:rPr>
          <w:lang w:val="de-DE"/>
        </w:rPr>
        <w:t xml:space="preserve">Drei mögliche Wege</w:t>
      </w:r>
    </w:p>
    <w:p>
      <w:pPr>
        <w:pStyle w:val="FirstParagraph"/>
      </w:pPr>
      <w:r>
        <w:rPr>
          <w:b/>
          <w:bCs/>
          <w:lang w:val="de-DE"/>
        </w:rPr>
        <w:t xml:space="preserve">A — Selbst übermitteln.</w:t>
      </w:r>
      <w:r>
        <w:rPr>
          <w:lang w:val="de-DE"/>
        </w:rPr>
        <w:t xml:space="preserve"> </w:t>
      </w:r>
      <w:r>
        <w:rPr>
          <w:lang w:val="de-DE"/>
        </w:rPr>
        <w:t xml:space="preserve">Eigenes IK, eigenes Zertifikat, eigener Transportweg. Volle Kontrolle, keine laufenden Kosten je Rechnung. Zu bauen sind Auftragsdatei, Verschlüsselung, Empfängerermittlung aus der Kostenträgerdatei und der Versandweg; dazu kommt eine Erprobung je Annahmestelle.</w:t>
      </w:r>
    </w:p>
    <w:p>
      <w:pPr>
        <w:pStyle w:val="BodyText"/>
      </w:pPr>
      <w:r>
        <w:rPr>
          <w:b/>
          <w:bCs/>
          <w:lang w:val="de-DE"/>
        </w:rPr>
        <w:t xml:space="preserve">B — Über eine Abrechnungsstelle.</w:t>
      </w:r>
      <w:r>
        <w:rPr>
          <w:lang w:val="de-DE"/>
        </w:rPr>
        <w:t xml:space="preserve"> </w:t>
      </w:r>
      <w:r>
        <w:rPr>
          <w:lang w:val="de-DE"/>
        </w:rPr>
        <w:t xml:space="preserve">Ein Dienstleister übernimmt Übermittlung und häufig auch das Inkasso. Die Technische Anlage sieht dafür die</w:t>
      </w:r>
      <w:r>
        <w:rPr>
          <w:lang w:val="de-DE"/>
        </w:rPr>
        <w:t xml:space="preserve"> </w:t>
      </w:r>
      <w:r>
        <w:rPr>
          <w:b/>
          <w:bCs/>
          <w:lang w:val="de-DE"/>
        </w:rPr>
        <w:t xml:space="preserve">Rechnungsart 2</w:t>
      </w:r>
      <w:r>
        <w:rPr>
          <w:lang w:val="de-DE"/>
        </w:rPr>
        <w:t xml:space="preserve"> </w:t>
      </w:r>
      <w:r>
        <w:rPr>
          <w:lang w:val="de-DE"/>
        </w:rPr>
        <w:t xml:space="preserve">vor: der Dienstleister sendet, Zahlung geht an das IK der Leistungserbringerin. Der Einstieg ist deutlich einfacher, es entstehen Kosten je Rechnung, und eine Abhängigkeit.</w:t>
      </w:r>
    </w:p>
    <w:p>
      <w:pPr>
        <w:pStyle w:val="BodyText"/>
      </w:pPr>
      <w:r>
        <w:rPr>
          <w:b/>
          <w:bCs/>
          <w:lang w:val="de-DE"/>
        </w:rPr>
        <w:t xml:space="preserve">C — Erzeugen und prüfen, Übergabe als Datei.</w:t>
      </w:r>
      <w:r>
        <w:rPr>
          <w:lang w:val="de-DE"/>
        </w:rPr>
        <w:t xml:space="preserve"> </w:t>
      </w:r>
      <w:r>
        <w:rPr>
          <w:lang w:val="de-DE"/>
        </w:rPr>
        <w:t xml:space="preserve">Der heutige Stand: das Programm erstellt die geprüfte Datei, die Übermittlung geschieht auf anderem Weg.</w:t>
      </w:r>
    </w:p>
    <w:p>
      <w:pPr>
        <w:pStyle w:val="BodyText"/>
      </w:pPr>
      <w:r>
        <w:rPr>
          <w:b/>
          <w:bCs/>
          <w:lang w:val="de-DE"/>
        </w:rPr>
        <w:t xml:space="preserve">Empfehlung: C, dann B, dann A — mit einer Einschränkung gegenüber der Einschätzung vom Vortag.</w:t>
      </w:r>
      <w:r>
        <w:rPr>
          <w:lang w:val="de-DE"/>
        </w:rPr>
        <w:t xml:space="preserve"> </w:t>
      </w:r>
      <w:r>
        <w:rPr>
          <w:lang w:val="de-DE"/>
        </w:rPr>
        <w:t xml:space="preserve">Weg A ist näher, als er aussah. Was ihn versperrt hat, war nicht die Schwierigkeit, sondern die Unkenntnis: die fehlenden Anhänge waren frei verfügbar, der Empfänger steht in einer öffentlichen Datei, und das Zertifikat kostet</w:t>
      </w:r>
      <w:r>
        <w:rPr>
          <w:lang w:val="de-DE"/>
        </w:rPr>
        <w:t xml:space="preserve"> </w:t>
      </w:r>
      <w:r>
        <w:rPr>
          <w:b/>
          <w:bCs/>
          <w:lang w:val="de-DE"/>
        </w:rPr>
        <w:t xml:space="preserve">79 € zuzüglich Umsatzsteuer</w:t>
      </w:r>
      <w:r>
        <w:rPr>
          <w:lang w:val="de-DE"/>
        </w:rPr>
        <w:t xml:space="preserve"> </w:t>
      </w:r>
      <w:r>
        <w:rPr>
          <w:lang w:val="de-DE"/>
        </w:rPr>
        <w:t xml:space="preserve">für den Erstantrag, danach</w:t>
      </w:r>
      <w:r>
        <w:rPr>
          <w:lang w:val="de-DE"/>
        </w:rPr>
        <w:t xml:space="preserve"> </w:t>
      </w:r>
      <w:r>
        <w:rPr>
          <w:b/>
          <w:bCs/>
          <w:lang w:val="de-DE"/>
        </w:rPr>
        <w:t xml:space="preserve">49 €</w:t>
      </w:r>
      <w:r>
        <w:rPr>
          <w:lang w:val="de-DE"/>
        </w:rPr>
        <w:t xml:space="preserve"> </w:t>
      </w:r>
      <w:r>
        <w:rPr>
          <w:lang w:val="de-DE"/>
        </w:rPr>
        <w:t xml:space="preserve">je Folgeantrag über die Online-Schnittstelle. Es gilt</w:t>
      </w:r>
      <w:r>
        <w:rPr>
          <w:lang w:val="de-DE"/>
        </w:rPr>
        <w:t xml:space="preserve"> </w:t>
      </w:r>
      <w:r>
        <w:rPr>
          <w:b/>
          <w:bCs/>
          <w:lang w:val="de-DE"/>
        </w:rPr>
        <w:t xml:space="preserve">ein Jahr</w:t>
      </w:r>
      <w:r>
        <w:rPr>
          <w:lang w:val="de-DE"/>
        </w:rPr>
        <w:t xml:space="preserve"> </w:t>
      </w:r>
      <w:r>
        <w:rPr>
          <w:lang w:val="de-DE"/>
        </w:rPr>
        <w:t xml:space="preserve">und wird in drei bis vier Arbeitstagen ausgestellt; beantragt wird es beim</w:t>
      </w:r>
      <w:r>
        <w:rPr>
          <w:lang w:val="de-DE"/>
        </w:rPr>
        <w:t xml:space="preserve"> </w:t>
      </w:r>
      <w:hyperlink r:id="rId40">
        <w:r>
          <w:rPr>
            <w:rStyle w:val="Hyperlink"/>
            <w:lang w:val="de-DE"/>
          </w:rPr>
          <w:t xml:space="preserve">ITSG Trust Center für sonstige Leistungserbringer</w:t>
        </w:r>
      </w:hyperlink>
      <w:r>
        <w:rPr>
          <w:lang w:val="de-DE"/>
        </w:rPr>
        <w:t xml:space="preserve">.</w:t>
      </w:r>
    </w:p>
    <w:p>
      <w:pPr>
        <w:pStyle w:val="BodyText"/>
      </w:pPr>
      <w:r>
        <w:rPr>
          <w:lang w:val="de-DE"/>
        </w:rPr>
        <w:t xml:space="preserve">Trotzdem bleibt die Reihenfolge. Nicht wegen der Kosten, sondern wegen der Reihenfolge des Lernens: Weg B liefert echte Beanstandungen echter Kassen, und genau die sind die Vorbereitung auf die Erprobung, die Weg A verlangt.</w:t>
      </w:r>
    </w:p>
    <w:p>
      <w:pPr>
        <w:pStyle w:val="BodyText"/>
      </w:pPr>
      <w:r>
        <w:rPr>
          <w:b/>
          <w:bCs/>
          <w:lang w:val="de-DE"/>
        </w:rPr>
        <w:t xml:space="preserve">Der Umbau bleibt in jedem Fall überschaubar</w:t>
      </w:r>
      <w:r>
        <w:rPr>
          <w:lang w:val="de-DE"/>
        </w:rPr>
        <w:t xml:space="preserve">, weil der Transport hinter einer einzigen Schnittstelle liegt:</w:t>
      </w:r>
      <w:r>
        <w:rPr>
          <w:lang w:val="de-DE"/>
        </w:rPr>
        <w:t xml:space="preserve"> </w:t>
      </w:r>
      <w:r>
        <w:rPr>
          <w:rStyle w:val="VerbatimChar"/>
          <w:lang w:val="de-DE"/>
        </w:rPr>
        <w:t xml:space="preserve">BillingOfficeTransport</w:t>
      </w:r>
      <w:r>
        <w:rPr>
          <w:lang w:val="de-DE"/>
        </w:rPr>
        <w:t xml:space="preserve">. Erzeugung, Prüfung, Zuordnung und Auswertung der Rückmeldungen bleiben unverändert.</w:t>
      </w:r>
    </w:p>
    <w:bookmarkEnd w:id="41"/>
    <w:bookmarkStart w:id="42" w:name="was-noch-zu-beschaffen-ist"/>
    <w:p>
      <w:pPr>
        <w:pStyle w:val="Heading2"/>
      </w:pPr>
      <w:r>
        <w:rPr>
          <w:lang w:val="de-DE"/>
        </w:rPr>
        <w:t xml:space="preserve">Was noch zu beschaffen ist</w:t>
      </w:r>
    </w:p>
    <w:p>
      <w:pPr>
        <w:pStyle w:val="FirstParagraph"/>
      </w:pPr>
      <w:r>
        <w:rPr>
          <w:lang w:val="de-DE"/>
        </w:rPr>
        <w:t xml:space="preserve">Die Liste ist kürzer geworden. Keiner dieser Punkte lässt sich programmieren:</w:t>
      </w:r>
    </w:p>
    <w:p>
      <w:pPr>
        <w:pStyle w:val="Compact"/>
        <w:numPr>
          <w:ilvl w:val="0"/>
          <w:numId w:val="1004"/>
        </w:numPr>
      </w:pPr>
      <w:r>
        <w:rPr>
          <w:lang w:val="de-DE"/>
        </w:rPr>
        <w:t xml:space="preserve">ein eigenes</w:t>
      </w:r>
      <w:r>
        <w:rPr>
          <w:lang w:val="de-DE"/>
        </w:rPr>
        <w:t xml:space="preserve"> </w:t>
      </w:r>
      <w:r>
        <w:rPr>
          <w:b/>
          <w:bCs/>
          <w:lang w:val="de-DE"/>
        </w:rPr>
        <w:t xml:space="preserve">Betriebsstätten-IK</w:t>
      </w:r>
      <w:r>
        <w:rPr>
          <w:lang w:val="de-DE"/>
        </w:rPr>
        <w:t xml:space="preserve"> </w:t>
      </w:r>
      <w:r>
        <w:rPr>
          <w:lang w:val="de-DE"/>
        </w:rPr>
        <w:t xml:space="preserve">(bei der ARGE·IK)</w:t>
      </w:r>
    </w:p>
    <w:p>
      <w:pPr>
        <w:pStyle w:val="Compact"/>
        <w:numPr>
          <w:ilvl w:val="0"/>
          <w:numId w:val="1004"/>
        </w:numPr>
      </w:pPr>
      <w:r>
        <w:rPr>
          <w:lang w:val="de-DE"/>
        </w:rPr>
        <w:t xml:space="preserve">ein</w:t>
      </w:r>
      <w:r>
        <w:rPr>
          <w:lang w:val="de-DE"/>
        </w:rPr>
        <w:t xml:space="preserve"> </w:t>
      </w:r>
      <w:r>
        <w:rPr>
          <w:b/>
          <w:bCs/>
          <w:lang w:val="de-DE"/>
        </w:rPr>
        <w:t xml:space="preserve">Zertifikat</w:t>
      </w:r>
      <w:r>
        <w:rPr>
          <w:lang w:val="de-DE"/>
        </w:rPr>
        <w:t xml:space="preserve"> </w:t>
      </w:r>
      <w:r>
        <w:rPr>
          <w:lang w:val="de-DE"/>
        </w:rPr>
        <w:t xml:space="preserve">des ITSG Trust Centers, siehe oben</w:t>
      </w:r>
    </w:p>
    <w:p>
      <w:pPr>
        <w:pStyle w:val="Compact"/>
        <w:numPr>
          <w:ilvl w:val="0"/>
          <w:numId w:val="1004"/>
        </w:numPr>
      </w:pPr>
      <w:r>
        <w:rPr>
          <w:lang w:val="de-DE"/>
        </w:rPr>
        <w:t xml:space="preserve">die</w:t>
      </w:r>
      <w:r>
        <w:rPr>
          <w:lang w:val="de-DE"/>
        </w:rPr>
        <w:t xml:space="preserve"> </w:t>
      </w:r>
      <w:r>
        <w:rPr>
          <w:b/>
          <w:bCs/>
          <w:lang w:val="de-DE"/>
        </w:rPr>
        <w:t xml:space="preserve">Anmeldung als Kommunikationspartner</w:t>
      </w:r>
      <w:r>
        <w:rPr>
          <w:lang w:val="de-DE"/>
        </w:rPr>
        <w:t xml:space="preserve"> </w:t>
      </w:r>
      <w:r>
        <w:rPr>
          <w:lang w:val="de-DE"/>
        </w:rPr>
        <w:t xml:space="preserve">bei der Datenannahmestelle — Prüfstufe 1 prüft sie ab</w:t>
      </w:r>
    </w:p>
    <w:p>
      <w:pPr>
        <w:pStyle w:val="Compact"/>
        <w:numPr>
          <w:ilvl w:val="0"/>
          <w:numId w:val="1004"/>
        </w:numPr>
      </w:pPr>
      <w:r>
        <w:rPr>
          <w:lang w:val="de-DE"/>
        </w:rPr>
        <w:t xml:space="preserve">die gültigen</w:t>
      </w:r>
      <w:r>
        <w:rPr>
          <w:lang w:val="de-DE"/>
        </w:rPr>
        <w:t xml:space="preserve"> </w:t>
      </w:r>
      <w:r>
        <w:rPr>
          <w:b/>
          <w:bCs/>
          <w:lang w:val="de-DE"/>
        </w:rPr>
        <w:t xml:space="preserve">Abrechnungspositionsnummern</w:t>
      </w:r>
      <w:r>
        <w:rPr>
          <w:lang w:val="de-DE"/>
        </w:rPr>
        <w:t xml:space="preserve"> </w:t>
      </w:r>
      <w:r>
        <w:rPr>
          <w:lang w:val="de-DE"/>
        </w:rPr>
        <w:t xml:space="preserve">aus dem bundeseinheitlichen Positionsnummernverzeichnis der Hebammenhilfe-Vergütungsvereinbarung und das</w:t>
      </w:r>
      <w:r>
        <w:rPr>
          <w:lang w:val="de-DE"/>
        </w:rPr>
        <w:t xml:space="preserve"> </w:t>
      </w:r>
      <w:r>
        <w:rPr>
          <w:b/>
          <w:bCs/>
          <w:lang w:val="de-DE"/>
        </w:rPr>
        <w:t xml:space="preserve">Tarifkennzeichen</w:t>
      </w:r>
      <w:r>
        <w:rPr>
          <w:lang w:val="de-DE"/>
        </w:rPr>
        <w:t xml:space="preserve"> </w:t>
      </w:r>
      <w:r>
        <w:rPr>
          <w:lang w:val="de-DE"/>
        </w:rPr>
        <w:t xml:space="preserve">aus dem Vertrag</w:t>
      </w:r>
    </w:p>
    <w:p>
      <w:pPr>
        <w:pStyle w:val="FirstParagraph"/>
      </w:pPr>
      <w:r>
        <w:rPr>
          <w:lang w:val="de-DE"/>
        </w:rPr>
        <w:t xml:space="preserve">Der letzte Punkt ist der einzige, der heute schon stört: die Vorbelegung führt eine neunstellige Positionsnummer, für Hebammenhilfe sind nach Anlage 3, Abschnitt 8.2.6 aber vier oder fünf Stellen vorgesehen.</w:t>
      </w:r>
      <w:r>
        <w:rPr>
          <w:lang w:val="de-DE"/>
        </w:rPr>
        <w:t xml:space="preserve"> </w:t>
      </w:r>
      <w:r>
        <w:rPr>
          <w:rStyle w:val="VerbatimChar"/>
          <w:lang w:val="de-DE"/>
        </w:rPr>
        <w:t xml:space="preserve">PositionsnummerRegel</w:t>
      </w:r>
      <w:r>
        <w:rPr>
          <w:lang w:val="de-DE"/>
        </w:rPr>
        <w:t xml:space="preserve"> </w:t>
      </w:r>
      <w:r>
        <w:rPr>
          <w:lang w:val="de-DE"/>
        </w:rPr>
        <w:t xml:space="preserve">warnt bei jedem Lauf, hält ihn aber nicht auf — eine Sperre ohne Ausgang wäre schlimmer, solange das Verzeichnis fehlt.</w:t>
      </w:r>
    </w:p>
    <w:bookmarkEnd w:id="42"/>
    <w:bookmarkStart w:id="43" w:name="pflichten-neben-der-übermittlung"/>
    <w:p>
      <w:pPr>
        <w:pStyle w:val="Heading2"/>
      </w:pPr>
      <w:r>
        <w:rPr>
          <w:lang w:val="de-DE"/>
        </w:rPr>
        <w:t xml:space="preserve">Pflichten neben der Übermittlung</w:t>
      </w:r>
    </w:p>
    <w:p>
      <w:pPr>
        <w:pStyle w:val="FirstParagraph"/>
      </w:pPr>
      <w:r>
        <w:rPr>
          <w:lang w:val="de-DE"/>
        </w:rPr>
        <w:t xml:space="preserve">Die Technische Anlage verlangt zweierlei, das nicht in der Datei steht:</w:t>
      </w:r>
    </w:p>
    <w:p>
      <w:pPr>
        <w:pStyle w:val="Compact"/>
        <w:numPr>
          <w:ilvl w:val="0"/>
          <w:numId w:val="1005"/>
        </w:numPr>
      </w:pPr>
      <w:r>
        <w:rPr>
          <w:lang w:val="de-DE"/>
        </w:rPr>
        <w:t xml:space="preserve">Über den Datenaustausch ist eine</w:t>
      </w:r>
      <w:r>
        <w:rPr>
          <w:lang w:val="de-DE"/>
        </w:rPr>
        <w:t xml:space="preserve"> </w:t>
      </w:r>
      <w:r>
        <w:rPr>
          <w:b/>
          <w:bCs/>
          <w:lang w:val="de-DE"/>
        </w:rPr>
        <w:t xml:space="preserve">Dokumentation</w:t>
      </w:r>
      <w:r>
        <w:rPr>
          <w:lang w:val="de-DE"/>
        </w:rPr>
        <w:t xml:space="preserve"> </w:t>
      </w:r>
      <w:r>
        <w:rPr>
          <w:lang w:val="de-DE"/>
        </w:rPr>
        <w:t xml:space="preserve">zu führen und</w:t>
      </w:r>
      <w:r>
        <w:rPr>
          <w:lang w:val="de-DE"/>
        </w:rPr>
        <w:t xml:space="preserve"> </w:t>
      </w:r>
      <w:r>
        <w:rPr>
          <w:b/>
          <w:bCs/>
          <w:lang w:val="de-DE"/>
        </w:rPr>
        <w:t xml:space="preserve">mindestens zwei Jahre</w:t>
      </w:r>
      <w:r>
        <w:rPr>
          <w:lang w:val="de-DE"/>
        </w:rPr>
        <w:t xml:space="preserve"> </w:t>
      </w:r>
      <w:r>
        <w:rPr>
          <w:lang w:val="de-DE"/>
        </w:rPr>
        <w:t xml:space="preserve">aufzubewahren. Anhang 1, Abschnitt 4.5 nennt die Mindestinhalte: physikalischer Dateiname, Erstellungsdatum, laufende Nummer, Kommunikationspartner, Beginn und Ende der Übermittlung, Dateigröße, Verarbeitungshinweise, Senden oder Empfangen, fehlerfrei oder fehlerhaft und im Fehlerfall der Fehlerstatus.</w:t>
      </w:r>
    </w:p>
    <w:p>
      <w:pPr>
        <w:pStyle w:val="Compact"/>
        <w:numPr>
          <w:ilvl w:val="0"/>
          <w:numId w:val="1005"/>
        </w:numPr>
      </w:pPr>
      <w:r>
        <w:rPr>
          <w:lang w:val="de-DE"/>
        </w:rPr>
        <w:t xml:space="preserve">Eine</w:t>
      </w:r>
      <w:r>
        <w:rPr>
          <w:lang w:val="de-DE"/>
        </w:rPr>
        <w:t xml:space="preserve"> </w:t>
      </w:r>
      <w:r>
        <w:rPr>
          <w:b/>
          <w:bCs/>
          <w:lang w:val="de-DE"/>
        </w:rPr>
        <w:t xml:space="preserve">Sicherungskopie</w:t>
      </w:r>
      <w:r>
        <w:rPr>
          <w:lang w:val="de-DE"/>
        </w:rPr>
        <w:t xml:space="preserve"> </w:t>
      </w:r>
      <w:r>
        <w:rPr>
          <w:lang w:val="de-DE"/>
        </w:rPr>
        <w:t xml:space="preserve">der Daten ist bis zur Bezahlung vorzuhalten, damit sich eine verlorene oder zurückgewiesene Lieferung rekonstruieren lässt.</w:t>
      </w:r>
    </w:p>
    <w:p>
      <w:pPr>
        <w:pStyle w:val="FirstParagraph"/>
      </w:pPr>
      <w:r>
        <w:rPr>
          <w:lang w:val="de-DE"/>
        </w:rPr>
        <w:t xml:space="preserve">Beides ist im Programm bisher nicht abgebildet und gehört zum Weg in den Echtbetrieb. Die geforderte Dokumentation ist dabei fast ein Nebenprodukt: die Angaben entstehen ohnehin beim Versand, sie werden nur nirgends festgehalten.</w:t>
      </w:r>
      <w:r>
        <w:rPr>
          <w:lang w:val="de-DE"/>
        </w:rPr>
        <w:t xml:space="preserve"> </w:t>
      </w:r>
      <w:r>
        <w:rPr>
          <w:lang w:val="de-DE"/>
        </w:rPr>
        <w:t xml:space="preserve"># Aufbau des Programms</w:t>
      </w:r>
    </w:p>
    <w:bookmarkEnd w:id="43"/>
    <w:bookmarkStart w:id="44"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44"/>
    <w:bookmarkStart w:id="48"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46" name="Picture"/>
            <a:graphic>
              <a:graphicData uri="http://schemas.openxmlformats.org/drawingml/2006/picture">
                <pic:pic>
                  <pic:nvPicPr>
                    <pic:cNvPr descr="GKVTransmitter_Domaene.png" id="47" name="Picture"/>
                    <pic:cNvPicPr>
                      <a:picLocks noChangeArrowheads="1" noChangeAspect="1"/>
                    </pic:cNvPicPr>
                  </pic:nvPicPr>
                  <pic:blipFill>
                    <a:blip r:embed="rId45"/>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48"/>
    <w:bookmarkStart w:id="52"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50" name="Picture"/>
            <a:graphic>
              <a:graphicData uri="http://schemas.openxmlformats.org/drawingml/2006/picture">
                <pic:pic>
                  <pic:nvPicPr>
                    <pic:cNvPr descr="GKVTransmitter_DTA_und_Versand.png" id="51" name="Picture"/>
                    <pic:cNvPicPr>
                      <a:picLocks noChangeArrowheads="1" noChangeAspect="1"/>
                    </pic:cNvPicPr>
                  </pic:nvPicPr>
                  <pic:blipFill>
                    <a:blip r:embed="rId49"/>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52"/>
    <w:bookmarkStart w:id="56"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54" name="Picture"/>
            <a:graphic>
              <a:graphicData uri="http://schemas.openxmlformats.org/drawingml/2006/picture">
                <pic:pic>
                  <pic:nvPicPr>
                    <pic:cNvPr descr="GKVTransmitter_Praesentation_und_Persistenz.png" id="55" name="Picture"/>
                    <pic:cNvPicPr>
                      <a:picLocks noChangeArrowheads="1" noChangeAspect="1"/>
                    </pic:cNvPicPr>
                  </pic:nvPicPr>
                  <pic:blipFill>
                    <a:blip r:embed="rId53"/>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56"/>
    <w:bookmarkStart w:id="57"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sieben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Meldungen</w:t>
            </w:r>
          </w:p>
        </w:tc>
        <w:tc>
          <w:tcPr/>
          <w:p>
            <w:pPr>
              <w:pStyle w:val="Compact"/>
            </w:pPr>
            <w:r>
              <w:rPr>
                <w:lang w:val="de-DE"/>
              </w:rPr>
              <w:t xml:space="preserve">die Meldungsecke im Fenster</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57"/>
    <w:bookmarkEnd w:id="58"/>
    <w:bookmarkStart w:id="61" w:name="konfiguration"/>
    <w:p>
      <w:pPr>
        <w:pStyle w:val="Heading1"/>
      </w:pPr>
      <w:r>
        <w:rPr>
          <w:lang w:val="de-DE"/>
        </w:rPr>
        <w:t xml:space="preserve">Konfiguration</w:t>
      </w:r>
    </w:p>
    <w:bookmarkStart w:id="59" w:name="einstellungen-in-der-anwendung"/>
    <w:p>
      <w:pPr>
        <w:pStyle w:val="Heading2"/>
      </w:pPr>
      <w:r>
        <w:rPr>
          <w:lang w:val="de-DE"/>
        </w:rPr>
        <w:t xml:space="preserve">Einstellungen in der Anwendung</w:t>
      </w:r>
    </w:p>
    <w:p>
      <w:pPr>
        <w:pStyle w:val="FirstParagraph"/>
      </w:pPr>
      <w:r>
        <w:rPr>
          <w:lang w:val="de-DE"/>
        </w:rPr>
        <w:t xml:space="preserve">Was sich im Bereich „Einstellungen” wählen lässt, steht in der Tabelle</w:t>
      </w:r>
      <w:r>
        <w:rPr>
          <w:lang w:val="de-DE"/>
        </w:rPr>
        <w:t xml:space="preserve"> </w:t>
      </w:r>
      <w:r>
        <w:rPr>
          <w:rStyle w:val="VerbatimChar"/>
          <w:lang w:val="de-DE"/>
        </w:rPr>
        <w:t xml:space="preserve">einstellung</w:t>
      </w:r>
      <w:r>
        <w:rPr>
          <w:lang w:val="de-DE"/>
        </w:rPr>
        <w:t xml:space="preserve"> </w:t>
      </w:r>
      <w:r>
        <w:rPr>
          <w:lang w:val="de-DE"/>
        </w:rPr>
        <w:t xml:space="preserve">der Datenbank — also im Ablageort der Daten und</w:t>
      </w:r>
      <w:r>
        <w:rPr>
          <w:lang w:val="de-DE"/>
        </w:rPr>
        <w:t xml:space="preserve"> </w:t>
      </w:r>
      <w:r>
        <w:rPr>
          <w:b/>
          <w:bCs/>
          <w:lang w:val="de-DE"/>
        </w:rPr>
        <w:t xml:space="preserve">nicht im Programmordner</w:t>
      </w:r>
      <w:r>
        <w:rPr>
          <w:lang w:val="de-DE"/>
        </w:rPr>
        <w:t xml:space="preserve">. Wer die Datenbank sichert oder auf einen anderen Rechner mitnimmt, nimmt die Einstellungen mit.</w:t>
      </w:r>
    </w:p>
    <w:p>
      <w:pPr>
        <w:pStyle w:val="BodyText"/>
      </w:pPr>
      <w:r>
        <w:rPr>
          <w:lang w:val="de-DE"/>
        </w:rPr>
        <w:t xml:space="preserve">Einen Tag lang war es eine eigene Datei</w:t>
      </w:r>
      <w:r>
        <w:rPr>
          <w:lang w:val="de-DE"/>
        </w:rPr>
        <w:t xml:space="preserve"> </w:t>
      </w:r>
      <w:r>
        <w:rPr>
          <w:rStyle w:val="VerbatimChar"/>
          <w:lang w:val="de-DE"/>
        </w:rPr>
        <w:t xml:space="preserve">einstellungen.json</w:t>
      </w:r>
      <w:r>
        <w:rPr>
          <w:lang w:val="de-DE"/>
        </w:rPr>
        <w:t xml:space="preserve"> </w:t>
      </w:r>
      <w:r>
        <w:rPr>
          <w:lang w:val="de-DE"/>
        </w:rPr>
        <w:t xml:space="preserve">neben der Datenbank. Sie hat sich nicht gehalten: sie lag im selben Ordner, wurde von derselben Sicherung erfasst und folgte demselben</w:t>
      </w:r>
      <w:r>
        <w:rPr>
          <w:lang w:val="de-DE"/>
        </w:rPr>
        <w:t xml:space="preserve"> </w:t>
      </w:r>
      <w:r>
        <w:rPr>
          <w:rStyle w:val="VerbatimChar"/>
          <w:lang w:val="de-DE"/>
        </w:rPr>
        <w:t xml:space="preserve">gkv.home</w:t>
      </w:r>
      <w:r>
        <w:rPr>
          <w:lang w:val="de-DE"/>
        </w:rPr>
        <w:t xml:space="preserve"> </w:t>
      </w:r>
      <w:r>
        <w:rPr>
          <w:lang w:val="de-DE"/>
        </w:rPr>
        <w:t xml:space="preserve">— sie konnte nichts, was die Datenbank nicht auch kann, brachte aber einen zweiten Ablageweg mit eigenem Lese-, Schreib- und Nebendateifehler 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Schlüssel</w:t>
            </w:r>
          </w:p>
        </w:tc>
        <w:tc>
          <w:tcPr/>
          <w:p>
            <w:pPr>
              <w:pStyle w:val="Compact"/>
            </w:pPr>
            <w:r>
              <w:rPr>
                <w:lang w:val="de-DE"/>
              </w:rPr>
              <w:t xml:space="preserve">Werte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darstellung</w:t>
            </w:r>
          </w:p>
        </w:tc>
        <w:tc>
          <w:tcPr/>
          <w:p>
            <w:pPr>
              <w:pStyle w:val="Compact"/>
            </w:pPr>
            <w:r>
              <w:rPr>
                <w:rStyle w:val="VerbatimChar"/>
                <w:lang w:val="de-DE"/>
              </w:rPr>
              <w:t xml:space="preserve">hell</w:t>
            </w:r>
            <w:r>
              <w:rPr>
                <w:lang w:val="de-DE"/>
              </w:rPr>
              <w:t xml:space="preserve">,</w:t>
            </w:r>
            <w:r>
              <w:rPr>
                <w:lang w:val="de-DE"/>
              </w:rPr>
              <w:t xml:space="preserve"> </w:t>
            </w:r>
            <w:r>
              <w:rPr>
                <w:rStyle w:val="VerbatimChar"/>
                <w:lang w:val="de-DE"/>
              </w:rPr>
              <w:t xml:space="preserve">dunkel</w:t>
            </w:r>
          </w:p>
        </w:tc>
        <w:tc>
          <w:tcPr/>
          <w:p>
            <w:pPr>
              <w:pStyle w:val="Compact"/>
            </w:pPr>
            <w:r>
              <w:rPr>
                <w:rStyle w:val="VerbatimChar"/>
                <w:lang w:val="de-DE"/>
              </w:rPr>
              <w:t xml:space="preserve">hell</w:t>
            </w:r>
          </w:p>
        </w:tc>
        <w:tc>
          <w:tcPr/>
          <w:p>
            <w:pPr>
              <w:pStyle w:val="Compact"/>
            </w:pPr>
            <w:r>
              <w:rPr>
                <w:lang w:val="de-DE"/>
              </w:rPr>
              <w:t xml:space="preserve">helle oder dunkle Oberfläche</w:t>
            </w:r>
          </w:p>
        </w:tc>
      </w:tr>
      <w:tr>
        <w:tc>
          <w:tcPr/>
          <w:p>
            <w:pPr>
              <w:pStyle w:val="Compact"/>
            </w:pPr>
            <w:r>
              <w:rPr>
                <w:rStyle w:val="VerbatimChar"/>
                <w:lang w:val="de-DE"/>
              </w:rPr>
              <w:t xml:space="preserve">uebermittlungsart</w:t>
            </w:r>
          </w:p>
        </w:tc>
        <w:tc>
          <w:tcPr/>
          <w:p>
            <w:pPr>
              <w:pStyle w:val="Compact"/>
            </w:pPr>
            <w:r>
              <w:rPr>
                <w:rStyle w:val="VerbatimChar"/>
                <w:lang w:val="de-DE"/>
              </w:rPr>
              <w:t xml:space="preserve">test</w:t>
            </w:r>
            <w:r>
              <w:rPr>
                <w:lang w:val="de-DE"/>
              </w:rPr>
              <w:t xml:space="preserve">,</w:t>
            </w:r>
            <w:r>
              <w:rPr>
                <w:lang w:val="de-DE"/>
              </w:rPr>
              <w:t xml:space="preserve"> </w:t>
            </w:r>
            <w:r>
              <w:rPr>
                <w:rStyle w:val="VerbatimChar"/>
                <w:lang w:val="de-DE"/>
              </w:rPr>
              <w:t xml:space="preserve">erprobung</w:t>
            </w:r>
            <w:r>
              <w:rPr>
                <w:lang w:val="de-DE"/>
              </w:rPr>
              <w:t xml:space="preserve">,</w:t>
            </w:r>
            <w:r>
              <w:rPr>
                <w:lang w:val="de-DE"/>
              </w:rPr>
              <w:t xml:space="preserve"> </w:t>
            </w:r>
            <w:r>
              <w:rPr>
                <w:rStyle w:val="VerbatimChar"/>
                <w:lang w:val="de-DE"/>
              </w:rPr>
              <w:t xml:space="preserve">echt</w:t>
            </w:r>
          </w:p>
        </w:tc>
        <w:tc>
          <w:tcPr/>
          <w:p>
            <w:pPr>
              <w:pStyle w:val="Compact"/>
            </w:pPr>
            <w:r>
              <w:rPr>
                <w:rStyle w:val="VerbatimChar"/>
                <w:lang w:val="de-DE"/>
              </w:rPr>
              <w:t xml:space="preserve">erprobung</w:t>
            </w:r>
          </w:p>
        </w:tc>
        <w:tc>
          <w:tcPr/>
          <w:p>
            <w:pPr>
              <w:pStyle w:val="Compact"/>
            </w:pPr>
            <w:r>
              <w:rPr>
                <w:lang w:val="de-DE"/>
              </w:rPr>
              <w:t xml:space="preserve">wofür sich erzeugte Dateien ausgeben</w:t>
            </w:r>
          </w:p>
        </w:tc>
      </w:tr>
    </w:tbl>
    <w:p>
      <w:pPr>
        <w:pStyle w:val="BodyText"/>
      </w:pPr>
      <w:r>
        <w:rPr>
          <w:lang w:val="de-DE"/>
        </w:rPr>
        <w:t xml:space="preserve">Jede Änderung wirkt sofort und wird sofort geschrieben. Ist die Datei beschädigt oder nicht lesbar, gelten die Vorgaben und die Anwendung startet trotzdem — eine Farbwahl ist nichts, wofür ein Programm nicht aufgehen darf.</w:t>
      </w:r>
    </w:p>
    <w:p>
      <w:pPr>
        <w:pStyle w:val="BodyText"/>
      </w:pPr>
      <w:r>
        <w:rPr>
          <w:b/>
          <w:bCs/>
          <w:lang w:val="de-DE"/>
        </w:rPr>
        <w:t xml:space="preserve">Zugangsdaten und Schlüssel gehören nicht in diese Datei.</w:t>
      </w:r>
      <w:r>
        <w:rPr>
          <w:lang w:val="de-DE"/>
        </w:rPr>
        <w:t xml:space="preserve"> </w:t>
      </w:r>
      <w:r>
        <w:rPr>
          <w:lang w:val="de-DE"/>
        </w:rPr>
        <w:t xml:space="preserve">Sie liegt im Klartext im Benutzerprofil. Sobald ein echter Übermittlungsweg Zugangsdaten braucht, gehören diese in den Anmeldeinformationsspeicher des Betriebssystems.</w:t>
      </w:r>
    </w:p>
    <w:bookmarkEnd w:id="59"/>
    <w:bookmarkStart w:id="60" w:name="beim-start"/>
    <w:p>
      <w:pPr>
        <w:pStyle w:val="Heading2"/>
      </w:pPr>
      <w:r>
        <w:rPr>
          <w:lang w:val="de-DE"/>
        </w:rPr>
        <w:t xml:space="preserve">Beim Start</w:t>
      </w:r>
    </w:p>
    <w:p>
      <w:pPr>
        <w:pStyle w:val="FirstParagraph"/>
      </w:pPr>
      <w:r>
        <w:rPr>
          <w:lang w:val="de-DE"/>
        </w:rPr>
        <w:t xml:space="preserve">Alle folgenden Angaben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60"/>
    <w:bookmarkEnd w:id="61"/>
    <w:bookmarkStart w:id="66" w:name="entwicklung"/>
    <w:p>
      <w:pPr>
        <w:pStyle w:val="Heading1"/>
      </w:pPr>
      <w:r>
        <w:rPr>
          <w:lang w:val="de-DE"/>
        </w:rPr>
        <w:t xml:space="preserve">Entwicklung</w:t>
      </w:r>
    </w:p>
    <w:bookmarkStart w:id="62"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62"/>
    <w:bookmarkStart w:id="63"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63"/>
    <w:bookmarkStart w:id="64"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64"/>
    <w:bookmarkStart w:id="65"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65"/>
    <w:bookmarkEnd w:id="66"/>
    <w:bookmarkStart w:id="71" w:name="fachliche-grundlagen"/>
    <w:p>
      <w:pPr>
        <w:pStyle w:val="Heading1"/>
      </w:pPr>
      <w:r>
        <w:rPr>
          <w:lang w:val="de-DE"/>
        </w:rPr>
        <w:t xml:space="preserve">Fachliche Grundlagen</w:t>
      </w:r>
    </w:p>
    <w:bookmarkStart w:id="67"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67"/>
    <w:bookmarkStart w:id="68" w:name="formate"/>
    <w:p>
      <w:pPr>
        <w:pStyle w:val="Heading2"/>
      </w:pPr>
      <w:r>
        <w:rPr>
          <w:lang w:val="de-DE"/>
        </w:rPr>
        <w:t xml:space="preserve">Formate</w:t>
      </w:r>
    </w:p>
    <w:p>
      <w:pPr>
        <w:pStyle w:val="Compact"/>
        <w:numPr>
          <w:ilvl w:val="0"/>
          <w:numId w:val="1006"/>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6"/>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6"/>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68"/>
    <w:bookmarkStart w:id="69"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69"/>
    <w:bookmarkStart w:id="70"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7"/>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7"/>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7"/>
        </w:numPr>
      </w:pPr>
      <w:r>
        <w:rPr>
          <w:rStyle w:val="VerbatimChar"/>
          <w:lang w:val="de-DE"/>
        </w:rPr>
        <w:t xml:space="preserve">Abrechnung_Datenerklaerung.md</w:t>
      </w:r>
      <w:r>
        <w:rPr>
          <w:lang w:val="de-DE"/>
        </w:rPr>
        <w:t xml:space="preserve"> </w:t>
      </w:r>
      <w:r>
        <w:rPr>
          <w:lang w:val="de-DE"/>
        </w:rPr>
        <w:t xml:space="preserve">— Felderklärung anhand der Referenznachricht</w:t>
      </w:r>
    </w:p>
    <w:p>
      <w:pPr>
        <w:pStyle w:val="Compact"/>
        <w:numPr>
          <w:ilvl w:val="0"/>
          <w:numId w:val="1007"/>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7"/>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70"/>
    <w:bookmarkEnd w:id="71"/>
    <w:bookmarkStart w:id="72"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8"/>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 Siehe „Der Weg zur Kasse”.</w:t>
      </w:r>
    </w:p>
    <w:p>
      <w:pPr>
        <w:pStyle w:val="Compact"/>
        <w:numPr>
          <w:ilvl w:val="0"/>
          <w:numId w:val="1008"/>
        </w:numPr>
      </w:pPr>
      <w:r>
        <w:rPr>
          <w:lang w:val="de-DE"/>
        </w:rPr>
        <w:t xml:space="preserve">Die</w:t>
      </w:r>
      <w:r>
        <w:rPr>
          <w:lang w:val="de-DE"/>
        </w:rPr>
        <w:t xml:space="preserve"> </w:t>
      </w:r>
      <w:r>
        <w:rPr>
          <w:b/>
          <w:bCs/>
          <w:lang w:val="de-DE"/>
        </w:rPr>
        <w:t xml:space="preserve">Auftragsdatei</w:t>
      </w:r>
      <w:r>
        <w:rPr>
          <w:lang w:val="de-DE"/>
        </w:rPr>
        <w:t xml:space="preserve">, die zu jeder Nutzdatendatei gehört, wird nicht erzeugt.</w:t>
      </w:r>
    </w:p>
    <w:p>
      <w:pPr>
        <w:pStyle w:val="Compact"/>
        <w:numPr>
          <w:ilvl w:val="0"/>
          <w:numId w:val="1008"/>
        </w:numPr>
      </w:pPr>
      <w:r>
        <w:rPr>
          <w:lang w:val="de-DE"/>
        </w:rPr>
        <w:t xml:space="preserve">Die Zuordnung erfolgt zur einzelnen Krankenkasse; vorgesehen ist die Zuordnung zur</w:t>
      </w:r>
      <w:r>
        <w:rPr>
          <w:lang w:val="de-DE"/>
        </w:rPr>
        <w:t xml:space="preserve"> </w:t>
      </w:r>
      <w:r>
        <w:rPr>
          <w:b/>
          <w:bCs/>
          <w:lang w:val="de-DE"/>
        </w:rPr>
        <w:t xml:space="preserve">Datenannahmestelle je Kassenart</w:t>
      </w:r>
      <w:r>
        <w:rPr>
          <w:lang w:val="de-DE"/>
        </w:rPr>
        <w:t xml:space="preserve">.</w:t>
      </w:r>
    </w:p>
    <w:p>
      <w:pPr>
        <w:pStyle w:val="Compact"/>
        <w:numPr>
          <w:ilvl w:val="0"/>
          <w:numId w:val="1008"/>
        </w:numPr>
      </w:pPr>
      <w:r>
        <w:rPr>
          <w:lang w:val="de-DE"/>
        </w:rPr>
        <w:t xml:space="preserve">Die vorgeschriebene</w:t>
      </w:r>
      <w:r>
        <w:rPr>
          <w:lang w:val="de-DE"/>
        </w:rPr>
        <w:t xml:space="preserve"> </w:t>
      </w:r>
      <w:r>
        <w:rPr>
          <w:b/>
          <w:bCs/>
          <w:lang w:val="de-DE"/>
        </w:rPr>
        <w:t xml:space="preserve">Dokumentation des Datenaustauschs</w:t>
      </w:r>
      <w:r>
        <w:rPr>
          <w:lang w:val="de-DE"/>
        </w:rPr>
        <w:t xml:space="preserve"> </w:t>
      </w:r>
      <w:r>
        <w:rPr>
          <w:lang w:val="de-DE"/>
        </w:rPr>
        <w:t xml:space="preserve">(zwei Jahre) und die</w:t>
      </w:r>
      <w:r>
        <w:rPr>
          <w:lang w:val="de-DE"/>
        </w:rPr>
        <w:t xml:space="preserve"> </w:t>
      </w:r>
      <w:r>
        <w:rPr>
          <w:b/>
          <w:bCs/>
          <w:lang w:val="de-DE"/>
        </w:rPr>
        <w:t xml:space="preserve">Sicherungskopie bis zur Bezahlung</w:t>
      </w:r>
      <w:r>
        <w:rPr>
          <w:lang w:val="de-DE"/>
        </w:rPr>
        <w:t xml:space="preserve"> </w:t>
      </w:r>
      <w:r>
        <w:rPr>
          <w:lang w:val="de-DE"/>
        </w:rPr>
        <w:t xml:space="preserve">sind nicht abgebildet.</w:t>
      </w:r>
    </w:p>
    <w:p>
      <w:pPr>
        <w:pStyle w:val="Compact"/>
        <w:numPr>
          <w:ilvl w:val="0"/>
          <w:numId w:val="1008"/>
        </w:numPr>
      </w:pPr>
      <w:r>
        <w:rPr>
          <w:lang w:val="de-DE"/>
        </w:rPr>
        <w:t xml:space="preserve">Die Daten liegen</w:t>
      </w:r>
      <w:r>
        <w:rPr>
          <w:lang w:val="de-DE"/>
        </w:rPr>
        <w:t xml:space="preserve"> </w:t>
      </w:r>
      <w:r>
        <w:rPr>
          <w:b/>
          <w:bCs/>
          <w:lang w:val="de-DE"/>
        </w:rPr>
        <w:t xml:space="preserve">unverschlüsselt</w:t>
      </w:r>
      <w:r>
        <w:rPr>
          <w:lang w:val="de-DE"/>
        </w:rPr>
        <w:t xml:space="preserve"> </w:t>
      </w:r>
      <w:r>
        <w:rPr>
          <w:lang w:val="de-DE"/>
        </w:rPr>
        <w:t xml:space="preserve">im Benutzerprofil. Es gibt keine Anmeldung und kein Protokoll darüber, wer was geändert hat.</w:t>
      </w:r>
    </w:p>
    <w:p>
      <w:pPr>
        <w:pStyle w:val="Compact"/>
        <w:numPr>
          <w:ilvl w:val="0"/>
          <w:numId w:val="1008"/>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8"/>
        </w:numPr>
      </w:pPr>
      <w:r>
        <w:rPr>
          <w:lang w:val="de-DE"/>
        </w:rPr>
        <w:t xml:space="preserve">Es gibt keine Stornierung und keine Nachberechnung.</w:t>
      </w:r>
    </w:p>
    <w:p>
      <w:pPr>
        <w:pStyle w:val="Compact"/>
        <w:numPr>
          <w:ilvl w:val="0"/>
          <w:numId w:val="1008"/>
        </w:numPr>
      </w:pPr>
      <w:r>
        <w:rPr>
          <w:lang w:val="de-DE"/>
        </w:rPr>
        <w:t xml:space="preserve">Der Umsatzsteuersatz ist mit 19 fest hinterlegt.</w:t>
      </w:r>
    </w:p>
    <w:p>
      <w:pPr>
        <w:pStyle w:val="Compact"/>
        <w:numPr>
          <w:ilvl w:val="0"/>
          <w:numId w:val="1008"/>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8"/>
        </w:numPr>
      </w:pPr>
      <w:r>
        <w:rPr>
          <w:lang w:val="de-DE"/>
        </w:rPr>
        <w:t xml:space="preserve">Die Anwendung ist auf einen Benutzer und einen Rechner ausgelegt. Ein gemeinsamer Zugriff mehrerer Arbeitsplätze auf dieselbe Datenbank ist nicht vorgesehen.</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16" Target="media/rId16.png" /><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_rels/footnotes.xml.rels><?xml version="1.0" encoding="UTF-8"?><Relationships xmlns="http://schemas.openxmlformats.org/package/2006/relationships"><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2026-09-07T16:40:32Z</dcterms:created>
  <dcterms:modified xsi:type="dcterms:W3CDTF">2026-09-07T16:40:32Z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y fmtid="{D5CDD505-2E9C-101B-9397-08002B2CF9AE}" pid="5" name="toc-title">
    <vt:lpwstr>Inhaltsverzeichnis</vt:lpwstr>
  </property>
</Properties>
</file>