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Vision des GKVTransmitters</w:t>
      </w:r>
    </w:p>
    <w:p>
      <w:pPr>
        <w:pStyle w:val="Heading2"/>
      </w:pPr>
      <w:r>
        <w:t>Was soll das Programm können?</w:t>
      </w:r>
    </w:p>
    <w:p>
      <w:r>
        <w:t>Der GKVTransmitter soll den digitalen Abrechnungsprozess medizinischer Leistungen mit gesetzlichen Krankenkassen unterstützen. Er soll Daten strukturiert erfassen, prüfen, in das vorgeschriebene DTA-Format umwandeln und an die passende Krankenkasse übergeben.</w:t>
      </w:r>
    </w:p>
    <w:p>
      <w:r>
        <w:t>Die wichtigsten Funktionen sind:</w:t>
      </w:r>
    </w:p>
    <w:p>
      <w:pPr>
        <w:pStyle w:val="ListBullet"/>
      </w:pPr>
      <w:r>
        <w:t>Patientinnen und Patienten sowie Leistungserbringer anlegen, bearbeiten, suchen und löschen</w:t>
      </w:r>
    </w:p>
    <w:p>
      <w:pPr>
        <w:pStyle w:val="ListBullet"/>
      </w:pPr>
      <w:r>
        <w:t>Personen in Gruppen organisieren</w:t>
      </w:r>
    </w:p>
    <w:p>
      <w:pPr>
        <w:pStyle w:val="ListBullet"/>
      </w:pPr>
      <w:r>
        <w:t>Abrechnungs-Blueprints speichern und wiederverwenden</w:t>
      </w:r>
    </w:p>
    <w:p>
      <w:pPr>
        <w:pStyle w:val="ListBullet"/>
      </w:pPr>
      <w:r>
        <w:t>Abrechnungen aus Patient, Leistungserbringer, Blueprint und Terminanzahl erstellen</w:t>
      </w:r>
    </w:p>
    <w:p>
      <w:pPr>
        <w:pStyle w:val="ListBullet"/>
      </w:pPr>
      <w:r>
        <w:t>DTA-Profile, Segmentdefinitionen und Rechnungsvorlagen aus JSON-Dateien laden</w:t>
      </w:r>
    </w:p>
    <w:p>
      <w:pPr>
        <w:pStyle w:val="ListBullet"/>
      </w:pPr>
      <w:r>
        <w:t>Die Nachrichtentypen `SLLA` und `SLGA` sowie ihre Felder und Regeln berücksichtigen</w:t>
      </w:r>
    </w:p>
    <w:p>
      <w:pPr>
        <w:pStyle w:val="ListBullet"/>
      </w:pPr>
      <w:r>
        <w:t>Pflichtfelder, Feldtypen, Feldlängen und Eingabeformate validieren</w:t>
      </w:r>
    </w:p>
    <w:p>
      <w:pPr>
        <w:pStyle w:val="ListBullet"/>
      </w:pPr>
      <w:r>
        <w:t>Aus einer Abrechnung eine gültige DTA-Nachricht erzeugen</w:t>
      </w:r>
    </w:p>
    <w:p>
      <w:pPr>
        <w:pStyle w:val="ListBullet"/>
      </w:pPr>
      <w:r>
        <w:t>Die erzeugten Dateien anhand der Krankenkassen-IK gruppieren und in konfigurierte Zielordner schreiben</w:t>
      </w:r>
    </w:p>
    <w:p>
      <w:pPr>
        <w:pStyle w:val="ListBullet"/>
      </w:pPr>
      <w:r>
        <w:t>Ziel-Endpunkte prüfen und Versandantworten als angenommen, abgelehnt, technisch fehlerhaft oder unbekannt einordnen</w:t>
      </w:r>
    </w:p>
    <w:p>
      <w:pPr>
        <w:pStyle w:val="ListBullet"/>
      </w:pPr>
      <w:r>
        <w:t>Daten dauerhaft in einer SQLite-Datenbank speichern</w:t>
      </w:r>
    </w:p>
    <w:p>
      <w:pPr>
        <w:pStyle w:val="ListBullet"/>
      </w:pPr>
      <w:r>
        <w:t>Den gesamten Ablauf über eine JavaFX-Oberfläche bedienbar machen</w:t>
      </w:r>
    </w:p>
    <w:p>
      <w:r>
        <w:t>Das Programm soll dadurch manuelle Übertragungsfehler reduzieren, wiederkehrende Abrechnungen vereinfachen und eine nachvollziehbare Verarbeitung von der Eingabe bis zur fertigen DTA-Datei ermöglichen.</w:t>
      </w:r>
    </w:p>
    <w:p>
      <w:pPr>
        <w:pStyle w:val="Heading2"/>
      </w:pPr>
      <w:r>
        <w:t>Welcher Architektur folgt das Programm?</w:t>
      </w:r>
    </w:p>
    <w:p>
      <w:r>
        <w:t>Das Programm folgt im Kern einer **mehrschichtigen Architektur**. Die Verantwortlichkeiten sind nach Benutzeroberfläche, Anwendungssteuerung, Fachmodell, Verarbeitung und Persistenz getrennt.</w:t>
      </w:r>
    </w:p>
    <w:p>
      <w:pPr>
        <w:pStyle w:val="Heading3"/>
      </w:pPr>
      <w:r>
        <w:t>UML-Struktur</w:t>
      </w:r>
    </w:p>
    <w:p>
      <w:r>
        <w:t>Das Klassendiagramm `Information/Projektklassen.puml` beschreibt die statische Struktur des Programms:</w:t>
      </w:r>
    </w:p>
    <w:p>
      <w:pPr>
        <w:pStyle w:val="ListBullet"/>
      </w:pPr>
      <w:r>
        <w:t>**Pakete:** Die `package`-Blöcke ordnen die Klassen nach Verantwortlichkeit und Java-Paket zu, zum Beispiel `presentation`, `model`, `parser`, `dta`, `dispatch` und `hibernate.sqllite`.</w:t>
      </w:r>
    </w:p>
    <w:p>
      <w:pPr>
        <w:pStyle w:val="ListBullet"/>
      </w:pPr>
      <w:r>
        <w:t>**Klassen:** Die `class`-Elemente zeigen konkrete Objekte und Services, zum Beispiel `Patient`, `Abrechnung`, `DtaFactory` und `DtaDispatchService`.</w:t>
      </w:r>
    </w:p>
    <w:p>
      <w:pPr>
        <w:pStyle w:val="ListBullet"/>
      </w:pPr>
      <w:r>
        <w:t>**Interfaces:** `ParserFactory`, `Factory`, `UiFactory`, `BillingOfficeTransport` und `ValidationRule` beschreiben austauschbare Schnittstellen.</w:t>
      </w:r>
    </w:p>
    <w:p>
      <w:pPr>
        <w:pStyle w:val="ListBullet"/>
      </w:pPr>
      <w:r>
        <w:t>**Abstrakte Klassen:** `EntityFieldPopulator` und `ModifierInstance` stellen gemeinsame Oberstrukturen für spezialisierte Klassen bereit.</w:t>
      </w:r>
    </w:p>
    <w:p>
      <w:pPr>
        <w:pStyle w:val="ListBullet"/>
      </w:pPr>
      <w:r>
        <w:t>**Enumerationen:** `InvoiceType`, `FieldType`, `InputOption`, `Modifier` und die Versand-Enumerationen begrenzen erlaubte Werte.</w:t>
      </w:r>
    </w:p>
    <w:p>
      <w:pPr>
        <w:pStyle w:val="ListBullet"/>
      </w:pPr>
      <w:r>
        <w:t>**Vererbung und Implementierung:** `Patient` und `ServiceProvider` erben von `Person`. `JsonParserFactory`, `JavaFxUiFactory` und `FileBillingOfficeTransport` implementieren Interfaces. Im Diagramm wird das durch `--|&gt;` dargestellt.</w:t>
      </w:r>
    </w:p>
    <w:p>
      <w:pPr>
        <w:pStyle w:val="ListBullet"/>
      </w:pPr>
      <w:r>
        <w:t>**Aggregation bzw. Komposition:** Klassen enthalten andere Objekte, zum Beispiel `PersonGroup` mehrere Patienten und Leistungserbringer oder `SegmentDefinition` mehrere `FieldDefinition`-Objekte. Diese Beziehungen sind im Diagramm mit `o--` dargestellt.</w:t>
      </w:r>
    </w:p>
    <w:p>
      <w:pPr>
        <w:pStyle w:val="ListBullet"/>
      </w:pPr>
      <w:r>
        <w:t>**Abhängigkeiten:** Pfeile wie `View --&gt; Controller` oder `DtaDispatchService --&gt; DtaFactory` zeigen, welche Klassen andere Klassen verwenden.</w:t>
      </w:r>
    </w:p>
    <w:p>
      <w:pPr>
        <w:pStyle w:val="Heading3"/>
      </w:pPr>
      <w:r>
        <w:t>Verwendete bzw. erkennbare Patterns</w:t>
      </w:r>
    </w:p>
    <w:p>
      <w:r>
        <w:t>Die Patterns und ihre Fundstellen im Programm und in dieser Dokumentation sind: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Pattern bzw. Architekturansatz</w:t>
            </w:r>
          </w:p>
        </w:tc>
        <w:tc>
          <w:tcPr>
            <w:tcW w:type="dxa" w:w="2880"/>
          </w:tcPr>
          <w:p>
            <w:r>
              <w:t>Umsetzung im Programm</w:t>
            </w:r>
          </w:p>
        </w:tc>
        <w:tc>
          <w:tcPr>
            <w:tcW w:type="dxa" w:w="2880"/>
          </w:tcPr>
          <w:p>
            <w:r>
              <w:t>Fundstelle im UML-Diagramm / in dieser Dokumentation</w:t>
            </w:r>
          </w:p>
        </w:tc>
      </w:tr>
      <w:tr>
        <w:tc>
          <w:tcPr>
            <w:tcW w:type="dxa" w:w="2880"/>
          </w:tcPr>
          <w:p>
            <w:r>
              <w:t>MVC-nahe Struktur</w:t>
            </w:r>
          </w:p>
        </w:tc>
        <w:tc>
          <w:tcPr>
            <w:tcW w:type="dxa" w:w="2880"/>
          </w:tcPr>
          <w:p>
            <w:r>
              <w:t>`App` startet die Anwendung, `View` bildet die Oberfläche ab, `Controller` vermittelt und initialisiert</w:t>
            </w:r>
          </w:p>
        </w:tc>
        <w:tc>
          <w:tcPr>
            <w:tcW w:type="dxa" w:w="2880"/>
          </w:tcPr>
          <w:p>
            <w:r>
              <w:t>Paket `de.gkvtransmitter.presentation`, Abschnitt „UML-Struktur“ und dieser Abschnitt</w:t>
            </w:r>
          </w:p>
        </w:tc>
      </w:tr>
      <w:tr>
        <w:tc>
          <w:tcPr>
            <w:tcW w:type="dxa" w:w="2880"/>
          </w:tcPr>
          <w:p>
            <w:r>
              <w:t>Bootstrap Pattern</w:t>
            </w:r>
          </w:p>
        </w:tc>
        <w:tc>
          <w:tcPr>
            <w:tcW w:type="dxa" w:w="2880"/>
          </w:tcPr>
          <w:p>
            <w:r>
              <w:t>`ApplicationBootstrap.initialize()` lädt Profile und Vorlagen beim Start</w:t>
            </w:r>
          </w:p>
        </w:tc>
        <w:tc>
          <w:tcPr>
            <w:tcW w:type="dxa" w:w="2880"/>
          </w:tcPr>
          <w:p>
            <w:r>
              <w:t>Paket `de.gkvtransmitter.bootstrap`, Abschnitt „Grober Ablauf“</w:t>
            </w:r>
          </w:p>
        </w:tc>
      </w:tr>
      <w:tr>
        <w:tc>
          <w:tcPr>
            <w:tcW w:type="dxa" w:w="2880"/>
          </w:tcPr>
          <w:p>
            <w:r>
              <w:t>Singleton</w:t>
            </w:r>
          </w:p>
        </w:tc>
        <w:tc>
          <w:tcPr>
            <w:tcW w:type="dxa" w:w="2880"/>
          </w:tcPr>
          <w:p>
            <w:r>
              <w:t>`GlobalDefinitions.getInstance()` liefert eine zentrale Registry</w:t>
            </w:r>
          </w:p>
        </w:tc>
        <w:tc>
          <w:tcPr>
            <w:tcW w:type="dxa" w:w="2880"/>
          </w:tcPr>
          <w:p>
            <w:r>
              <w:t>Klasse `GlobalDefinitions` im Paket `definition`</w:t>
            </w:r>
          </w:p>
        </w:tc>
      </w:tr>
      <w:tr>
        <w:tc>
          <w:tcPr>
            <w:tcW w:type="dxa" w:w="2880"/>
          </w:tcPr>
          <w:p>
            <w:r>
              <w:t>Registry Pattern</w:t>
            </w:r>
          </w:p>
        </w:tc>
        <w:tc>
          <w:tcPr>
            <w:tcW w:type="dxa" w:w="2880"/>
          </w:tcPr>
          <w:p>
            <w:r>
              <w:t>`GlobalDefinitions`, `FactoryManager` und `BillingOfficeEndpointRegistry` verwalten Profile, Fabriken bzw. Versandziele</w:t>
            </w:r>
          </w:p>
        </w:tc>
        <w:tc>
          <w:tcPr>
            <w:tcW w:type="dxa" w:w="2880"/>
          </w:tcPr>
          <w:p>
            <w:r>
              <w:t>Klassen in `definition`, `presentation` und `dispatch`</w:t>
            </w:r>
          </w:p>
        </w:tc>
      </w:tr>
      <w:tr>
        <w:tc>
          <w:tcPr>
            <w:tcW w:type="dxa" w:w="2880"/>
          </w:tcPr>
          <w:p>
            <w:r>
              <w:t>Factory Pattern</w:t>
            </w:r>
          </w:p>
        </w:tc>
        <w:tc>
          <w:tcPr>
            <w:tcW w:type="dxa" w:w="2880"/>
          </w:tcPr>
          <w:p>
            <w:r>
              <w:t>`JsonParserFactory` erzeugt aus JSON die fachlichen Definitionen; `Factory` beschreibt die Erzeugungsschnittstelle</w:t>
            </w:r>
          </w:p>
        </w:tc>
        <w:tc>
          <w:tcPr>
            <w:tcW w:type="dxa" w:w="2880"/>
          </w:tcPr>
          <w:p>
            <w:r>
              <w:t>`JsonParserFactory ..</w:t>
            </w:r>
          </w:p>
        </w:tc>
      </w:tr>
      <w:tr>
        <w:tc>
          <w:tcPr>
            <w:tcW w:type="dxa" w:w="2880"/>
          </w:tcPr>
          <w:p>
            <w:r>
              <w:t>Abstract-Factory-ähnlicher Ansatz</w:t>
            </w:r>
          </w:p>
        </w:tc>
        <w:tc>
          <w:tcPr>
            <w:tcW w:type="dxa" w:w="2880"/>
          </w:tcPr>
          <w:p>
            <w:r>
              <w:t>`UiFactory` kapselt die Erzeugung verschiedener JavaFX-Komponenten; `JavaFxUiFactory` implementiert sie</w:t>
            </w:r>
          </w:p>
        </w:tc>
        <w:tc>
          <w:tcPr>
            <w:tcW w:type="dxa" w:w="2880"/>
          </w:tcPr>
          <w:p>
            <w:r>
              <w:t>`JavaFxUiFactory ..</w:t>
            </w:r>
          </w:p>
        </w:tc>
      </w:tr>
      <w:tr>
        <w:tc>
          <w:tcPr>
            <w:tcW w:type="dxa" w:w="2880"/>
          </w:tcPr>
          <w:p>
            <w:r>
              <w:t>Builder Pattern</w:t>
            </w:r>
          </w:p>
        </w:tc>
        <w:tc>
          <w:tcPr>
            <w:tcW w:type="dxa" w:w="2880"/>
          </w:tcPr>
          <w:p>
            <w:r>
              <w:t>`FormBuilder` und `MenuBuilder` erstellen UI-Strukturen schrittweise</w:t>
            </w:r>
          </w:p>
        </w:tc>
        <w:tc>
          <w:tcPr>
            <w:tcW w:type="dxa" w:w="2880"/>
          </w:tcPr>
          <w:p>
            <w:r>
              <w:t>Paket `presentation.builder`</w:t>
            </w:r>
          </w:p>
        </w:tc>
      </w:tr>
      <w:tr>
        <w:tc>
          <w:tcPr>
            <w:tcW w:type="dxa" w:w="2880"/>
          </w:tcPr>
          <w:p>
            <w:r>
              <w:t>Strategy-/Adapter-Ansatz</w:t>
            </w:r>
          </w:p>
        </w:tc>
        <w:tc>
          <w:tcPr>
            <w:tcW w:type="dxa" w:w="2880"/>
          </w:tcPr>
          <w:p>
            <w:r>
              <w:t>`BillingOfficeTransport` definiert den Versandvertrag, `FileBillingOfficeTransport` implementiert den Datei-Versand</w:t>
            </w:r>
          </w:p>
        </w:tc>
        <w:tc>
          <w:tcPr>
            <w:tcW w:type="dxa" w:w="2880"/>
          </w:tcPr>
          <w:p>
            <w:r>
              <w:t>`FileBillingOfficeTransport ..</w:t>
            </w:r>
          </w:p>
        </w:tc>
      </w:tr>
      <w:tr>
        <w:tc>
          <w:tcPr>
            <w:tcW w:type="dxa" w:w="2880"/>
          </w:tcPr>
          <w:p>
            <w:r>
              <w:t>Domain Model</w:t>
            </w:r>
          </w:p>
        </w:tc>
        <w:tc>
          <w:tcPr>
            <w:tcW w:type="dxa" w:w="2880"/>
          </w:tcPr>
          <w:p>
            <w:r>
              <w:t>Fachliche Objekte werden durch `Patient`, `ServiceProvider`, `Abrechnung`, `Invoice`, `SegmentDefinition` und weitere Modellklassen beschrieben</w:t>
            </w:r>
          </w:p>
        </w:tc>
        <w:tc>
          <w:tcPr>
            <w:tcW w:type="dxa" w:w="2880"/>
          </w:tcPr>
          <w:p>
            <w:r>
              <w:t>Pakete `entity`, `model` und `model.segment`</w:t>
            </w:r>
          </w:p>
        </w:tc>
      </w:tr>
      <w:tr>
        <w:tc>
          <w:tcPr>
            <w:tcW w:type="dxa" w:w="2880"/>
          </w:tcPr>
          <w:p>
            <w:r>
              <w:t>Data Mapper / ORM</w:t>
            </w:r>
          </w:p>
        </w:tc>
        <w:tc>
          <w:tcPr>
            <w:tcW w:type="dxa" w:w="2880"/>
          </w:tcPr>
          <w:p>
            <w:r>
              <w:t>Hibernate bildet Entity-Klassen auf SQLite ab</w:t>
            </w:r>
          </w:p>
        </w:tc>
        <w:tc>
          <w:tcPr>
            <w:tcW w:type="dxa" w:w="2880"/>
          </w:tcPr>
          <w:p>
            <w:r>
              <w:t>Paket `hibernate.sqllite`, Klasse `HibernateSqllite`</w:t>
            </w:r>
          </w:p>
        </w:tc>
      </w:tr>
    </w:tbl>
    <w:p>
      <w:r>
        <w:t>Nicht jede Struktur im Diagramm ist ein Design Pattern. Klassen wie `Patient` oder `Abrechnung` sind vor allem Bestandteile des Domain Models; Vererbung, Interfaces, Aggregationen und Abhängigkeiten sind UML-Modellierungsmittel.</w:t>
      </w:r>
    </w:p>
    <w:p>
      <w:pPr>
        <w:pStyle w:val="Heading3"/>
      </w:pPr>
      <w:r>
        <w:t>Grober Ablauf</w:t>
      </w:r>
    </w:p>
    <w:p>
      <w:pPr>
        <w:pStyle w:val="ListNumber"/>
      </w:pPr>
      <w:r>
        <w:t>`App` startet JavaFX und erzeugt den `Controller`.</w:t>
      </w:r>
    </w:p>
    <w:p>
      <w:pPr>
        <w:pStyle w:val="ListNumber"/>
      </w:pPr>
      <w:r>
        <w:t>Der `Controller` startet `ApplicationBootstrap`.</w:t>
      </w:r>
    </w:p>
    <w:p>
      <w:pPr>
        <w:pStyle w:val="ListNumber"/>
      </w:pPr>
      <w:r>
        <w:t>`JsonParserFactory` liest JSON-Profile, Segmentdefinitionen und Vorlagen.</w:t>
      </w:r>
    </w:p>
    <w:p>
      <w:pPr>
        <w:pStyle w:val="ListNumber"/>
      </w:pPr>
      <w:r>
        <w:t>`GlobalDefinitions` hält die geladenen Definitionen zur Laufzeit vor.</w:t>
      </w:r>
    </w:p>
    <w:p>
      <w:pPr>
        <w:pStyle w:val="ListNumber"/>
      </w:pPr>
      <w:r>
        <w:t>`View` erfasst Abrechnungsdaten und erstellt ein `Abrechnung`-Objekt.</w:t>
      </w:r>
    </w:p>
    <w:p>
      <w:pPr>
        <w:pStyle w:val="ListNumber"/>
      </w:pPr>
      <w:r>
        <w:t>`DtaDispatchService` verwendet `DtaFactory`, erzeugt die DTA-Datei und ermittelt das Ziel anhand der Kassen-IK.</w:t>
      </w:r>
    </w:p>
    <w:p>
      <w:pPr>
        <w:pStyle w:val="ListNumber"/>
      </w:pPr>
      <w:r>
        <w:t>`FileBillingOfficeTransport` legt die Datei im konfigurierten Ziel ab.</w:t>
      </w:r>
    </w:p>
    <w:p>
      <w:pPr>
        <w:pStyle w:val="ListNumber"/>
      </w:pPr>
      <w:r>
        <w:t>`HibernateSqllite` speichert bzw. lädt die verwalteten Stammdaten und Blueprints.</w:t>
      </w:r>
    </w:p>
    <w:p>
      <w:pPr>
        <w:pStyle w:val="Heading3"/>
      </w:pPr>
      <w:r>
        <w:t>Einordnung des PlantUML-Diagramms</w:t>
      </w:r>
    </w:p>
    <w:p>
      <w:r>
        <w:t>`Information/Projektklassen.puml` stellt diese Architektur als Klassen- und Abhängigkeitsdiagramm dar. Die Vererbung, Factory-Implementierungen, Domänenbeziehungen sowie die Abhängigkeiten zwischen UI, Bootstrap, Parser, DTA-Erzeugung, Versand und Persistenz sind enthalten. Die direkten Abhängigkeiten des `View` zu `Blueprint`, `PersonGroup`, `Abrechnung` und `DtaDispatchService` sind ebenfalls eingetragen.</w:t>
      </w:r>
    </w:p>
    <w:p>
      <w:r>
        <w:t>Das Diagramm ist damit inhaltlich passend zum aktuellen Programmstand. Es ist bewusst kein vollständiges Diagramm aller JavaFX- und Hibernate-Typen, damit die fachlich wichtigen Beziehungen lesbar bleiben.</w:t>
      </w:r>
    </w:p>
    <w:p>
      <w:pPr>
        <w:pStyle w:val="Heading2"/>
      </w:pPr>
      <w:r>
        <w:t>UML-Klassendiagramm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36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Projektklass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6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UML-Klassendiagramm des GKVTransmitters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