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0.png" ContentType="image/png"/>
  <Override PartName="/word/media/rId42.png" ContentType="image/png"/>
  <Override PartName="/word/media/rId18.png" ContentType="image/png"/>
  <Override PartName="/word/media/rId34.png" ContentType="image/png"/>
  <Override PartName="/word/media/rId3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46.png" ContentType="image/png"/>
  <Override PartName="/word/media/rId14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GKV-Abrechnung — Technische Gesamtdokumentation</w:t>
      </w:r>
    </w:p>
    <w:p>
      <w:pPr>
        <w:pStyle w:val="Subtitle"/>
      </w:pPr>
      <w:r>
        <w:rPr>
          <w:lang w:val="de"/>
        </w:rPr>
        <w:t xml:space="preserve">Struktur- und Verhaltenssicht in UML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de"/>
            </w:rP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wozu-dieses-dokument"/>
    <w:p>
      <w:pPr>
        <w:pStyle w:val="Heading1"/>
      </w:pPr>
      <w:r>
        <w:rPr>
          <w:lang w:val="de"/>
        </w:rPr>
        <w:t xml:space="preserve">Wozu dieses Dokument</w:t>
      </w:r>
    </w:p>
    <w:p>
      <w:pPr>
        <w:pStyle w:val="FirstParagraph"/>
      </w:pPr>
      <w:r>
        <w:rPr>
          <w:lang w:val="de"/>
        </w:rPr>
        <w:t xml:space="preserve">Die Projektdokumentation unter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dokumentation/</w:t>
      </w:r>
      <w:r>
        <w:rPr>
          <w:lang w:val="de"/>
        </w:rPr>
        <w:t xml:space="preserve"> </w:t>
      </w:r>
      <w:r>
        <w:rPr>
          <w:lang w:val="de"/>
        </w:rPr>
        <w:t xml:space="preserve">erzählt den Weg des Projekts</w:t>
      </w:r>
      <w:r>
        <w:rPr>
          <w:lang w:val="de"/>
        </w:rPr>
        <w:t xml:space="preserve"> </w:t>
      </w:r>
      <w:r>
        <w:rPr>
          <w:lang w:val="de"/>
        </w:rPr>
        <w:t xml:space="preserve">in 23 Teilen — Entscheidungen, Alternativen, Sackgassen. Dieses Dokument</w:t>
      </w:r>
      <w:r>
        <w:rPr>
          <w:lang w:val="de"/>
        </w:rPr>
        <w:t xml:space="preserve"> </w:t>
      </w:r>
      <w:r>
        <w:rPr>
          <w:lang w:val="de"/>
        </w:rPr>
        <w:t xml:space="preserve">erzählt nichts. Es bündelt an einer Stelle,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wie das System aufgebaut ist und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wie es sich verhält</w:t>
      </w:r>
      <w:r>
        <w:rPr>
          <w:lang w:val="de"/>
        </w:rPr>
        <w:t xml:space="preserve"> </w:t>
      </w:r>
      <w:r>
        <w:rPr>
          <w:lang w:val="de"/>
        </w:rPr>
        <w:t xml:space="preserve">— als Nachschlagewerk in den üblichen UML-Sichten:</w:t>
      </w:r>
      <w:r>
        <w:rPr>
          <w:lang w:val="de"/>
        </w:rPr>
        <w:t xml:space="preserve"> </w:t>
      </w:r>
      <w:r>
        <w:rPr>
          <w:lang w:val="de"/>
        </w:rPr>
        <w:t xml:space="preserve">Anwendungsfälle, Struktur (Klassen, Datenbank, Komponenten) und Verhalten</w:t>
      </w:r>
      <w:r>
        <w:rPr>
          <w:lang w:val="de"/>
        </w:rPr>
        <w:t xml:space="preserve"> </w:t>
      </w:r>
      <w:r>
        <w:rPr>
          <w:lang w:val="de"/>
        </w:rPr>
        <w:t xml:space="preserve">(Sequenz, Aktivität, Zustand).</w:t>
      </w:r>
    </w:p>
    <w:p>
      <w:pPr>
        <w:pStyle w:val="BodyText"/>
      </w:pPr>
      <w:r>
        <w:rPr>
          <w:lang w:val="de"/>
        </w:rPr>
        <w:t xml:space="preserve">Nicht jede UML-Diagrammart passt auf jedes System. Aufgenommen ist nur, wofür</w:t>
      </w:r>
      <w:r>
        <w:rPr>
          <w:lang w:val="de"/>
        </w:rPr>
        <w:t xml:space="preserve"> </w:t>
      </w:r>
      <w:r>
        <w:rPr>
          <w:lang w:val="de"/>
        </w:rPr>
        <w:t xml:space="preserve">dieses Projekt einen echten Gegenstand hat: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Diagrammart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Aufgenommen?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Anwendungsfälle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Es gibt eine bediente Oberfläche mit klar abgegrenzten Funktionen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Klassendiagramm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ja, in sechs Ansichten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Fünf Teilbereiche mit eigener Verantwortung, dazu eine Gesamtübersicht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ER-Diagramm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Daten liegen in einer eigenen SQLite-Datenbank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Komponentendiagramm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Zwei Module mit einer erzwungenen Grenze — genau das zeigt diese Sicht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Sequenzdiagramm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Abrechnungslauf ist ein Ablauf über mehrere Objekte hinweg, mit einer Prüfung als Tor davor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Aktivitätsdiagramm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Derselbe Ablauf, aber mit Verantwortlichkeiten (wer tut was) statt Objektaufrufen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Zustandsdiagramm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Lieferung durchläuft echte, im Code benannte Zustände bis zur Rückmeldung der Kasse</w:t>
            </w:r>
          </w:p>
        </w:tc>
      </w:tr>
    </w:tbl>
    <w:p>
      <w:pPr>
        <w:pStyle w:val="BodyText"/>
      </w:pPr>
      <w:r>
        <w:rPr>
          <w:lang w:val="de"/>
        </w:rPr>
        <w:t xml:space="preserve">Beim Klassendiagramm reicht ein einzelnes Bild nicht: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gkv-core</w:t>
      </w:r>
      <w:r>
        <w:rPr>
          <w:lang w:val="de"/>
        </w:rPr>
        <w:t xml:space="preserve"> </w:t>
      </w:r>
      <w:r>
        <w:rPr>
          <w:lang w:val="de"/>
        </w:rPr>
        <w:t xml:space="preserve">umfasst rund</w:t>
      </w:r>
      <w:r>
        <w:rPr>
          <w:lang w:val="de"/>
        </w:rPr>
        <w:t xml:space="preserve"> </w:t>
      </w:r>
      <w:r>
        <w:rPr>
          <w:lang w:val="de"/>
        </w:rPr>
        <w:t xml:space="preserve">sechzig Klassen, Schnittstellen und Aufzählungen. Ein Diagramm mit allen</w:t>
      </w:r>
      <w:r>
        <w:rPr>
          <w:lang w:val="de"/>
        </w:rPr>
        <w:t xml:space="preserve"> </w:t>
      </w:r>
      <w:r>
        <w:rPr>
          <w:lang w:val="de"/>
        </w:rPr>
        <w:t xml:space="preserve">Attributen und Methoden aller sechzig Elemente wäre kein Diagramm mehr,</w:t>
      </w:r>
      <w:r>
        <w:rPr>
          <w:lang w:val="de"/>
        </w:rPr>
        <w:t xml:space="preserve"> </w:t>
      </w:r>
      <w:r>
        <w:rPr>
          <w:lang w:val="de"/>
        </w:rPr>
        <w:t xml:space="preserve">sondern eine Textwand mit Kästchen darum. Deshalb steht hier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Gesamtübersicht</w:t>
      </w:r>
      <w:r>
        <w:rPr>
          <w:lang w:val="de"/>
        </w:rPr>
        <w:t xml:space="preserve"> </w:t>
      </w:r>
      <w:r>
        <w:rPr>
          <w:lang w:val="de"/>
        </w:rPr>
        <w:t xml:space="preserve">(Namen und die wichtigsten Abhängigkeiten, ohne Attribute)</w:t>
      </w:r>
      <w:r>
        <w:rPr>
          <w:lang w:val="de"/>
        </w:rPr>
        <w:t xml:space="preserve"> </w:t>
      </w:r>
      <w:r>
        <w:rPr>
          <w:lang w:val="de"/>
        </w:rPr>
        <w:t xml:space="preserve">neben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fünf Teil-Klassendiagrammen</w:t>
      </w:r>
      <w:r>
        <w:rPr>
          <w:lang w:val="de"/>
        </w:rPr>
        <w:t xml:space="preserve"> </w:t>
      </w:r>
      <w:r>
        <w:rPr>
          <w:lang w:val="de"/>
        </w:rPr>
        <w:t xml:space="preserve">— Domäne, Persistenz, Validierung,</w:t>
      </w:r>
      <w:r>
        <w:rPr>
          <w:lang w:val="de"/>
        </w:rPr>
        <w:t xml:space="preserve"> </w:t>
      </w:r>
      <w:r>
        <w:rPr>
          <w:lang w:val="de"/>
        </w:rPr>
        <w:t xml:space="preserve">Versand, DTA-Erzeugung —, die jeweils einen Verantwortungsbereich mit echten</w:t>
      </w:r>
      <w:r>
        <w:rPr>
          <w:lang w:val="de"/>
        </w:rPr>
        <w:t xml:space="preserve"> </w:t>
      </w:r>
      <w:r>
        <w:rPr>
          <w:lang w:val="de"/>
        </w:rPr>
        <w:t xml:space="preserve">Attributen, Methoden und Mustern zeigen. Wer wissen will, was eine Klasse</w:t>
      </w:r>
      <w:r>
        <w:rPr>
          <w:lang w:val="de"/>
        </w:rPr>
        <w:t xml:space="preserve"> </w:t>
      </w:r>
      <w:r>
        <w:rPr>
          <w:lang w:val="de"/>
        </w:rPr>
        <w:t xml:space="preserve">kann, schlägt im passenden Teildiagramm nach; wer wissen will, wo eine Klasse</w:t>
      </w:r>
      <w:r>
        <w:rPr>
          <w:lang w:val="de"/>
        </w:rPr>
        <w:t xml:space="preserve"> </w:t>
      </w:r>
      <w:r>
        <w:rPr>
          <w:lang w:val="de"/>
        </w:rPr>
        <w:t xml:space="preserve">liegt und womit sie zusammenhängt, schlägt in der Gesamtübersicht nach.</w:t>
      </w:r>
    </w:p>
    <w:p>
      <w:pPr>
        <w:pStyle w:val="BodyText"/>
      </w:pPr>
      <w:r>
        <w:rPr>
          <w:lang w:val="de"/>
        </w:rPr>
        <w:t xml:space="preserve">Sechs der zwölf Diagramme entstehen in der Projektdokumentation ohnehin</w:t>
      </w:r>
      <w:r>
        <w:rPr>
          <w:lang w:val="de"/>
        </w:rPr>
        <w:t xml:space="preserve"> </w:t>
      </w:r>
      <w:r>
        <w:rPr>
          <w:lang w:val="de"/>
        </w:rPr>
        <w:t xml:space="preserve">(Domäne, ER, Komponenten/Abhängigkeiten) und werden hier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wiederverwendet,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nicht neu gezeichnet</w:t>
      </w:r>
      <w:r>
        <w:rPr>
          <w:lang w:val="de"/>
        </w:rPr>
        <w:t xml:space="preserve"> </w:t>
      </w:r>
      <w:r>
        <w:rPr>
          <w:lang w:val="de"/>
        </w:rPr>
        <w:t xml:space="preserve">— dieselbe Quelle für zwei Dokumente vermeidet, dass</w:t>
      </w:r>
      <w:r>
        <w:rPr>
          <w:lang w:val="de"/>
        </w:rPr>
        <w:t xml:space="preserve"> </w:t>
      </w:r>
      <w:r>
        <w:rPr>
          <w:lang w:val="de"/>
        </w:rPr>
        <w:t xml:space="preserve">sie sich widersprechen. Neu für dieses Dokument sind die Anwendungsfälle, die</w:t>
      </w:r>
      <w:r>
        <w:rPr>
          <w:lang w:val="de"/>
        </w:rPr>
        <w:t xml:space="preserve"> </w:t>
      </w:r>
      <w:r>
        <w:rPr>
          <w:lang w:val="de"/>
        </w:rPr>
        <w:t xml:space="preserve">vier übrigen Teil-Klassendiagramme, die Gesamtübersicht sowie Sequenz-,</w:t>
      </w:r>
      <w:r>
        <w:rPr>
          <w:lang w:val="de"/>
        </w:rPr>
        <w:t xml:space="preserve"> </w:t>
      </w:r>
      <w:r>
        <w:rPr>
          <w:lang w:val="de"/>
        </w:rPr>
        <w:t xml:space="preserve">Aktivitäts- und Zustandsdiagramm — alle aus dem tatsächlichen Quelltext</w:t>
      </w:r>
      <w:r>
        <w:rPr>
          <w:lang w:val="de"/>
        </w:rPr>
        <w:t xml:space="preserve"> </w:t>
      </w:r>
      <w:r>
        <w:rPr>
          <w:lang w:val="de"/>
        </w:rPr>
        <w:t xml:space="preserve">abgeleitet, nicht aus dem Gedächtnis rekonstruiert.</w:t>
      </w:r>
    </w:p>
    <w:p>
      <w:pPr>
        <w:pStyle w:val="BodyText"/>
      </w:pPr>
      <w:r>
        <w:rPr>
          <w:lang w:val="de"/>
        </w:rPr>
        <w:t xml:space="preserve">Alle Diagramme liegen als PlantUML-Quelltext neben diesem Dokument unter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Information/</w:t>
      </w:r>
      <w:r>
        <w:rPr>
          <w:lang w:val="de"/>
        </w:rPr>
        <w:t xml:space="preserve"> </w:t>
      </w:r>
      <w:r>
        <w:rPr>
          <w:lang w:val="de"/>
        </w:rPr>
        <w:t xml:space="preserve">und werden mit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plantuml -tpng &lt;Datei&gt;.puml</w:t>
      </w:r>
      <w:r>
        <w:rPr>
          <w:lang w:val="de"/>
        </w:rPr>
        <w:t xml:space="preserve"> </w:t>
      </w:r>
      <w:r>
        <w:rPr>
          <w:lang w:val="de"/>
        </w:rPr>
        <w:t xml:space="preserve">erzeugt — siehe</w:t>
      </w:r>
      <w:r>
        <w:rPr>
          <w:lang w:val="de"/>
        </w:rPr>
        <w:t xml:space="preserve"> </w:t>
      </w:r>
      <w:r>
        <w:rPr>
          <w:lang w:val="de"/>
        </w:rPr>
        <w:t xml:space="preserve">Tabelle am Ende dieses Dokuments.</w:t>
      </w:r>
    </w:p>
    <w:bookmarkEnd w:id="9"/>
    <w:bookmarkStart w:id="13" w:name="überblick-module-und-abhängigkeiten"/>
    <w:p>
      <w:pPr>
        <w:pStyle w:val="Heading1"/>
      </w:pPr>
      <w:r>
        <w:rPr>
          <w:lang w:val="de"/>
        </w:rPr>
        <w:t xml:space="preserve">1. Überblick: Module und Abhängigkeiten</w:t>
      </w:r>
    </w:p>
    <w:p>
      <w:pPr>
        <w:pStyle w:val="FirstParagraph"/>
      </w:pPr>
      <w:r>
        <w:rPr>
          <w:lang w:val="de"/>
        </w:rPr>
        <w:t xml:space="preserve">Das Projekt besteht aus zwei Maven-Modulen mit einer erzwungenen Grenze: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gkv-core</w:t>
      </w:r>
      <w:r>
        <w:rPr>
          <w:lang w:val="de"/>
        </w:rPr>
        <w:t xml:space="preserve"> </w:t>
      </w:r>
      <w:r>
        <w:rPr>
          <w:lang w:val="de"/>
        </w:rPr>
        <w:t xml:space="preserve">trägt die Fachlichkeit — Domäne, Persistenz, DTA-Erzeugung,</w:t>
      </w:r>
      <w:r>
        <w:rPr>
          <w:lang w:val="de"/>
        </w:rPr>
        <w:t xml:space="preserve"> </w:t>
      </w:r>
      <w:r>
        <w:rPr>
          <w:lang w:val="de"/>
        </w:rPr>
        <w:t xml:space="preserve">Validierung, Versand — und darf keine JavaFX-Abhängigkeit enthalten. Das ist</w:t>
      </w:r>
      <w:r>
        <w:rPr>
          <w:lang w:val="de"/>
        </w:rPr>
        <w:t xml:space="preserve"> </w:t>
      </w:r>
      <w:r>
        <w:rPr>
          <w:lang w:val="de"/>
        </w:rPr>
        <w:t xml:space="preserve">keine Vereinbarung, sondern durchgesetzt: Eine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maven-enforcer-plugin</w:t>
      </w:r>
      <w:r>
        <w:rPr>
          <w:lang w:val="de"/>
        </w:rPr>
        <w:t xml:space="preserve">-Regel</w:t>
      </w:r>
      <w:r>
        <w:rPr>
          <w:lang w:val="de"/>
        </w:rPr>
        <w:t xml:space="preserve"> </w:t>
      </w:r>
      <w:r>
        <w:rPr>
          <w:lang w:val="de"/>
        </w:rPr>
        <w:t xml:space="preserve">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gkv-core/pom.xml</w:t>
      </w:r>
      <w:r>
        <w:rPr>
          <w:lang w:val="de"/>
        </w:rPr>
        <w:t xml:space="preserve"> </w:t>
      </w:r>
      <w:r>
        <w:rPr>
          <w:lang w:val="de"/>
        </w:rPr>
        <w:t xml:space="preserve">lässt den Bau fehlschlagen, sobald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org.openjfx</w:t>
      </w:r>
      <w:r>
        <w:rPr>
          <w:lang w:val="de"/>
        </w:rPr>
        <w:t xml:space="preserve"> </w:t>
      </w:r>
      <w:r>
        <w:rPr>
          <w:lang w:val="de"/>
        </w:rPr>
        <w:t xml:space="preserve">in den</w:t>
      </w:r>
      <w:r>
        <w:rPr>
          <w:lang w:val="de"/>
        </w:rPr>
        <w:t xml:space="preserve"> </w:t>
      </w:r>
      <w:r>
        <w:rPr>
          <w:lang w:val="de"/>
        </w:rPr>
        <w:t xml:space="preserve">Kern gelangt.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gkv-ui</w:t>
      </w:r>
      <w:r>
        <w:rPr>
          <w:lang w:val="de"/>
        </w:rPr>
        <w:t xml:space="preserve"> </w:t>
      </w:r>
      <w:r>
        <w:rPr>
          <w:lang w:val="de"/>
        </w:rPr>
        <w:t xml:space="preserve">enthält ausschließlich die Oberfläche und greift nur</w:t>
      </w:r>
      <w:r>
        <w:rPr>
          <w:lang w:val="de"/>
        </w:rPr>
        <w:t xml:space="preserve"> </w:t>
      </w:r>
      <w:r>
        <w:rPr>
          <w:lang w:val="de"/>
        </w:rPr>
        <w:t xml:space="preserve">über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gkv-core</w:t>
      </w:r>
      <w:r>
        <w:rPr>
          <w:lang w:val="de"/>
        </w:rPr>
        <w:t xml:space="preserve"> </w:t>
      </w:r>
      <w:r>
        <w:rPr>
          <w:lang w:val="de"/>
        </w:rPr>
        <w:t xml:space="preserve">auf die Fachlichkeit zu — nie umgekehrt.</w:t>
      </w:r>
    </w:p>
    <w:p>
      <w:pPr>
        <w:pStyle w:val="BodyText"/>
      </w:pPr>
      <w:r>
        <w:rPr>
          <w:lang w:val="de"/>
        </w:rPr>
        <w:t xml:space="preserve">Innerhalb von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gkv-core</w:t>
      </w:r>
      <w:r>
        <w:rPr>
          <w:lang w:val="de"/>
        </w:rPr>
        <w:t xml:space="preserve"> </w:t>
      </w:r>
      <w:r>
        <w:rPr>
          <w:lang w:val="de"/>
        </w:rPr>
        <w:t xml:space="preserve">gilt dieselbe Trennungsidee noch einmal, nur ohne</w:t>
      </w:r>
      <w:r>
        <w:rPr>
          <w:lang w:val="de"/>
        </w:rPr>
        <w:t xml:space="preserve"> </w:t>
      </w:r>
      <w:r>
        <w:rPr>
          <w:lang w:val="de"/>
        </w:rPr>
        <w:t xml:space="preserve">Werkzeugzwang: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Ports und Adapter.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DataRepository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BillingOfficeTransport</w:t>
      </w:r>
      <w:r>
        <w:rPr>
          <w:lang w:val="de"/>
        </w:rPr>
        <w:t xml:space="preserve"> </w:t>
      </w:r>
      <w:r>
        <w:rPr>
          <w:lang w:val="de"/>
        </w:rPr>
        <w:t xml:space="preserve">sind Schnittstellen (Ports), die die Fachlichkeit</w:t>
      </w:r>
      <w:r>
        <w:rPr>
          <w:lang w:val="de"/>
        </w:rPr>
        <w:t xml:space="preserve"> </w:t>
      </w:r>
      <w:r>
        <w:rPr>
          <w:lang w:val="de"/>
        </w:rPr>
        <w:t xml:space="preserve">kennt;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HibernateSqllite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FileBillingOfficeTransport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SimulierterKassenTransport</w:t>
      </w:r>
      <w:r>
        <w:rPr>
          <w:lang w:val="de"/>
        </w:rPr>
        <w:t xml:space="preserve"> </w:t>
      </w:r>
      <w:r>
        <w:rPr>
          <w:lang w:val="de"/>
        </w:rPr>
        <w:t xml:space="preserve">sind Umsetzungen (Adapter) dazu, die die</w:t>
      </w:r>
      <w:r>
        <w:rPr>
          <w:lang w:val="de"/>
        </w:rPr>
        <w:t xml:space="preserve"> </w:t>
      </w:r>
      <w:r>
        <w:rPr>
          <w:lang w:val="de"/>
        </w:rPr>
        <w:t xml:space="preserve">Fachlichkeit nicht kennt. Der Vorteil zeigt sich im Test: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AbrechnungService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DtaDispatchService</w:t>
      </w:r>
      <w:r>
        <w:rPr>
          <w:lang w:val="de"/>
        </w:rPr>
        <w:t xml:space="preserve"> </w:t>
      </w:r>
      <w:r>
        <w:rPr>
          <w:lang w:val="de"/>
        </w:rPr>
        <w:t xml:space="preserve">lassen sich mit einem Adapter aufsetzen, der nichts</w:t>
      </w:r>
      <w:r>
        <w:rPr>
          <w:lang w:val="de"/>
        </w:rPr>
        <w:t xml:space="preserve"> </w:t>
      </w:r>
      <w:r>
        <w:rPr>
          <w:lang w:val="de"/>
        </w:rPr>
        <w:t xml:space="preserve">auf Platte schreibt und keine Datenbank braucht.</w:t>
      </w:r>
    </w:p>
    <w:p>
      <w:pPr>
        <w:pStyle w:val="CaptionedFigure"/>
      </w:pPr>
      <w:r>
        <w:drawing>
          <wp:inline>
            <wp:extent cx="5334000" cy="3921731"/>
            <wp:effectExtent b="0" l="0" r="0" t="0"/>
            <wp:docPr descr="Module und Abhängigkeiten" title="" id="11" name="Picture"/>
            <a:graphic>
              <a:graphicData uri="http://schemas.openxmlformats.org/drawingml/2006/picture">
                <pic:pic>
                  <pic:nvPicPr>
                    <pic:cNvPr descr="GKVTransmitter_Abhaengigkeite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Module und Abhängigkeiten</w:t>
      </w:r>
    </w:p>
    <w:bookmarkEnd w:id="13"/>
    <w:bookmarkStart w:id="17" w:name="anwendungsfälle"/>
    <w:p>
      <w:pPr>
        <w:pStyle w:val="Heading1"/>
      </w:pPr>
      <w:r>
        <w:rPr>
          <w:lang w:val="de"/>
        </w:rPr>
        <w:t xml:space="preserve">2. Anwendungsfälle</w:t>
      </w:r>
    </w:p>
    <w:p>
      <w:pPr>
        <w:pStyle w:val="FirstParagraph"/>
      </w:pPr>
      <w:r>
        <w:rPr>
          <w:lang w:val="de"/>
        </w:rPr>
        <w:t xml:space="preserve">Eine Anwenderin (Leistungserbringerin bzw. deren Abrechnungsstelle) pflegt</w:t>
      </w:r>
      <w:r>
        <w:rPr>
          <w:lang w:val="de"/>
        </w:rPr>
        <w:t xml:space="preserve"> </w:t>
      </w:r>
      <w:r>
        <w:rPr>
          <w:lang w:val="de"/>
        </w:rPr>
        <w:t xml:space="preserve">Stammdaten und stößt Abrechnungsläufe an; die Krankenkasse ist sekundärer</w:t>
      </w:r>
      <w:r>
        <w:rPr>
          <w:lang w:val="de"/>
        </w:rPr>
        <w:t xml:space="preserve"> </w:t>
      </w:r>
      <w:r>
        <w:rPr>
          <w:lang w:val="de"/>
        </w:rPr>
        <w:t xml:space="preserve">Akteur, der Lieferungen entgegennimmt und Rückmeldungen sendet. Beide Akteure</w:t>
      </w:r>
      <w:r>
        <w:rPr>
          <w:lang w:val="de"/>
        </w:rPr>
        <w:t xml:space="preserve"> </w:t>
      </w:r>
      <w:r>
        <w:rPr>
          <w:lang w:val="de"/>
        </w:rPr>
        <w:t xml:space="preserve">sind bewusst grob geschnitten — es gibt in diesem Projekt keine</w:t>
      </w:r>
      <w:r>
        <w:rPr>
          <w:lang w:val="de"/>
        </w:rPr>
        <w:t xml:space="preserve"> </w:t>
      </w:r>
      <w:r>
        <w:rPr>
          <w:lang w:val="de"/>
        </w:rPr>
        <w:t xml:space="preserve">Rollentrennung innerhalb der Anwenderschaft (etwa Sachbearbeitung gegen</w:t>
      </w:r>
      <w:r>
        <w:rPr>
          <w:lang w:val="de"/>
        </w:rPr>
        <w:t xml:space="preserve"> </w:t>
      </w:r>
      <w:r>
        <w:rPr>
          <w:lang w:val="de"/>
        </w:rPr>
        <w:t xml:space="preserve">Administration), also braucht es dafür keinen zweiten primären Akteur.</w:t>
      </w:r>
    </w:p>
    <w:p>
      <w:pPr>
        <w:pStyle w:val="CaptionedFigure"/>
      </w:pPr>
      <w:r>
        <w:drawing>
          <wp:inline>
            <wp:extent cx="5334000" cy="8633732"/>
            <wp:effectExtent b="0" l="0" r="0" t="0"/>
            <wp:docPr descr="Anwendungsfälle" title="" id="15" name="Picture"/>
            <a:graphic>
              <a:graphicData uri="http://schemas.openxmlformats.org/drawingml/2006/picture">
                <pic:pic>
                  <pic:nvPicPr>
                    <pic:cNvPr descr="GKVTransmitter_UseCas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3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Anwendungsfälle</w:t>
      </w:r>
    </w:p>
    <w:p>
      <w:pPr>
        <w:pStyle w:val="BodyText"/>
      </w:pPr>
      <w:r>
        <w:rPr>
          <w:lang w:val="de"/>
        </w:rPr>
        <w:t xml:space="preserve">„Abrechnung durchführen” schließt „Nachricht erzeugen” und „Nachricht</w:t>
      </w:r>
      <w:r>
        <w:rPr>
          <w:lang w:val="de"/>
        </w:rPr>
        <w:t xml:space="preserve"> </w:t>
      </w:r>
      <w:r>
        <w:rPr>
          <w:lang w:val="de"/>
        </w:rPr>
        <w:t xml:space="preserve">prüfen”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immer</w:t>
      </w:r>
      <w:r>
        <w:rPr>
          <w:lang w:val="de"/>
        </w:rPr>
        <w:t xml:space="preserve"> </w:t>
      </w:r>
      <w:r>
        <w:rPr>
          <w:lang w:val="de"/>
        </w:rPr>
        <w:t xml:space="preserve">ein und „Nachricht zustellen”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nur dann</w:t>
      </w:r>
      <w:r>
        <w:rPr>
          <w:lang w:val="de"/>
        </w:rPr>
        <w:t xml:space="preserve">, wenn die</w:t>
      </w:r>
      <w:r>
        <w:rPr>
          <w:lang w:val="de"/>
        </w:rPr>
        <w:t xml:space="preserve"> </w:t>
      </w:r>
      <w:r>
        <w:rPr>
          <w:lang w:val="de"/>
        </w:rPr>
        <w:t xml:space="preserve">Prüfung fehlerfrei bleibt — das Prüfwerk ist als Tor vor dem Versand gebaut,</w:t>
      </w:r>
      <w:r>
        <w:rPr>
          <w:lang w:val="de"/>
        </w:rPr>
        <w:t xml:space="preserve"> </w:t>
      </w:r>
      <w:r>
        <w:rPr>
          <w:lang w:val="de"/>
        </w:rPr>
        <w:t xml:space="preserve">nicht als optionaler Zwischenschritt. Schlägt die Prüfung fehl, erweitert</w:t>
      </w:r>
      <w:r>
        <w:rPr>
          <w:lang w:val="de"/>
        </w:rPr>
        <w:t xml:space="preserve"> </w:t>
      </w:r>
      <w:r>
        <w:rPr>
          <w:lang w:val="de"/>
        </w:rPr>
        <w:t xml:space="preserve">„Prüfbericht einsehen” den Ablauf, statt dass zugestellt wird. Diese</w:t>
      </w:r>
      <w:r>
        <w:rPr>
          <w:lang w:val="de"/>
        </w:rPr>
        <w:t xml:space="preserve"> </w:t>
      </w:r>
      <w:r>
        <w:rPr>
          <w:lang w:val="de"/>
        </w:rPr>
        <w:t xml:space="preserve">Unterscheidung zwischen „include” (passiert immer) und „extend” (passiert nur</w:t>
      </w:r>
      <w:r>
        <w:rPr>
          <w:lang w:val="de"/>
        </w:rPr>
        <w:t xml:space="preserve"> </w:t>
      </w:r>
      <w:r>
        <w:rPr>
          <w:lang w:val="de"/>
        </w:rPr>
        <w:t xml:space="preserve">unter einer Bedingung) ist keine Formsache: Sie ist im Code dieselbe</w:t>
      </w:r>
      <w:r>
        <w:rPr>
          <w:lang w:val="de"/>
        </w:rPr>
        <w:t xml:space="preserve"> </w:t>
      </w:r>
      <w:r>
        <w:rPr>
          <w:lang w:val="de"/>
        </w:rPr>
        <w:t xml:space="preserve">Unterscheidung wie zwischen dem Regelfall 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generateAndRoute(...)</w:t>
      </w:r>
      <w:r>
        <w:rPr>
          <w:lang w:val="de"/>
        </w:rPr>
        <w:t xml:space="preserve"> </w:t>
      </w:r>
      <w:r>
        <w:rPr>
          <w:lang w:val="de"/>
        </w:rPr>
        <w:t xml:space="preserve">und dem</w:t>
      </w:r>
      <w:r>
        <w:rPr>
          <w:lang w:val="de"/>
        </w:rPr>
        <w:t xml:space="preserve"> </w:t>
      </w:r>
      <w:r>
        <w:rPr>
          <w:lang w:val="de"/>
        </w:rPr>
        <w:t xml:space="preserve">Ausnahmepfad über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DtaValidierungsException</w:t>
      </w:r>
      <w:r>
        <w:rPr>
          <w:lang w:val="de"/>
        </w:rPr>
        <w:t xml:space="preserve"> </w:t>
      </w:r>
      <w:r>
        <w:rPr>
          <w:lang w:val="de"/>
        </w:rPr>
        <w:t xml:space="preserve">— siehe Abschnitt 10.</w:t>
      </w:r>
    </w:p>
    <w:bookmarkEnd w:id="17"/>
    <w:bookmarkStart w:id="21" w:name="fachliches-modell-domäne"/>
    <w:p>
      <w:pPr>
        <w:pStyle w:val="Heading1"/>
      </w:pPr>
      <w:r>
        <w:rPr>
          <w:lang w:val="de"/>
        </w:rPr>
        <w:t xml:space="preserve">3. Fachliches Modell — Domäne</w:t>
      </w:r>
    </w:p>
    <w:p>
      <w:pPr>
        <w:pStyle w:val="FirstParagraph"/>
      </w:pPr>
      <w:r>
        <w:rPr>
          <w:lang w:val="de"/>
        </w:rPr>
        <w:t xml:space="preserve">Personen, Gruppen, Blaupausen und die Abrechnung, die sie verbindet — das</w:t>
      </w:r>
      <w:r>
        <w:rPr>
          <w:lang w:val="de"/>
        </w:rPr>
        <w:t xml:space="preserve"> </w:t>
      </w:r>
      <w:r>
        <w:rPr>
          <w:lang w:val="de"/>
        </w:rPr>
        <w:t xml:space="preserve">Domänenmodell, wie es 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gkv-core.entity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gkv-core.model</w:t>
      </w:r>
      <w:r>
        <w:rPr>
          <w:lang w:val="de"/>
        </w:rPr>
        <w:t xml:space="preserve"> </w:t>
      </w:r>
      <w:r>
        <w:rPr>
          <w:lang w:val="de"/>
        </w:rPr>
        <w:t xml:space="preserve">umgesetzt ist.</w:t>
      </w:r>
    </w:p>
    <w:p>
      <w:pPr>
        <w:pStyle w:val="CaptionedFigure"/>
      </w:pPr>
      <w:r>
        <w:drawing>
          <wp:inline>
            <wp:extent cx="5334000" cy="2641197"/>
            <wp:effectExtent b="0" l="0" r="0" t="0"/>
            <wp:docPr descr="Klassendiagramm der Domäne" title="" id="19" name="Picture"/>
            <a:graphic>
              <a:graphicData uri="http://schemas.openxmlformats.org/drawingml/2006/picture">
                <pic:pic>
                  <pic:nvPicPr>
                    <pic:cNvPr descr="GKVTransmitter_Domaen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Klassendiagramm der Domäne</w:t>
      </w:r>
    </w:p>
    <w:p>
      <w:pPr>
        <w:pStyle w:val="BodyText"/>
      </w:pPr>
      <w:r>
        <w:rPr>
          <w:rStyle w:val="VerbatimChar"/>
          <w:b/>
          <w:bCs/>
          <w:lang w:val="de"/>
        </w:rPr>
        <w:t xml:space="preserve">Person</w:t>
      </w:r>
      <w:r>
        <w:rPr>
          <w:lang w:val="de"/>
        </w:rPr>
        <w:t xml:space="preserve"> </w:t>
      </w:r>
      <w:r>
        <w:rPr>
          <w:lang w:val="de"/>
        </w:rPr>
        <w:t xml:space="preserve">ist eine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@MappedSuperclass</w:t>
      </w:r>
      <w:r>
        <w:rPr>
          <w:lang w:val="de"/>
        </w:rPr>
        <w:t xml:space="preserve"> </w:t>
      </w:r>
      <w:r>
        <w:rPr>
          <w:lang w:val="de"/>
        </w:rPr>
        <w:t xml:space="preserve">ohne eigene Tabelle (siehe Abschnitt</w:t>
      </w:r>
      <w:r>
        <w:rPr>
          <w:lang w:val="de"/>
        </w:rPr>
        <w:t xml:space="preserve"> </w:t>
      </w:r>
      <w:r>
        <w:rPr>
          <w:lang w:val="de"/>
        </w:rPr>
        <w:t xml:space="preserve">9) und trägt die Felder, die eine Teilnehmerin und eine Dienstleisterin</w:t>
      </w:r>
      <w:r>
        <w:rPr>
          <w:lang w:val="de"/>
        </w:rPr>
        <w:t xml:space="preserve"> </w:t>
      </w:r>
      <w:r>
        <w:rPr>
          <w:lang w:val="de"/>
        </w:rPr>
        <w:t xml:space="preserve">gemeinsam haben: Name, Anschriftdaten, Institutionskennzeichen.</w:t>
      </w:r>
      <w:r>
        <w:rPr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Patient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ServiceProvider</w:t>
      </w:r>
      <w:r>
        <w:rPr>
          <w:lang w:val="de"/>
        </w:rPr>
        <w:t xml:space="preserve"> </w:t>
      </w:r>
      <w:r>
        <w:rPr>
          <w:lang w:val="de"/>
        </w:rPr>
        <w:t xml:space="preserve">erben davon und unterscheiden sich für das Modell</w:t>
      </w:r>
      <w:r>
        <w:rPr>
          <w:lang w:val="de"/>
        </w:rPr>
        <w:t xml:space="preserve"> </w:t>
      </w:r>
      <w:r>
        <w:rPr>
          <w:lang w:val="de"/>
        </w:rPr>
        <w:t xml:space="preserve">nur durch ihre Rolle, nicht durch eigene Felder.</w:t>
      </w:r>
      <w:r>
        <w:rPr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PersonGroup</w:t>
      </w:r>
      <w:r>
        <w:rPr>
          <w:lang w:val="de"/>
        </w:rPr>
        <w:t xml:space="preserve"> </w:t>
      </w:r>
      <w:r>
        <w:rPr>
          <w:lang w:val="de"/>
        </w:rPr>
        <w:t xml:space="preserve">hält</w:t>
      </w:r>
      <w:r>
        <w:rPr>
          <w:lang w:val="de"/>
        </w:rPr>
        <w:t xml:space="preserve"> </w:t>
      </w:r>
      <w:r>
        <w:rPr>
          <w:lang w:val="de"/>
        </w:rPr>
        <w:t xml:space="preserve">Mitgliedschaft in beide Richtungen — Teilnehmende und Dienstleistende — und</w:t>
      </w:r>
      <w:r>
        <w:rPr>
          <w:lang w:val="de"/>
        </w:rPr>
        <w:t xml:space="preserve"> </w:t>
      </w:r>
      <w:r>
        <w:rPr>
          <w:lang w:val="de"/>
        </w:rPr>
        <w:t xml:space="preserve">ist bewusst die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einzige</w:t>
      </w:r>
      <w:r>
        <w:rPr>
          <w:lang w:val="de"/>
        </w:rPr>
        <w:t xml:space="preserve"> </w:t>
      </w:r>
      <w:r>
        <w:rPr>
          <w:lang w:val="de"/>
        </w:rPr>
        <w:t xml:space="preserve">Seite, die diese Beziehung kennt: Eine Person</w:t>
      </w:r>
      <w:r>
        <w:rPr>
          <w:lang w:val="de"/>
        </w:rPr>
        <w:t xml:space="preserve"> </w:t>
      </w:r>
      <w:r>
        <w:rPr>
          <w:lang w:val="de"/>
        </w:rPr>
        <w:t xml:space="preserve">weiß nicht, in welchen Gruppen sie steckt, das beantwortet nur eine Abfrage</w:t>
      </w:r>
      <w:r>
        <w:rPr>
          <w:lang w:val="de"/>
        </w:rPr>
        <w:t xml:space="preserve"> </w:t>
      </w:r>
      <w:r>
        <w:rPr>
          <w:lang w:val="de"/>
        </w:rPr>
        <w:t xml:space="preserve">über die Gruppe. Eine Beziehung mit einer verantwortlichen Seite kann nicht</w:t>
      </w:r>
      <w:r>
        <w:rPr>
          <w:lang w:val="de"/>
        </w:rPr>
        <w:t xml:space="preserve"> </w:t>
      </w:r>
      <w:r>
        <w:rPr>
          <w:lang w:val="de"/>
        </w:rPr>
        <w:t xml:space="preserve">in sich widersprüchlich werden.</w:t>
      </w:r>
    </w:p>
    <w:p>
      <w:pPr>
        <w:pStyle w:val="BodyText"/>
      </w:pPr>
      <w:r>
        <w:rPr>
          <w:rStyle w:val="VerbatimChar"/>
          <w:b/>
          <w:bCs/>
          <w:lang w:val="de"/>
        </w:rPr>
        <w:t xml:space="preserve">Blueprint</w:t>
      </w:r>
      <w:r>
        <w:rPr>
          <w:lang w:val="de"/>
        </w:rPr>
        <w:t xml:space="preserve"> </w:t>
      </w:r>
      <w:r>
        <w:rPr>
          <w:lang w:val="de"/>
        </w:rPr>
        <w:t xml:space="preserve">ist die Vorlage für eine Leistungszeile — Name, ein</w:t>
      </w:r>
      <w:r>
        <w:rPr>
          <w:lang w:val="de"/>
        </w:rPr>
        <w:t xml:space="preserve"> </w:t>
      </w:r>
      <w:r>
        <w:rPr>
          <w:lang w:val="de"/>
        </w:rPr>
        <w:t xml:space="preserve">Vorlagenname und ein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payload</w:t>
      </w:r>
      <w:r>
        <w:rPr>
          <w:lang w:val="de"/>
        </w:rPr>
        <w:t xml:space="preserve">-Textfeld, in dem die eigentlichen Werte als</w:t>
      </w:r>
      <w:r>
        <w:rPr>
          <w:lang w:val="de"/>
        </w:rPr>
        <w:t xml:space="preserve"> </w:t>
      </w:r>
      <w:r>
        <w:rPr>
          <w:lang w:val="de"/>
        </w:rPr>
        <w:t xml:space="preserve">JSON liegen (siehe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Leistungsparameter</w:t>
      </w:r>
      <w:r>
        <w:rPr>
          <w:lang w:val="de"/>
        </w:rPr>
        <w:t xml:space="preserve"> </w:t>
      </w:r>
      <w:r>
        <w:rPr>
          <w:lang w:val="de"/>
        </w:rPr>
        <w:t xml:space="preserve">in Abschnitt 7).</w:t>
      </w:r>
      <w:r>
        <w:rPr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DtaCounter</w:t>
      </w:r>
      <w:r>
        <w:rPr>
          <w:lang w:val="de"/>
        </w:rPr>
        <w:t xml:space="preserve"> </w:t>
      </w:r>
      <w:r>
        <w:rPr>
          <w:lang w:val="de"/>
        </w:rPr>
        <w:t xml:space="preserve">hält</w:t>
      </w:r>
      <w:r>
        <w:rPr>
          <w:lang w:val="de"/>
        </w:rPr>
        <w:t xml:space="preserve"> </w:t>
      </w:r>
      <w:r>
        <w:rPr>
          <w:lang w:val="de"/>
        </w:rPr>
        <w:t xml:space="preserve">die laufende Nummer für die Datenaustauschreferenz im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UNB</w:t>
      </w:r>
      <w:r>
        <w:rPr>
          <w:lang w:val="de"/>
        </w:rPr>
        <w:t xml:space="preserve">, unter Schutz</w:t>
      </w:r>
      <w:r>
        <w:rPr>
          <w:lang w:val="de"/>
        </w:rPr>
        <w:t xml:space="preserve"> </w:t>
      </w:r>
      <w:r>
        <w:rPr>
          <w:lang w:val="de"/>
        </w:rPr>
        <w:t xml:space="preserve">gegen gleichzeitigen Zugriff (siehe Abschnitt 4).</w:t>
      </w:r>
      <w:r>
        <w:rPr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Einstellungswert</w:t>
      </w:r>
      <w:r>
        <w:rPr>
          <w:lang w:val="de"/>
        </w:rPr>
        <w:t xml:space="preserve"> </w:t>
      </w:r>
      <w:r>
        <w:rPr>
          <w:lang w:val="de"/>
        </w:rPr>
        <w:t xml:space="preserve">ist</w:t>
      </w:r>
      <w:r>
        <w:rPr>
          <w:lang w:val="de"/>
        </w:rPr>
        <w:t xml:space="preserve"> </w:t>
      </w:r>
      <w:r>
        <w:rPr>
          <w:lang w:val="de"/>
        </w:rPr>
        <w:t xml:space="preserve">eine Schlüssel-Wert-Zeile für alles, was sich einstellen lässt — Dunkelmodus,</w:t>
      </w:r>
      <w:r>
        <w:rPr>
          <w:lang w:val="de"/>
        </w:rPr>
        <w:t xml:space="preserve"> </w:t>
      </w:r>
      <w:r>
        <w:rPr>
          <w:lang w:val="de"/>
        </w:rPr>
        <w:t xml:space="preserve">Übermittlungsart — statt einer eigenen Konfigurationsdatei neben der</w:t>
      </w:r>
      <w:r>
        <w:rPr>
          <w:lang w:val="de"/>
        </w:rPr>
        <w:t xml:space="preserve"> </w:t>
      </w:r>
      <w:r>
        <w:rPr>
          <w:lang w:val="de"/>
        </w:rPr>
        <w:t xml:space="preserve">Datenbank.</w:t>
      </w:r>
    </w:p>
    <w:p>
      <w:pPr>
        <w:pStyle w:val="BodyText"/>
      </w:pPr>
      <w:r>
        <w:rPr>
          <w:rStyle w:val="VerbatimChar"/>
          <w:b/>
          <w:bCs/>
          <w:lang w:val="de"/>
        </w:rPr>
        <w:t xml:space="preserve">Abrechnung</w:t>
      </w:r>
      <w:r>
        <w:rPr>
          <w:lang w:val="de"/>
        </w:rPr>
        <w:t xml:space="preserve"> </w:t>
      </w:r>
      <w:r>
        <w:rPr>
          <w:lang w:val="de"/>
        </w:rPr>
        <w:t xml:space="preserve">verbindet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Patient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ServiceProvider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Blueprint</w:t>
      </w:r>
      <w:r>
        <w:rPr>
          <w:lang w:val="de"/>
        </w:rPr>
        <w:t xml:space="preserve"> </w:t>
      </w:r>
      <w:r>
        <w:rPr>
          <w:lang w:val="de"/>
        </w:rPr>
        <w:t xml:space="preserve">mit</w:t>
      </w:r>
      <w:r>
        <w:rPr>
          <w:lang w:val="de"/>
        </w:rPr>
        <w:t xml:space="preserve"> </w:t>
      </w:r>
      <w:r>
        <w:rPr>
          <w:lang w:val="de"/>
        </w:rPr>
        <w:t xml:space="preserve">der Terminanzahl und dem Erzeugungszeitpunkt — sie ist die Vorlage, aus der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DtaFactory</w:t>
      </w:r>
      <w:r>
        <w:rPr>
          <w:lang w:val="de"/>
        </w:rPr>
        <w:t xml:space="preserve"> </w:t>
      </w:r>
      <w:r>
        <w:rPr>
          <w:lang w:val="de"/>
        </w:rPr>
        <w:t xml:space="preserve">eine Nachricht baut (Abschnitt 7), und zugleich die einzige Spur,</w:t>
      </w:r>
      <w:r>
        <w:rPr>
          <w:lang w:val="de"/>
        </w:rPr>
        <w:t xml:space="preserve"> </w:t>
      </w:r>
      <w:r>
        <w:rPr>
          <w:lang w:val="de"/>
        </w:rPr>
        <w:t xml:space="preserve">die ein Abrechnungslauf in der Datenbank hinterlässt. Die Lieferung selbst</w:t>
      </w:r>
      <w:r>
        <w:rPr>
          <w:lang w:val="de"/>
        </w:rPr>
        <w:t xml:space="preserve"> </w:t>
      </w:r>
      <w:r>
        <w:rPr>
          <w:lang w:val="de"/>
        </w:rPr>
        <w:t xml:space="preserve">(die tatsächlich erzeugte und versendete Datei) hinterlässt keine.</w:t>
      </w:r>
    </w:p>
    <w:p>
      <w:pPr>
        <w:pStyle w:val="BodyText"/>
      </w:pPr>
      <w:r>
        <w:rPr>
          <w:lang w:val="de"/>
        </w:rPr>
        <w:t xml:space="preserve">Die Pakete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model.segment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model.segment.field</w:t>
      </w:r>
      <w:r>
        <w:rPr>
          <w:lang w:val="de"/>
        </w:rPr>
        <w:t xml:space="preserve"> </w:t>
      </w:r>
      <w:r>
        <w:rPr>
          <w:lang w:val="de"/>
        </w:rPr>
        <w:t xml:space="preserve">beschreiben nicht die</w:t>
      </w:r>
      <w:r>
        <w:rPr>
          <w:lang w:val="de"/>
        </w:rPr>
        <w:t xml:space="preserve"> </w:t>
      </w:r>
      <w:r>
        <w:rPr>
          <w:lang w:val="de"/>
        </w:rPr>
        <w:t xml:space="preserve">Fachlichkeit, sondern das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Nachrichtenformat</w:t>
      </w:r>
      <w:r>
        <w:rPr>
          <w:lang w:val="de"/>
        </w:rPr>
        <w:t xml:space="preserve"> </w:t>
      </w:r>
      <w:r>
        <w:rPr>
          <w:lang w:val="de"/>
        </w:rPr>
        <w:t xml:space="preserve">selbst als Daten: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SegmentDefinition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FieldDefinition</w:t>
      </w:r>
      <w:r>
        <w:rPr>
          <w:lang w:val="de"/>
        </w:rPr>
        <w:t xml:space="preserve"> </w:t>
      </w:r>
      <w:r>
        <w:rPr>
          <w:lang w:val="de"/>
        </w:rPr>
        <w:t xml:space="preserve">legen Position, Typ, Länge und</w:t>
      </w:r>
      <w:r>
        <w:rPr>
          <w:lang w:val="de"/>
        </w:rPr>
        <w:t xml:space="preserve"> </w:t>
      </w:r>
      <w:r>
        <w:rPr>
          <w:lang w:val="de"/>
        </w:rPr>
        <w:t xml:space="preserve">Pflichtstatus eines Feldes fest, geladen aus JSON unter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resources/segments/</w:t>
      </w:r>
      <w:r>
        <w:rPr>
          <w:lang w:val="de"/>
        </w:rPr>
        <w:t xml:space="preserve">. Dieselbe Beschreibung bedient drei Abnehmer —</w:t>
      </w:r>
      <w:r>
        <w:rPr>
          <w:lang w:val="de"/>
        </w:rPr>
        <w:t xml:space="preserve"> </w:t>
      </w:r>
      <w:r>
        <w:rPr>
          <w:lang w:val="de"/>
        </w:rPr>
        <w:t xml:space="preserve">Erzeugung, Prüfung und die Erklärtexte der Oberfläche — und verhindert damit,</w:t>
      </w:r>
      <w:r>
        <w:rPr>
          <w:lang w:val="de"/>
        </w:rPr>
        <w:t xml:space="preserve"> </w:t>
      </w:r>
      <w:r>
        <w:rPr>
          <w:lang w:val="de"/>
        </w:rPr>
        <w:t xml:space="preserve">dass sich drei Abschriften derselben Regel widersprechen.</w:t>
      </w:r>
    </w:p>
    <w:bookmarkEnd w:id="21"/>
    <w:bookmarkStart w:id="25" w:name="persistenz"/>
    <w:p>
      <w:pPr>
        <w:pStyle w:val="Heading1"/>
      </w:pPr>
      <w:r>
        <w:rPr>
          <w:lang w:val="de"/>
        </w:rPr>
        <w:t xml:space="preserve">4. Persistenz</w:t>
      </w:r>
    </w:p>
    <w:p>
      <w:pPr>
        <w:pStyle w:val="FirstParagraph"/>
      </w:pPr>
      <w:r>
        <w:rPr>
          <w:lang w:val="de"/>
        </w:rPr>
        <w:t xml:space="preserve">Der Zugang zur Datenbank hinter einer Schnittstelle: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DataRepository</w:t>
      </w:r>
      <w:r>
        <w:rPr>
          <w:lang w:val="de"/>
        </w:rPr>
        <w:t xml:space="preserve"> </w:t>
      </w:r>
      <w:r>
        <w:rPr>
          <w:lang w:val="de"/>
        </w:rPr>
        <w:t xml:space="preserve">ist der</w:t>
      </w:r>
      <w:r>
        <w:rPr>
          <w:lang w:val="de"/>
        </w:rPr>
        <w:t xml:space="preserve"> </w:t>
      </w:r>
      <w:r>
        <w:rPr>
          <w:lang w:val="de"/>
        </w:rPr>
        <w:t xml:space="preserve">Port,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HibernateSqllite</w:t>
      </w:r>
      <w:r>
        <w:rPr>
          <w:lang w:val="de"/>
        </w:rPr>
        <w:t xml:space="preserve"> </w:t>
      </w:r>
      <w:r>
        <w:rPr>
          <w:lang w:val="de"/>
        </w:rPr>
        <w:t xml:space="preserve">der Adapter darauf.</w:t>
      </w:r>
    </w:p>
    <w:p>
      <w:pPr>
        <w:pStyle w:val="CaptionedFigure"/>
      </w:pPr>
      <w:r>
        <w:drawing>
          <wp:inline>
            <wp:extent cx="5334000" cy="2151557"/>
            <wp:effectExtent b="0" l="0" r="0" t="0"/>
            <wp:docPr descr="Klassendiagramm der Persistenz" title="" id="23" name="Picture"/>
            <a:graphic>
              <a:graphicData uri="http://schemas.openxmlformats.org/drawingml/2006/picture">
                <pic:pic>
                  <pic:nvPicPr>
                    <pic:cNvPr descr="GKVTransmitter_Klassen_Persistenz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1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Klassendiagramm der Persistenz</w:t>
      </w:r>
    </w:p>
    <w:p>
      <w:pPr>
        <w:pStyle w:val="BodyText"/>
      </w:pPr>
      <w:r>
        <w:rPr>
          <w:rStyle w:val="VerbatimChar"/>
          <w:lang w:val="de"/>
        </w:rPr>
        <w:t xml:space="preserve">DataRepository</w:t>
      </w:r>
      <w:r>
        <w:rPr>
          <w:lang w:val="de"/>
        </w:rPr>
        <w:t xml:space="preserve"> </w:t>
      </w:r>
      <w:r>
        <w:rPr>
          <w:lang w:val="de"/>
        </w:rPr>
        <w:t xml:space="preserve">hat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sprechende Methoden</w:t>
      </w:r>
      <w:r>
        <w:rPr>
          <w:lang w:val="de"/>
        </w:rPr>
        <w:t xml:space="preserve"> </w:t>
      </w:r>
      <w:r>
        <w:rPr>
          <w:lang w:val="de"/>
        </w:rPr>
        <w:t xml:space="preserve">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savePatient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nextDtaInterchangeReference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speichereEinstellung</w:t>
      </w:r>
      <w:r>
        <w:rPr>
          <w:lang w:val="de"/>
        </w:rPr>
        <w:t xml:space="preserve"> </w:t>
      </w:r>
      <w:r>
        <w:rPr>
          <w:lang w:val="de"/>
        </w:rPr>
        <w:t xml:space="preserve">— statt einer</w:t>
      </w:r>
      <w:r>
        <w:rPr>
          <w:lang w:val="de"/>
        </w:rPr>
        <w:t xml:space="preserve"> </w:t>
      </w:r>
      <w:r>
        <w:rPr>
          <w:lang w:val="de"/>
        </w:rPr>
        <w:t xml:space="preserve">allgemeinen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speichere(Object)</w:t>
      </w:r>
      <w:r>
        <w:rPr>
          <w:lang w:val="de"/>
        </w:rPr>
        <w:t xml:space="preserve">. Das kostet mehr Methoden, gewinnt aber</w:t>
      </w:r>
      <w:r>
        <w:rPr>
          <w:lang w:val="de"/>
        </w:rPr>
        <w:t xml:space="preserve"> </w:t>
      </w:r>
      <w:r>
        <w:rPr>
          <w:lang w:val="de"/>
        </w:rPr>
        <w:t xml:space="preserve">Lesbarkeit: Die Schnittstelle ist zugleich eine vollständige Liste dessen,</w:t>
      </w:r>
      <w:r>
        <w:rPr>
          <w:lang w:val="de"/>
        </w:rPr>
        <w:t xml:space="preserve"> </w:t>
      </w:r>
      <w:r>
        <w:rPr>
          <w:lang w:val="de"/>
        </w:rPr>
        <w:t xml:space="preserve">was die Fachlichkeit von der Datenbank überhaupt braucht, und sie wächst nur,</w:t>
      </w:r>
      <w:r>
        <w:rPr>
          <w:lang w:val="de"/>
        </w:rPr>
        <w:t xml:space="preserve"> </w:t>
      </w:r>
      <w:r>
        <w:rPr>
          <w:lang w:val="de"/>
        </w:rPr>
        <w:t xml:space="preserve">wenn ein neuer Bedarf entsteht.</w:t>
      </w:r>
    </w:p>
    <w:p>
      <w:pPr>
        <w:pStyle w:val="BodyText"/>
      </w:pPr>
      <w:r>
        <w:rPr>
          <w:lang w:val="de"/>
        </w:rPr>
        <w:t xml:space="preserve">Jeder der zwölf Zugriffe 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HibernateSqllite</w:t>
      </w:r>
      <w:r>
        <w:rPr>
          <w:lang w:val="de"/>
        </w:rPr>
        <w:t xml:space="preserve"> </w:t>
      </w:r>
      <w:r>
        <w:rPr>
          <w:lang w:val="de"/>
        </w:rPr>
        <w:t xml:space="preserve">folgt demselben Muster —</w:t>
      </w:r>
      <w:r>
        <w:rPr>
          <w:lang w:val="de"/>
        </w:rPr>
        <w:t xml:space="preserve"> </w:t>
      </w:r>
      <w:r>
        <w:rPr>
          <w:lang w:val="de"/>
        </w:rPr>
        <w:t xml:space="preserve">Sitzung öffnen, bei einer schreibenden Arbeit eine Transaktion beginnen,</w:t>
      </w:r>
      <w:r>
        <w:rPr>
          <w:lang w:val="de"/>
        </w:rPr>
        <w:t xml:space="preserve"> </w:t>
      </w:r>
      <w:r>
        <w:rPr>
          <w:lang w:val="de"/>
        </w:rPr>
        <w:t xml:space="preserve">committen, im Fehlerfall zurückrollen.</w:t>
      </w:r>
      <w:r>
        <w:rPr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TransactionRunner</w:t>
      </w:r>
      <w:r>
        <w:rPr>
          <w:lang w:val="de"/>
        </w:rPr>
        <w:t xml:space="preserve"> </w:t>
      </w:r>
      <w:r>
        <w:rPr>
          <w:lang w:val="de"/>
        </w:rPr>
        <w:t xml:space="preserve">trägt diesen</w:t>
      </w:r>
      <w:r>
        <w:rPr>
          <w:lang w:val="de"/>
        </w:rPr>
        <w:t xml:space="preserve"> </w:t>
      </w:r>
      <w:r>
        <w:rPr>
          <w:lang w:val="de"/>
        </w:rPr>
        <w:t xml:space="preserve">Rahmen an einer einzigen Stelle: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read(...)</w:t>
      </w:r>
      <w:r>
        <w:rPr>
          <w:lang w:val="de"/>
        </w:rPr>
        <w:t xml:space="preserve"> </w:t>
      </w:r>
      <w:r>
        <w:rPr>
          <w:lang w:val="de"/>
        </w:rPr>
        <w:t xml:space="preserve">für lesende,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write(...)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writeVoid(...)</w:t>
      </w:r>
      <w:r>
        <w:rPr>
          <w:lang w:val="de"/>
        </w:rPr>
        <w:t xml:space="preserve"> </w:t>
      </w:r>
      <w:r>
        <w:rPr>
          <w:lang w:val="de"/>
        </w:rPr>
        <w:t xml:space="preserve">für schreibende Zugriffe, jeweils mit einer Beschreibung, die</w:t>
      </w:r>
      <w:r>
        <w:rPr>
          <w:lang w:val="de"/>
        </w:rPr>
        <w:t xml:space="preserve"> </w:t>
      </w:r>
      <w:r>
        <w:rPr>
          <w:lang w:val="de"/>
        </w:rPr>
        <w:t xml:space="preserve">im Fehlerfall in einer eigenen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PersistenceOperationException</w:t>
      </w:r>
      <w:r>
        <w:rPr>
          <w:lang w:val="de"/>
        </w:rPr>
        <w:t xml:space="preserve"> </w:t>
      </w:r>
      <w:r>
        <w:rPr>
          <w:lang w:val="de"/>
        </w:rPr>
        <w:t xml:space="preserve">landet — „ein</w:t>
      </w:r>
      <w:r>
        <w:rPr>
          <w:lang w:val="de"/>
        </w:rPr>
        <w:t xml:space="preserve"> </w:t>
      </w:r>
      <w:r>
        <w:rPr>
          <w:lang w:val="de"/>
        </w:rPr>
        <w:t xml:space="preserve">Fehler beim Rollback verdeckt nicht mehr die eigentliche Ursache”, weil ein</w:t>
      </w:r>
      <w:r>
        <w:rPr>
          <w:lang w:val="de"/>
        </w:rPr>
        <w:t xml:space="preserve"> </w:t>
      </w:r>
      <w:r>
        <w:rPr>
          <w:lang w:val="de"/>
        </w:rPr>
        <w:t xml:space="preserve">fehlgeschlagener Rollback der ursprünglichen Ausnahme als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suppressed</w:t>
      </w:r>
      <w:r>
        <w:rPr>
          <w:lang w:val="de"/>
        </w:rPr>
        <w:t xml:space="preserve"> </w:t>
      </w:r>
      <w:r>
        <w:rPr>
          <w:lang w:val="de"/>
        </w:rPr>
        <w:t xml:space="preserve">beigelegt wird, statt sie zu ersetzen.</w:t>
      </w:r>
    </w:p>
    <w:p>
      <w:pPr>
        <w:pStyle w:val="BodyText"/>
      </w:pPr>
      <w:r>
        <w:rPr>
          <w:rStyle w:val="VerbatimChar"/>
          <w:lang w:val="de"/>
        </w:rPr>
        <w:t xml:space="preserve">SessionFactoryProvider</w:t>
      </w:r>
      <w:r>
        <w:rPr>
          <w:lang w:val="de"/>
        </w:rPr>
        <w:t xml:space="preserve"> </w:t>
      </w:r>
      <w:r>
        <w:rPr>
          <w:lang w:val="de"/>
        </w:rPr>
        <w:t xml:space="preserve">baut die Hibernate-</w:t>
      </w:r>
      <w:r>
        <w:rPr>
          <w:rStyle w:val="VerbatimChar"/>
          <w:lang w:val="de"/>
        </w:rPr>
        <w:t xml:space="preserve">SessionFactory</w:t>
      </w:r>
      <w:r>
        <w:rPr>
          <w:lang w:val="de"/>
        </w:rPr>
        <w:t xml:space="preserve"> </w:t>
      </w:r>
      <w:r>
        <w:rPr>
          <w:lang w:val="de"/>
        </w:rPr>
        <w:t xml:space="preserve">aus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DatabaseSettings</w:t>
      </w:r>
      <w:r>
        <w:rPr>
          <w:lang w:val="de"/>
        </w:rPr>
        <w:t xml:space="preserve"> </w:t>
      </w:r>
      <w:r>
        <w:rPr>
          <w:lang w:val="de"/>
        </w:rPr>
        <w:t xml:space="preserve">auf — Datenbankpfad und Schema-Modus sind von außen</w:t>
      </w:r>
      <w:r>
        <w:rPr>
          <w:lang w:val="de"/>
        </w:rPr>
        <w:t xml:space="preserve"> </w:t>
      </w:r>
      <w:r>
        <w:rPr>
          <w:lang w:val="de"/>
        </w:rPr>
        <w:t xml:space="preserve">einstellbar (Systemeigenschaft oder Umgebungsvariable), damit Produktivbetrieb</w:t>
      </w:r>
      <w:r>
        <w:rPr>
          <w:lang w:val="de"/>
        </w:rPr>
        <w:t xml:space="preserve"> </w:t>
      </w:r>
      <w:r>
        <w:rPr>
          <w:lang w:val="de"/>
        </w:rPr>
        <w:t xml:space="preserve">und Tests getrennte Datenbanken benutzen. Der Modus, der das Schema neu</w:t>
      </w:r>
      <w:r>
        <w:rPr>
          <w:lang w:val="de"/>
        </w:rPr>
        <w:t xml:space="preserve"> </w:t>
      </w:r>
      <w:r>
        <w:rPr>
          <w:lang w:val="de"/>
        </w:rPr>
        <w:t xml:space="preserve">anlegt (</w:t>
      </w:r>
      <w:r>
        <w:rPr>
          <w:rStyle w:val="VerbatimChar"/>
          <w:lang w:val="de"/>
        </w:rPr>
        <w:t xml:space="preserve">create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create-drop</w:t>
      </w:r>
      <w:r>
        <w:rPr>
          <w:lang w:val="de"/>
        </w:rPr>
        <w:t xml:space="preserve">), ist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nie voreingestellt</w:t>
      </w:r>
      <w:r>
        <w:rPr>
          <w:lang w:val="de"/>
        </w:rPr>
        <w:t xml:space="preserve"> </w:t>
      </w:r>
      <w:r>
        <w:rPr>
          <w:lang w:val="de"/>
        </w:rPr>
        <w:t xml:space="preserve">— er würde jeden</w:t>
      </w:r>
      <w:r>
        <w:rPr>
          <w:lang w:val="de"/>
        </w:rPr>
        <w:t xml:space="preserve"> </w:t>
      </w:r>
      <w:r>
        <w:rPr>
          <w:lang w:val="de"/>
        </w:rPr>
        <w:t xml:space="preserve">Bestand verwerfen.</w:t>
      </w:r>
    </w:p>
    <w:bookmarkEnd w:id="25"/>
    <w:bookmarkStart w:id="29" w:name="validierung"/>
    <w:p>
      <w:pPr>
        <w:pStyle w:val="Heading1"/>
      </w:pPr>
      <w:r>
        <w:rPr>
          <w:lang w:val="de"/>
        </w:rPr>
        <w:t xml:space="preserve">5. Validierung</w:t>
      </w:r>
    </w:p>
    <w:p>
      <w:pPr>
        <w:pStyle w:val="FirstParagraph"/>
      </w:pPr>
      <w:r>
        <w:rPr>
          <w:lang w:val="de"/>
        </w:rPr>
        <w:t xml:space="preserve">Acht austauschbare Prüfregeln hinter einer gemeinsamen Schnittstelle — das</w:t>
      </w:r>
      <w:r>
        <w:rPr>
          <w:lang w:val="de"/>
        </w:rPr>
        <w:t xml:space="preserve"> </w:t>
      </w:r>
      <w:r>
        <w:rPr>
          <w:lang w:val="de"/>
        </w:rPr>
        <w:t xml:space="preserve">Strategie-Muster als Tor vor dem Versand.</w:t>
      </w:r>
    </w:p>
    <w:p>
      <w:pPr>
        <w:pStyle w:val="CaptionedFigure"/>
      </w:pPr>
      <w:r>
        <w:drawing>
          <wp:inline>
            <wp:extent cx="5334000" cy="4247836"/>
            <wp:effectExtent b="0" l="0" r="0" t="0"/>
            <wp:docPr descr="Klassendiagramm der Validierung" title="" id="27" name="Picture"/>
            <a:graphic>
              <a:graphicData uri="http://schemas.openxmlformats.org/drawingml/2006/picture">
                <pic:pic>
                  <pic:nvPicPr>
                    <pic:cNvPr descr="GKVTransmitter_Klassen_Validierung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7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Klassendiagramm der Validierung</w:t>
      </w:r>
    </w:p>
    <w:p>
      <w:pPr>
        <w:pStyle w:val="BodyText"/>
      </w:pPr>
      <w:r>
        <w:rPr>
          <w:rStyle w:val="VerbatimChar"/>
          <w:lang w:val="de"/>
        </w:rPr>
        <w:t xml:space="preserve">ValidationRule</w:t>
      </w:r>
      <w:r>
        <w:rPr>
          <w:lang w:val="de"/>
        </w:rPr>
        <w:t xml:space="preserve"> </w:t>
      </w:r>
      <w:r>
        <w:rPr>
          <w:lang w:val="de"/>
        </w:rPr>
        <w:t xml:space="preserve">schreibt eine einzige Methode vor: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pruefe(document, bericht)</w:t>
      </w:r>
      <w:r>
        <w:rPr>
          <w:lang w:val="de"/>
        </w:rPr>
        <w:t xml:space="preserve">. Eine Regel darf dabei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 abbrechen</w:t>
      </w:r>
      <w:r>
        <w:rPr>
          <w:lang w:val="de"/>
        </w:rPr>
        <w:t xml:space="preserve">, wenn sie etwas nicht</w:t>
      </w:r>
      <w:r>
        <w:rPr>
          <w:lang w:val="de"/>
        </w:rPr>
        <w:t xml:space="preserve"> </w:t>
      </w:r>
      <w:r>
        <w:rPr>
          <w:lang w:val="de"/>
        </w:rPr>
        <w:t xml:space="preserve">findet — eine fehlende Angabe ist selbst ein Befund, den sie in den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ValidationReport.Builder</w:t>
      </w:r>
      <w:r>
        <w:rPr>
          <w:lang w:val="de"/>
        </w:rPr>
        <w:t xml:space="preserve"> </w:t>
      </w:r>
      <w:r>
        <w:rPr>
          <w:lang w:val="de"/>
        </w:rPr>
        <w:t xml:space="preserve">einträgt, keine Ausnahme, die die Prüfung beendet.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DtaValidationService.standard()</w:t>
      </w:r>
      <w:r>
        <w:rPr>
          <w:lang w:val="de"/>
        </w:rPr>
        <w:t xml:space="preserve"> </w:t>
      </w:r>
      <w:r>
        <w:rPr>
          <w:lang w:val="de"/>
        </w:rPr>
        <w:t xml:space="preserve">reiht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zehn Regeln</w:t>
      </w:r>
      <w:r>
        <w:rPr>
          <w:lang w:val="de"/>
        </w:rPr>
        <w:t xml:space="preserve"> </w:t>
      </w:r>
      <w:r>
        <w:rPr>
          <w:lang w:val="de"/>
        </w:rPr>
        <w:t xml:space="preserve">in einer bewusst</w:t>
      </w:r>
      <w:r>
        <w:rPr>
          <w:lang w:val="de"/>
        </w:rPr>
        <w:t xml:space="preserve"> </w:t>
      </w:r>
      <w:r>
        <w:rPr>
          <w:lang w:val="de"/>
        </w:rPr>
        <w:t xml:space="preserve">gewählten Reihenfolge: erst die formale Struktur (</w:t>
      </w:r>
      <w:r>
        <w:rPr>
          <w:rStyle w:val="VerbatimChar"/>
          <w:lang w:val="de"/>
        </w:rPr>
        <w:t xml:space="preserve">SegmentSyntaxRegel</w:t>
      </w:r>
      <w:r>
        <w:rPr>
          <w:lang w:val="de"/>
        </w:rPr>
        <w:t xml:space="preserve">), dann</w:t>
      </w:r>
      <w:r>
        <w:rPr>
          <w:lang w:val="de"/>
        </w:rPr>
        <w:t xml:space="preserve"> </w:t>
      </w:r>
      <w:r>
        <w:rPr>
          <w:lang w:val="de"/>
        </w:rPr>
        <w:t xml:space="preserve">der Rahmen der Übertragung und der einzelnen Nachrichten</w:t>
      </w:r>
      <w:r>
        <w:rPr>
          <w:lang w:val="de"/>
        </w:rPr>
        <w:t xml:space="preserve"> </w:t>
      </w:r>
      <w:r>
        <w:rPr>
          <w:lang w:val="de"/>
        </w:rPr>
        <w:t xml:space="preserve">(</w:t>
      </w:r>
      <w:r>
        <w:rPr>
          <w:rStyle w:val="VerbatimChar"/>
          <w:lang w:val="de"/>
        </w:rPr>
        <w:t xml:space="preserve">NachrichtenRahmenRegel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NachrichtenAbschlussRegel</w:t>
      </w:r>
      <w:r>
        <w:rPr>
          <w:lang w:val="de"/>
        </w:rPr>
        <w:t xml:space="preserve">), dann die Inhalte</w:t>
      </w:r>
      <w:r>
        <w:rPr>
          <w:lang w:val="de"/>
        </w:rPr>
        <w:t xml:space="preserve"> </w:t>
      </w:r>
      <w:r>
        <w:rPr>
          <w:lang w:val="de"/>
        </w:rPr>
        <w:t xml:space="preserve">(Institutionskennzeichen, Versichertenangaben, Leistungsposition,</w:t>
      </w:r>
      <w:r>
        <w:rPr>
          <w:lang w:val="de"/>
        </w:rPr>
        <w:t xml:space="preserve"> </w:t>
      </w:r>
      <w:r>
        <w:rPr>
          <w:lang w:val="de"/>
        </w:rPr>
        <w:t xml:space="preserve">Positionsnummer, Verarbeitungskennzeichen, Rechnungsangaben,</w:t>
      </w:r>
      <w:r>
        <w:rPr>
          <w:lang w:val="de"/>
        </w:rPr>
        <w:t xml:space="preserve"> </w:t>
      </w:r>
      <w:r>
        <w:rPr>
          <w:lang w:val="de"/>
        </w:rPr>
        <w:t xml:space="preserve">Betragskonsistenz). So steht bei einer kaputten Datei die</w:t>
      </w:r>
      <w:r>
        <w:rPr>
          <w:lang w:val="de"/>
        </w:rPr>
        <w:t xml:space="preserve"> </w:t>
      </w:r>
      <w:r>
        <w:rPr>
          <w:lang w:val="de"/>
        </w:rPr>
        <w:t xml:space="preserve">grundlegende Ursache oben im Bericht, nicht eine Folgemeldung.</w:t>
      </w:r>
    </w:p>
    <w:p>
      <w:pPr>
        <w:pStyle w:val="BodyText"/>
      </w:pPr>
      <w:r>
        <w:rPr>
          <w:rStyle w:val="VerbatimChar"/>
          <w:lang w:val="de"/>
        </w:rPr>
        <w:t xml:space="preserve">ValidationReport</w:t>
      </w:r>
      <w:r>
        <w:rPr>
          <w:lang w:val="de"/>
        </w:rPr>
        <w:t xml:space="preserve"> </w:t>
      </w:r>
      <w:r>
        <w:rPr>
          <w:lang w:val="de"/>
        </w:rPr>
        <w:t xml:space="preserve">sammelt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alle</w:t>
      </w:r>
      <w:r>
        <w:rPr>
          <w:lang w:val="de"/>
        </w:rPr>
        <w:t xml:space="preserve"> </w:t>
      </w:r>
      <w:r>
        <w:rPr>
          <w:lang w:val="de"/>
        </w:rPr>
        <w:t xml:space="preserve">Befunde einer Prüfung statt beim ersten</w:t>
      </w:r>
      <w:r>
        <w:rPr>
          <w:lang w:val="de"/>
        </w:rPr>
        <w:t xml:space="preserve"> </w:t>
      </w:r>
      <w:r>
        <w:rPr>
          <w:lang w:val="de"/>
        </w:rPr>
        <w:t xml:space="preserve">Fehler abzubrechen — wer eine Abrechnung korrigiert, soll alle Beanstandungen</w:t>
      </w:r>
      <w:r>
        <w:rPr>
          <w:lang w:val="de"/>
        </w:rPr>
        <w:t xml:space="preserve"> </w:t>
      </w:r>
      <w:r>
        <w:rPr>
          <w:lang w:val="de"/>
        </w:rPr>
        <w:t xml:space="preserve">auf einmal sehen. Jeder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ValidationMessage</w:t>
      </w:r>
      <w:r>
        <w:rPr>
          <w:lang w:val="de"/>
        </w:rPr>
        <w:t xml:space="preserve">-Eintrag trägt neben dem Text</w:t>
      </w:r>
      <w:r>
        <w:rPr>
          <w:lang w:val="de"/>
        </w:rPr>
        <w:t xml:space="preserve"> </w:t>
      </w:r>
      <w:r>
        <w:rPr>
          <w:lang w:val="de"/>
        </w:rPr>
        <w:t xml:space="preserve">einen stabilen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code</w:t>
      </w:r>
      <w:r>
        <w:rPr>
          <w:lang w:val="de"/>
        </w:rPr>
        <w:t xml:space="preserve"> </w:t>
      </w:r>
      <w:r>
        <w:rPr>
          <w:lang w:val="de"/>
        </w:rPr>
        <w:t xml:space="preserve">(etwa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UNZ_ANZAHL</w:t>
      </w:r>
      <w:r>
        <w:rPr>
          <w:lang w:val="de"/>
        </w:rPr>
        <w:t xml:space="preserve">), getrennt von der Beschreibung,</w:t>
      </w:r>
      <w:r>
        <w:rPr>
          <w:lang w:val="de"/>
        </w:rPr>
        <w:t xml:space="preserve"> </w:t>
      </w:r>
      <w:r>
        <w:rPr>
          <w:lang w:val="de"/>
        </w:rPr>
        <w:t xml:space="preserve">damit sich Befunde auswerten lassen, ohne Meldungstexte zu vergleichen. Die</w:t>
      </w:r>
      <w:r>
        <w:rPr>
          <w:lang w:val="de"/>
        </w:rPr>
        <w:t xml:space="preserve"> </w:t>
      </w:r>
      <w:r>
        <w:rPr>
          <w:lang w:val="de"/>
        </w:rPr>
        <w:t xml:space="preserve">Gewichtung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ValidationSeverity</w:t>
      </w:r>
      <w:r>
        <w:rPr>
          <w:lang w:val="de"/>
        </w:rPr>
        <w:t xml:space="preserve"> </w:t>
      </w:r>
      <w:r>
        <w:rPr>
          <w:lang w:val="de"/>
        </w:rPr>
        <w:t xml:space="preserve">entscheidet, was zählt: Nur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ERROR</w:t>
      </w:r>
      <w:r>
        <w:rPr>
          <w:lang w:val="de"/>
        </w:rPr>
        <w:t xml:space="preserve"> </w:t>
      </w:r>
      <w:r>
        <w:rPr>
          <w:lang w:val="de"/>
        </w:rPr>
        <w:t xml:space="preserve">hält den</w:t>
      </w:r>
      <w:r>
        <w:rPr>
          <w:lang w:val="de"/>
        </w:rPr>
        <w:t xml:space="preserve"> </w:t>
      </w:r>
      <w:r>
        <w:rPr>
          <w:lang w:val="de"/>
        </w:rPr>
        <w:t xml:space="preserve">Versand auf,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WARNING</w:t>
      </w:r>
      <w:r>
        <w:rPr>
          <w:lang w:val="de"/>
        </w:rPr>
        <w:t xml:space="preserve"> </w:t>
      </w:r>
      <w:r>
        <w:rPr>
          <w:lang w:val="de"/>
        </w:rPr>
        <w:t xml:space="preserve">weist auf etwas hin, ohne ihn zu blockieren.</w:t>
      </w:r>
    </w:p>
    <w:p>
      <w:pPr>
        <w:pStyle w:val="BodyText"/>
      </w:pPr>
      <w:r>
        <w:rPr>
          <w:lang w:val="de"/>
        </w:rPr>
        <w:t xml:space="preserve">Zu jedem Code nennt der</w:t>
      </w:r>
      <w:r>
        <w:rPr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Befundkatalog</w:t>
      </w:r>
      <w:r>
        <w:rPr>
          <w:lang w:val="de"/>
        </w:rPr>
        <w:t xml:space="preserve"> </w:t>
      </w:r>
      <w:r>
        <w:rPr>
          <w:lang w:val="de"/>
        </w:rPr>
        <w:t xml:space="preserve">die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Fundstelle</w:t>
      </w:r>
      <w:r>
        <w:rPr>
          <w:lang w:val="de"/>
        </w:rPr>
        <w:t xml:space="preserve"> </w:t>
      </w:r>
      <w:r>
        <w:rPr>
          <w:lang w:val="de"/>
        </w:rPr>
        <w:t xml:space="preserve">in den Anlagen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 zu tun ist</w:t>
      </w:r>
      <w:r>
        <w:rPr>
          <w:lang w:val="de"/>
        </w:rPr>
        <w:t xml:space="preserve"> </w:t>
      </w:r>
      <w:r>
        <w:rPr>
          <w:lang w:val="de"/>
        </w:rPr>
        <w:t xml:space="preserve">— eine Beanstandung, die nur sagt,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dass</w:t>
      </w:r>
      <w:r>
        <w:rPr>
          <w:lang w:val="de"/>
        </w:rPr>
        <w:t xml:space="preserve"> </w:t>
      </w:r>
      <w:r>
        <w:rPr>
          <w:lang w:val="de"/>
        </w:rPr>
        <w:t xml:space="preserve">etwas nicht</w:t>
      </w:r>
      <w:r>
        <w:rPr>
          <w:lang w:val="de"/>
        </w:rPr>
        <w:t xml:space="preserve"> </w:t>
      </w:r>
      <w:r>
        <w:rPr>
          <w:lang w:val="de"/>
        </w:rPr>
        <w:t xml:space="preserve">stimmt, ist die halbe Auskunft.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BefundkatalogTest</w:t>
      </w:r>
      <w:r>
        <w:rPr>
          <w:lang w:val="de"/>
        </w:rPr>
        <w:t xml:space="preserve"> </w:t>
      </w:r>
      <w:r>
        <w:rPr>
          <w:lang w:val="de"/>
        </w:rPr>
        <w:t xml:space="preserve">hält den Katalog mit dem</w:t>
      </w:r>
      <w:r>
        <w:rPr>
          <w:lang w:val="de"/>
        </w:rPr>
        <w:t xml:space="preserve"> </w:t>
      </w:r>
      <w:r>
        <w:rPr>
          <w:lang w:val="de"/>
        </w:rPr>
        <w:t xml:space="preserve">Quelltext zusammen, in beide Richtungen: Ein Code ohne Eintrag und ein Eintrag</w:t>
      </w:r>
      <w:r>
        <w:rPr>
          <w:lang w:val="de"/>
        </w:rPr>
        <w:t xml:space="preserve"> </w:t>
      </w:r>
      <w:r>
        <w:rPr>
          <w:lang w:val="de"/>
        </w:rPr>
        <w:t xml:space="preserve">ohne Code lassen den Bau fehlschlagen.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Sechs der 65 Einträge stammen von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dieser Anwendung und nicht aus einer Anlage</w:t>
      </w:r>
      <w:r>
        <w:rPr>
          <w:lang w:val="de"/>
        </w:rPr>
        <w:t xml:space="preserve"> </w:t>
      </w:r>
      <w:r>
        <w:rPr>
          <w:lang w:val="de"/>
        </w:rPr>
        <w:t xml:space="preserve">— das Prüfziffernverfahren der</w:t>
      </w:r>
      <w:r>
        <w:rPr>
          <w:lang w:val="de"/>
        </w:rPr>
        <w:t xml:space="preserve"> </w:t>
      </w:r>
      <w:r>
        <w:rPr>
          <w:lang w:val="de"/>
        </w:rPr>
        <w:t xml:space="preserve">Institutionskennzeichen etwa ist in den vorliegenden Unterlagen nicht</w:t>
      </w:r>
      <w:r>
        <w:rPr>
          <w:lang w:val="de"/>
        </w:rPr>
        <w:t xml:space="preserve"> </w:t>
      </w:r>
      <w:r>
        <w:rPr>
          <w:lang w:val="de"/>
        </w:rPr>
        <w:t xml:space="preserve">beschrieben. Sie sagen das, statt einen Abschnitt zu erfinden.</w:t>
      </w:r>
    </w:p>
    <w:bookmarkEnd w:id="29"/>
    <w:bookmarkStart w:id="33" w:name="versand"/>
    <w:p>
      <w:pPr>
        <w:pStyle w:val="Heading1"/>
      </w:pPr>
      <w:r>
        <w:rPr>
          <w:lang w:val="de"/>
        </w:rPr>
        <w:t xml:space="preserve">6. Versand</w:t>
      </w:r>
    </w:p>
    <w:p>
      <w:pPr>
        <w:pStyle w:val="FirstParagraph"/>
      </w:pPr>
      <w:r>
        <w:rPr>
          <w:lang w:val="de"/>
        </w:rPr>
        <w:t xml:space="preserve">Nachrichten erzeugen, prüfen und an die richtige Kasse zustellen — inklusive</w:t>
      </w:r>
      <w:r>
        <w:rPr>
          <w:lang w:val="de"/>
        </w:rPr>
        <w:t xml:space="preserve"> </w:t>
      </w:r>
      <w:r>
        <w:rPr>
          <w:lang w:val="de"/>
        </w:rPr>
        <w:t xml:space="preserve">der Auswertung, was die Kasse zurückmeldet.</w:t>
      </w:r>
    </w:p>
    <w:p>
      <w:pPr>
        <w:pStyle w:val="CaptionedFigure"/>
      </w:pPr>
      <w:r>
        <w:drawing>
          <wp:inline>
            <wp:extent cx="5334000" cy="2235419"/>
            <wp:effectExtent b="0" l="0" r="0" t="0"/>
            <wp:docPr descr="Klassendiagramm des Versands" title="" id="31" name="Picture"/>
            <a:graphic>
              <a:graphicData uri="http://schemas.openxmlformats.org/drawingml/2006/picture">
                <pic:pic>
                  <pic:nvPicPr>
                    <pic:cNvPr descr="GKVTransmitter_Klassen_Versan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5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Klassendiagramm des Versands</w:t>
      </w:r>
    </w:p>
    <w:p>
      <w:pPr>
        <w:pStyle w:val="BodyText"/>
      </w:pPr>
      <w:r>
        <w:rPr>
          <w:rStyle w:val="VerbatimChar"/>
          <w:lang w:val="de"/>
        </w:rPr>
        <w:t xml:space="preserve">DtaDispatchService</w:t>
      </w:r>
      <w:r>
        <w:rPr>
          <w:lang w:val="de"/>
        </w:rPr>
        <w:t xml:space="preserve"> </w:t>
      </w:r>
      <w:r>
        <w:rPr>
          <w:lang w:val="de"/>
        </w:rPr>
        <w:t xml:space="preserve">ist die zentrale Stelle: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generateAndRoute(...)</w:t>
      </w:r>
      <w:r>
        <w:rPr>
          <w:lang w:val="de"/>
        </w:rPr>
        <w:t xml:space="preserve"> </w:t>
      </w:r>
      <w:r>
        <w:rPr>
          <w:lang w:val="de"/>
        </w:rPr>
        <w:t xml:space="preserve">erzeugt</w:t>
      </w:r>
      <w:r>
        <w:rPr>
          <w:lang w:val="de"/>
        </w:rPr>
        <w:t xml:space="preserve"> </w:t>
      </w:r>
      <w:r>
        <w:rPr>
          <w:lang w:val="de"/>
        </w:rPr>
        <w:t xml:space="preserve">für jede Abrechnung eine Nachricht, prüft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alle</w:t>
      </w:r>
      <w:r>
        <w:rPr>
          <w:lang w:val="de"/>
        </w:rPr>
        <w:t xml:space="preserve"> </w:t>
      </w:r>
      <w:r>
        <w:rPr>
          <w:lang w:val="de"/>
        </w:rPr>
        <w:t xml:space="preserve">erzeugten Nachrichten und</w:t>
      </w:r>
      <w:r>
        <w:rPr>
          <w:lang w:val="de"/>
        </w:rPr>
        <w:t xml:space="preserve"> </w:t>
      </w:r>
      <w:r>
        <w:rPr>
          <w:lang w:val="de"/>
        </w:rPr>
        <w:t xml:space="preserve">liefert erst dann aus, wenn keine davon einen Fehler trägt — sonst wirft 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DtaValidierungsException</w:t>
      </w:r>
      <w:r>
        <w:rPr>
          <w:lang w:val="de"/>
        </w:rPr>
        <w:t xml:space="preserve"> </w:t>
      </w:r>
      <w:r>
        <w:rPr>
          <w:lang w:val="de"/>
        </w:rPr>
        <w:t xml:space="preserve">mit dem vollständigen Bericht. Für die</w:t>
      </w:r>
      <w:r>
        <w:rPr>
          <w:lang w:val="de"/>
        </w:rPr>
        <w:t xml:space="preserve"> </w:t>
      </w:r>
      <w:r>
        <w:rPr>
          <w:lang w:val="de"/>
        </w:rPr>
        <w:t xml:space="preserve">Datenaustauschreferenz hängt der Dienst nicht am ganzen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DataRepository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lang w:val="de"/>
        </w:rPr>
        <w:t xml:space="preserve">sondern an der einmethodigen Schnittstelle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Datenaustauschreferenzen</w:t>
      </w:r>
      <w:r>
        <w:rPr>
          <w:lang w:val="de"/>
        </w:rPr>
        <w:t xml:space="preserve"> </w:t>
      </w:r>
      <w:r>
        <w:rPr>
          <w:lang w:val="de"/>
        </w:rPr>
        <w:t xml:space="preserve">mit</w:t>
      </w:r>
      <w:r>
        <w:rPr>
          <w:lang w:val="de"/>
        </w:rPr>
        <w:t xml:space="preserve"> </w:t>
      </w:r>
      <w:r>
        <w:rPr>
          <w:lang w:val="de"/>
        </w:rPr>
        <w:t xml:space="preserve">genau einer Methode,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naechste()</w:t>
      </w:r>
      <w:r>
        <w:rPr>
          <w:lang w:val="de"/>
        </w:rPr>
        <w:t xml:space="preserve"> </w:t>
      </w:r>
      <w:r>
        <w:rPr>
          <w:lang w:val="de"/>
        </w:rPr>
        <w:t xml:space="preserve">— dieselbe Überlegung wie bei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Abrechnungslauf</w:t>
      </w:r>
      <w:r>
        <w:rPr>
          <w:lang w:val="de"/>
        </w:rPr>
        <w:t xml:space="preserve"> </w:t>
      </w:r>
      <w:r>
        <w:rPr>
          <w:lang w:val="de"/>
        </w:rPr>
        <w:t xml:space="preserve">in der Oberfläche: Ein Dienst, der nur eine Zahl braucht,</w:t>
      </w:r>
      <w:r>
        <w:rPr>
          <w:lang w:val="de"/>
        </w:rPr>
        <w:t xml:space="preserve"> </w:t>
      </w:r>
      <w:r>
        <w:rPr>
          <w:lang w:val="de"/>
        </w:rPr>
        <w:t xml:space="preserve">soll sich auch nur auf eine Zahl verlassen und bleibt so ohne Datenbank</w:t>
      </w:r>
      <w:r>
        <w:rPr>
          <w:lang w:val="de"/>
        </w:rPr>
        <w:t xml:space="preserve"> </w:t>
      </w:r>
      <w:r>
        <w:rPr>
          <w:lang w:val="de"/>
        </w:rPr>
        <w:t xml:space="preserve">testbar.</w:t>
      </w:r>
    </w:p>
    <w:p>
      <w:pPr>
        <w:pStyle w:val="BodyText"/>
      </w:pPr>
      <w:r>
        <w:rPr>
          <w:rStyle w:val="VerbatimChar"/>
          <w:b/>
          <w:bCs/>
          <w:lang w:val="de"/>
        </w:rPr>
        <w:t xml:space="preserve">BillingOfficeTransport</w:t>
      </w:r>
      <w:r>
        <w:rPr>
          <w:lang w:val="de"/>
        </w:rPr>
        <w:t xml:space="preserve"> </w:t>
      </w:r>
      <w:r>
        <w:rPr>
          <w:lang w:val="de"/>
        </w:rPr>
        <w:t xml:space="preserve">ist der Port zur Zustellung, mit zwei Adaptern: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FileBillingOfficeTransport</w:t>
      </w:r>
      <w:r>
        <w:rPr>
          <w:lang w:val="de"/>
        </w:rPr>
        <w:t xml:space="preserve"> </w:t>
      </w:r>
      <w:r>
        <w:rPr>
          <w:lang w:val="de"/>
        </w:rPr>
        <w:t xml:space="preserve">legt die Datei in ein Verzeichnis,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SimulierterKassenTransport</w:t>
      </w:r>
      <w:r>
        <w:rPr>
          <w:lang w:val="de"/>
        </w:rPr>
        <w:t xml:space="preserve"> </w:t>
      </w:r>
      <w:r>
        <w:rPr>
          <w:lang w:val="de"/>
        </w:rPr>
        <w:t xml:space="preserve">spielt zusätzlich eine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SimulierteKassenGegenstelle</w:t>
      </w:r>
      <w:r>
        <w:rPr>
          <w:lang w:val="de"/>
        </w:rPr>
        <w:t xml:space="preserve"> </w:t>
      </w:r>
      <w:r>
        <w:rPr>
          <w:lang w:val="de"/>
        </w:rPr>
        <w:t xml:space="preserve">durch, die wie eine echte Kasse antwortet — nützlich, um den ganzen Ablauf</w:t>
      </w:r>
      <w:r>
        <w:rPr>
          <w:lang w:val="de"/>
        </w:rPr>
        <w:t xml:space="preserve"> </w:t>
      </w:r>
      <w:r>
        <w:rPr>
          <w:lang w:val="de"/>
        </w:rPr>
        <w:t xml:space="preserve">ohne echten Empfänger zu erproben.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BillingOfficeEndpointRegistry</w:t>
      </w:r>
      <w:r>
        <w:rPr>
          <w:lang w:val="de"/>
        </w:rPr>
        <w:t xml:space="preserve"> </w:t>
      </w:r>
      <w:r>
        <w:rPr>
          <w:lang w:val="de"/>
        </w:rPr>
        <w:t xml:space="preserve">löst eine</w:t>
      </w:r>
      <w:r>
        <w:rPr>
          <w:lang w:val="de"/>
        </w:rPr>
        <w:t xml:space="preserve"> </w:t>
      </w:r>
      <w:r>
        <w:rPr>
          <w:lang w:val="de"/>
        </w:rPr>
        <w:t xml:space="preserve">Kassen-IK auf ein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BillingOfficeEndpoint</w:t>
      </w:r>
      <w:r>
        <w:rPr>
          <w:lang w:val="de"/>
        </w:rPr>
        <w:t xml:space="preserve"> </w:t>
      </w:r>
      <w:r>
        <w:rPr>
          <w:lang w:val="de"/>
        </w:rPr>
        <w:t xml:space="preserve">auf, geladen aus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billing-office-endpoints.json</w:t>
      </w:r>
      <w:r>
        <w:rPr>
          <w:lang w:val="de"/>
        </w:rPr>
        <w:t xml:space="preserve">.</w:t>
      </w:r>
    </w:p>
    <w:p>
      <w:pPr>
        <w:pStyle w:val="BodyText"/>
      </w:pPr>
      <w:r>
        <w:rPr>
          <w:rStyle w:val="VerbatimChar"/>
          <w:b/>
          <w:bCs/>
          <w:lang w:val="de"/>
        </w:rPr>
        <w:t xml:space="preserve">BillingOfficeResponseParser</w:t>
      </w:r>
      <w:r>
        <w:rPr>
          <w:lang w:val="de"/>
        </w:rPr>
        <w:t xml:space="preserve"> </w:t>
      </w:r>
      <w:r>
        <w:rPr>
          <w:lang w:val="de"/>
        </w:rPr>
        <w:t xml:space="preserve">ordnet eine Rückmeldung einer der fünf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BillingOfficeResponseType</w:t>
      </w:r>
      <w:r>
        <w:rPr>
          <w:lang w:val="de"/>
        </w:rPr>
        <w:t xml:space="preserve">-Ausprägungen zu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ACCEPTED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REJECTED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TECHNICAL_ERROR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SYNTAX_ERROR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UNKNOWN</w:t>
      </w:r>
      <w:r>
        <w:rPr>
          <w:lang w:val="de"/>
        </w:rPr>
        <w:t xml:space="preserve">. Die Regeln dafür sind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absichtlich in fester Reihenfolge von der spezifischsten zur allgemeinsten</w:t>
      </w:r>
      <w:r>
        <w:rPr>
          <w:lang w:val="de"/>
        </w:rPr>
        <w:t xml:space="preserve"> </w:t>
      </w:r>
      <w:r>
        <w:rPr>
          <w:lang w:val="de"/>
        </w:rPr>
        <w:t xml:space="preserve">geprüft, mit an Wortgrenzen gebundenen Suchmustern: Die vorherige Fassung</w:t>
      </w:r>
      <w:r>
        <w:rPr>
          <w:lang w:val="de"/>
        </w:rPr>
        <w:t xml:space="preserve"> </w:t>
      </w:r>
      <w:r>
        <w:rPr>
          <w:lang w:val="de"/>
        </w:rPr>
        <w:t xml:space="preserve">prüfte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"fehler"</w:t>
      </w:r>
      <w:r>
        <w:rPr>
          <w:lang w:val="de"/>
        </w:rPr>
        <w:t xml:space="preserve"> </w:t>
      </w:r>
      <w:r>
        <w:rPr>
          <w:lang w:val="de"/>
        </w:rPr>
        <w:t xml:space="preserve">vor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"technisch"</w:t>
      </w:r>
      <w:r>
        <w:rPr>
          <w:lang w:val="de"/>
        </w:rPr>
        <w:t xml:space="preserve">, sodass „Technischer Fehler” als fachliche</w:t>
      </w:r>
      <w:r>
        <w:rPr>
          <w:lang w:val="de"/>
        </w:rPr>
        <w:t xml:space="preserve"> </w:t>
      </w:r>
      <w:r>
        <w:rPr>
          <w:lang w:val="de"/>
        </w:rPr>
        <w:t xml:space="preserve">Ablehnung durchging, und suchte nach Teilzeichenketten, sodass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"ok"</w:t>
      </w:r>
      <w:r>
        <w:rPr>
          <w:lang w:val="de"/>
        </w:rPr>
        <w:t xml:space="preserve"> </w:t>
      </w:r>
      <w:r>
        <w:rPr>
          <w:lang w:val="de"/>
        </w:rPr>
        <w:t xml:space="preserve">in</w:t>
      </w:r>
      <w:r>
        <w:rPr>
          <w:lang w:val="de"/>
        </w:rPr>
        <w:t xml:space="preserve"> </w:t>
      </w:r>
      <w:r>
        <w:rPr>
          <w:lang w:val="de"/>
        </w:rPr>
        <w:t xml:space="preserve">„Fehlerprotokoll” eine Annahme vortäuschte. Beide Fehler wirkten in dieselbe</w:t>
      </w:r>
      <w:r>
        <w:rPr>
          <w:lang w:val="de"/>
        </w:rPr>
        <w:t xml:space="preserve"> </w:t>
      </w:r>
      <w:r>
        <w:rPr>
          <w:lang w:val="de"/>
        </w:rPr>
        <w:t xml:space="preserve">Richtung — eine abgelehnte Lieferung konnte als angenommen gelten.</w:t>
      </w:r>
    </w:p>
    <w:bookmarkEnd w:id="33"/>
    <w:bookmarkStart w:id="37" w:name="dta-erzeugung-und--einlesen"/>
    <w:p>
      <w:pPr>
        <w:pStyle w:val="Heading1"/>
      </w:pPr>
      <w:r>
        <w:rPr>
          <w:lang w:val="de"/>
        </w:rPr>
        <w:t xml:space="preserve">7. DTA-Erzeugung und -Einlesen</w:t>
      </w:r>
    </w:p>
    <w:p>
      <w:pPr>
        <w:pStyle w:val="FirstParagraph"/>
      </w:pPr>
      <w:r>
        <w:rPr>
          <w:lang w:val="de"/>
        </w:rPr>
        <w:t xml:space="preserve">Aus einer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</w:t>
      </w:r>
      <w:r>
        <w:rPr>
          <w:lang w:val="de"/>
        </w:rPr>
        <w:t xml:space="preserve"> </w:t>
      </w:r>
      <w:r>
        <w:rPr>
          <w:lang w:val="de"/>
        </w:rPr>
        <w:t xml:space="preserve">wird eine Textdatei, und dieselbe Textdatei lässt sich</w:t>
      </w:r>
      <w:r>
        <w:rPr>
          <w:lang w:val="de"/>
        </w:rPr>
        <w:t xml:space="preserve"> </w:t>
      </w:r>
      <w:r>
        <w:rPr>
          <w:lang w:val="de"/>
        </w:rPr>
        <w:t xml:space="preserve">wieder in eine Struktur zurücklesen.</w:t>
      </w:r>
    </w:p>
    <w:p>
      <w:pPr>
        <w:pStyle w:val="CaptionedFigure"/>
      </w:pPr>
      <w:r>
        <w:drawing>
          <wp:inline>
            <wp:extent cx="5334000" cy="2111007"/>
            <wp:effectExtent b="0" l="0" r="0" t="0"/>
            <wp:docPr descr="Klassendiagramm der DTA-Erzeugung" title="" id="35" name="Picture"/>
            <a:graphic>
              <a:graphicData uri="http://schemas.openxmlformats.org/drawingml/2006/picture">
                <pic:pic>
                  <pic:nvPicPr>
                    <pic:cNvPr descr="GKVTransmitter_Klassen_DtaErzeugung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Klassendiagramm der DTA-Erzeugung</w:t>
      </w:r>
    </w:p>
    <w:p>
      <w:pPr>
        <w:pStyle w:val="BodyText"/>
      </w:pPr>
      <w:r>
        <w:rPr>
          <w:rStyle w:val="VerbatimChar"/>
          <w:b/>
          <w:bCs/>
          <w:lang w:val="de"/>
        </w:rPr>
        <w:t xml:space="preserve">DtaFactory</w:t>
      </w:r>
      <w:r>
        <w:rPr>
          <w:lang w:val="de"/>
        </w:rPr>
        <w:t xml:space="preserve"> </w:t>
      </w:r>
      <w:r>
        <w:rPr>
          <w:lang w:val="de"/>
        </w:rPr>
        <w:t xml:space="preserve">ist eine reine Fabrikklasse ohne Zustand: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buildDtaFor(...)</w:t>
      </w:r>
      <w:r>
        <w:rPr>
          <w:lang w:val="de"/>
        </w:rPr>
        <w:t xml:space="preserve"> </w:t>
      </w:r>
      <w:r>
        <w:rPr>
          <w:lang w:val="de"/>
        </w:rPr>
        <w:t xml:space="preserve">liest Patient, Dienstleister und Leistungswerte und baut daraus die</w:t>
      </w:r>
      <w:r>
        <w:rPr>
          <w:lang w:val="de"/>
        </w:rPr>
        <w:t xml:space="preserve"> </w:t>
      </w:r>
      <w:r>
        <w:rPr>
          <w:lang w:val="de"/>
        </w:rPr>
        <w:t xml:space="preserve">Segmentzeilen als Text.</w:t>
      </w:r>
      <w:r>
        <w:rPr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DtaDocument.parse(...)</w:t>
      </w:r>
      <w:r>
        <w:rPr>
          <w:lang w:val="de"/>
        </w:rPr>
        <w:t xml:space="preserve"> </w:t>
      </w:r>
      <w:r>
        <w:rPr>
          <w:lang w:val="de"/>
        </w:rPr>
        <w:t xml:space="preserve">liest genau diesen Text</w:t>
      </w:r>
      <w:r>
        <w:rPr>
          <w:lang w:val="de"/>
        </w:rPr>
        <w:t xml:space="preserve"> </w:t>
      </w:r>
      <w:r>
        <w:rPr>
          <w:lang w:val="de"/>
        </w:rPr>
        <w:t xml:space="preserve">wieder ein, in eine Liste von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DtaSegment</w:t>
      </w:r>
      <w:r>
        <w:rPr>
          <w:lang w:val="de"/>
        </w:rPr>
        <w:t xml:space="preserve">-Einträgen — der Umweg über das</w:t>
      </w:r>
      <w:r>
        <w:rPr>
          <w:lang w:val="de"/>
        </w:rPr>
        <w:t xml:space="preserve"> </w:t>
      </w:r>
      <w:r>
        <w:rPr>
          <w:lang w:val="de"/>
        </w:rPr>
        <w:t xml:space="preserve">Wiedereinlesen ist Absicht: Die Validierung (Abschnitt 5) prüft damit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genau das Ergebnis, das die Kasse erhält</w:t>
      </w:r>
      <w:r>
        <w:rPr>
          <w:lang w:val="de"/>
        </w:rPr>
        <w:t xml:space="preserve">, unabhängig davon, wie es</w:t>
      </w:r>
      <w:r>
        <w:rPr>
          <w:lang w:val="de"/>
        </w:rPr>
        <w:t xml:space="preserve"> </w:t>
      </w:r>
      <w:r>
        <w:rPr>
          <w:lang w:val="de"/>
        </w:rPr>
        <w:t xml:space="preserve">entstanden ist, und kann auf demselben Weg auch eine Datei aus fremder Quelle</w:t>
      </w:r>
      <w:r>
        <w:rPr>
          <w:lang w:val="de"/>
        </w:rPr>
        <w:t xml:space="preserve"> </w:t>
      </w:r>
      <w:r>
        <w:rPr>
          <w:lang w:val="de"/>
        </w:rPr>
        <w:t xml:space="preserve">prüfen.</w:t>
      </w:r>
    </w:p>
    <w:p>
      <w:pPr>
        <w:pStyle w:val="BodyText"/>
      </w:pPr>
      <w:r>
        <w:rPr>
          <w:rStyle w:val="VerbatimChar"/>
          <w:b/>
          <w:bCs/>
          <w:lang w:val="de"/>
        </w:rPr>
        <w:t xml:space="preserve">Leistungsparameter</w:t>
      </w:r>
      <w:r>
        <w:rPr>
          <w:lang w:val="de"/>
        </w:rPr>
        <w:t xml:space="preserve"> </w:t>
      </w:r>
      <w:r>
        <w:rPr>
          <w:lang w:val="de"/>
        </w:rPr>
        <w:t xml:space="preserve">trägt die abrechnungsrelevanten Werte einer</w:t>
      </w:r>
      <w:r>
        <w:rPr>
          <w:lang w:val="de"/>
        </w:rPr>
        <w:t xml:space="preserve"> </w:t>
      </w:r>
      <w:r>
        <w:rPr>
          <w:lang w:val="de"/>
        </w:rPr>
        <w:t xml:space="preserve">Leistungszeile, gelesen aus dem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payload</w:t>
      </w:r>
      <w:r>
        <w:rPr>
          <w:lang w:val="de"/>
        </w:rPr>
        <w:t xml:space="preserve"> </w:t>
      </w:r>
      <w:r>
        <w:rPr>
          <w:lang w:val="de"/>
        </w:rPr>
        <w:t xml:space="preserve">einer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Blueprint</w:t>
      </w:r>
      <w:r>
        <w:rPr>
          <w:lang w:val="de"/>
        </w:rPr>
        <w:t xml:space="preserve">. Fehlt eine</w:t>
      </w:r>
      <w:r>
        <w:rPr>
          <w:lang w:val="de"/>
        </w:rPr>
        <w:t xml:space="preserve"> </w:t>
      </w:r>
      <w:r>
        <w:rPr>
          <w:lang w:val="de"/>
        </w:rPr>
        <w:t xml:space="preserve">Angabe, greift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VORBELEGUNG</w:t>
      </w:r>
      <w:r>
        <w:rPr>
          <w:lang w:val="de"/>
        </w:rPr>
        <w:t xml:space="preserve"> </w:t>
      </w:r>
      <w:r>
        <w:rPr>
          <w:lang w:val="de"/>
        </w:rPr>
        <w:t xml:space="preserve">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außer beim Einzelbetrag</w:t>
      </w:r>
      <w:r>
        <w:rPr>
          <w:lang w:val="de"/>
        </w:rPr>
        <w:t xml:space="preserve">, der dann auf null</w:t>
      </w:r>
      <w:r>
        <w:rPr>
          <w:lang w:val="de"/>
        </w:rPr>
        <w:t xml:space="preserve"> </w:t>
      </w:r>
      <w:r>
        <w:rPr>
          <w:lang w:val="de"/>
        </w:rPr>
        <w:t xml:space="preserve">fällt statt auf einen plausiblen Ersatzwert. Der Grund ist eine reale</w:t>
      </w:r>
      <w:r>
        <w:rPr>
          <w:lang w:val="de"/>
        </w:rPr>
        <w:t xml:space="preserve"> </w:t>
      </w:r>
      <w:r>
        <w:rPr>
          <w:lang w:val="de"/>
        </w:rPr>
        <w:t xml:space="preserve">Sackgasse: Eine frühere Vorbelegung auf einen plausiblen Betrag lief</w:t>
      </w:r>
      <w:r>
        <w:rPr>
          <w:lang w:val="de"/>
        </w:rPr>
        <w:t xml:space="preserve"> </w:t>
      </w:r>
      <w:r>
        <w:rPr>
          <w:lang w:val="de"/>
        </w:rPr>
        <w:t xml:space="preserve">unbemerkt durch jede Prüfung, weil Menge, Einzelbetrag und Summen</w:t>
      </w:r>
      <w:r>
        <w:rPr>
          <w:lang w:val="de"/>
        </w:rPr>
        <w:t xml:space="preserve"> </w:t>
      </w:r>
      <w:r>
        <w:rPr>
          <w:lang w:val="de"/>
        </w:rPr>
        <w:t xml:space="preserve">untereinander konsistent blieben — nur eben mit einem erfundenen Wert. Null</w:t>
      </w:r>
      <w:r>
        <w:rPr>
          <w:lang w:val="de"/>
        </w:rPr>
        <w:t xml:space="preserve"> </w:t>
      </w:r>
      <w:r>
        <w:rPr>
          <w:lang w:val="de"/>
        </w:rPr>
        <w:t xml:space="preserve">fällt in jeder Summenprüfung auf, ein plausibler Ersatzwert nicht.</w:t>
      </w:r>
    </w:p>
    <w:p>
      <w:pPr>
        <w:pStyle w:val="BodyText"/>
      </w:pPr>
      <w:r>
        <w:rPr>
          <w:rStyle w:val="VerbatimChar"/>
          <w:b/>
          <w:bCs/>
          <w:lang w:val="de"/>
        </w:rPr>
        <w:t xml:space="preserve">Leistungsbereich</w:t>
      </w:r>
      <w:r>
        <w:rPr>
          <w:lang w:val="de"/>
        </w:rPr>
        <w:t xml:space="preserve"> </w:t>
      </w:r>
      <w:r>
        <w:rPr>
          <w:lang w:val="de"/>
        </w:rPr>
        <w:t xml:space="preserve">bildet den Sammelgruppenschlüssel im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UNB</w:t>
      </w:r>
      <w:r>
        <w:rPr>
          <w:lang w:val="de"/>
        </w:rPr>
        <w:t xml:space="preserve"> </w:t>
      </w:r>
      <w:r>
        <w:rPr>
          <w:lang w:val="de"/>
        </w:rPr>
        <w:t xml:space="preserve">(Feld 6)</w:t>
      </w:r>
      <w:r>
        <w:rPr>
          <w:lang w:val="de"/>
        </w:rPr>
        <w:t xml:space="preserve"> </w:t>
      </w:r>
      <w:r>
        <w:rPr>
          <w:lang w:val="de"/>
        </w:rPr>
        <w:t xml:space="preserve">aus dem Abrechnungscode der Leistungszeile ab, vollständig nach Anlage 3 —</w:t>
      </w:r>
      <w:r>
        <w:rPr>
          <w:lang w:val="de"/>
        </w:rPr>
        <w:t xml:space="preserve"> </w:t>
      </w:r>
      <w:r>
        <w:rPr>
          <w:lang w:val="de"/>
        </w:rPr>
        <w:t xml:space="preserve">mit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UNBEKANNT</w:t>
      </w:r>
      <w:r>
        <w:rPr>
          <w:lang w:val="de"/>
        </w:rPr>
        <w:t xml:space="preserve"> </w:t>
      </w:r>
      <w:r>
        <w:rPr>
          <w:lang w:val="de"/>
        </w:rPr>
        <w:t xml:space="preserve">als Rückgabe für einen nicht zuordenbaren Code, statt eines</w:t>
      </w:r>
      <w:r>
        <w:rPr>
          <w:lang w:val="de"/>
        </w:rPr>
        <w:t xml:space="preserve"> </w:t>
      </w:r>
      <w:r>
        <w:rPr>
          <w:lang w:val="de"/>
        </w:rPr>
        <w:t xml:space="preserve">erfundenen Buchstabens.</w:t>
      </w:r>
      <w:r>
        <w:rPr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Uebermittlungsart</w:t>
      </w:r>
      <w:r>
        <w:rPr>
          <w:lang w:val="de"/>
        </w:rPr>
        <w:t xml:space="preserve"> </w:t>
      </w:r>
      <w:r>
        <w:rPr>
          <w:lang w:val="de"/>
        </w:rPr>
        <w:t xml:space="preserve">trägt Test-, Erprobungs- und</w:t>
      </w:r>
      <w:r>
        <w:rPr>
          <w:lang w:val="de"/>
        </w:rPr>
        <w:t xml:space="preserve"> </w:t>
      </w:r>
      <w:r>
        <w:rPr>
          <w:lang w:val="de"/>
        </w:rPr>
        <w:t xml:space="preserve">Echtkennzeichen; nicht zuordenbare Werte fallen auf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ERPROBUNG</w:t>
      </w:r>
      <w:r>
        <w:rPr>
          <w:lang w:val="de"/>
        </w:rPr>
        <w:t xml:space="preserve"> </w:t>
      </w:r>
      <w:r>
        <w:rPr>
          <w:lang w:val="de"/>
        </w:rPr>
        <w:t xml:space="preserve">zurück, nie</w:t>
      </w:r>
      <w:r>
        <w:rPr>
          <w:lang w:val="de"/>
        </w:rPr>
        <w:t xml:space="preserve"> </w:t>
      </w:r>
      <w:r>
        <w:rPr>
          <w:lang w:val="de"/>
        </w:rPr>
        <w:t xml:space="preserve">auf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ECHT</w:t>
      </w:r>
      <w:r>
        <w:rPr>
          <w:lang w:val="de"/>
        </w:rPr>
        <w:t xml:space="preserve"> </w:t>
      </w:r>
      <w:r>
        <w:rPr>
          <w:lang w:val="de"/>
        </w:rPr>
        <w:t xml:space="preserve">— ein Vertipper in einer Einstellung darf höchstens einen</w:t>
      </w:r>
      <w:r>
        <w:rPr>
          <w:lang w:val="de"/>
        </w:rPr>
        <w:t xml:space="preserve"> </w:t>
      </w:r>
      <w:r>
        <w:rPr>
          <w:lang w:val="de"/>
        </w:rPr>
        <w:t xml:space="preserve">zusätzlichen Versand kosten, nie eine ungewollte Forderung an eine Kasse.</w:t>
      </w:r>
    </w:p>
    <w:bookmarkEnd w:id="37"/>
    <w:bookmarkStart w:id="41" w:name="gesamtübersicht-alle-klassen"/>
    <w:p>
      <w:pPr>
        <w:pStyle w:val="Heading1"/>
      </w:pPr>
      <w:r>
        <w:rPr>
          <w:lang w:val="de"/>
        </w:rPr>
        <w:t xml:space="preserve">8. Gesamtübersicht: alle Klassen</w:t>
      </w:r>
    </w:p>
    <w:p>
      <w:pPr>
        <w:pStyle w:val="FirstParagraph"/>
      </w:pPr>
      <w:r>
        <w:rPr>
          <w:lang w:val="de"/>
        </w:rPr>
        <w:t xml:space="preserve">Die fünf vorigen Abschnitte zeigen Beziehungen im Detail, aber jeweils nur</w:t>
      </w:r>
      <w:r>
        <w:rPr>
          <w:lang w:val="de"/>
        </w:rPr>
        <w:t xml:space="preserve"> </w:t>
      </w:r>
      <w:r>
        <w:rPr>
          <w:lang w:val="de"/>
        </w:rPr>
        <w:t xml:space="preserve">für einen Bereich. Diese Übersicht zeigt das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vollständige Klasseninventar</w:t>
      </w:r>
      <w:r>
        <w:rPr>
          <w:lang w:val="de"/>
        </w:rPr>
        <w:t xml:space="preserve"> </w:t>
      </w:r>
      <w:r>
        <w:rPr>
          <w:lang w:val="de"/>
        </w:rPr>
        <w:t xml:space="preserve">von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gkv-core</w:t>
      </w:r>
      <w:r>
        <w:rPr>
          <w:lang w:val="de"/>
        </w:rPr>
        <w:t xml:space="preserve"> </w:t>
      </w:r>
      <w:r>
        <w:rPr>
          <w:lang w:val="de"/>
        </w:rPr>
        <w:t xml:space="preserve">— ohne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gkv-ui</w:t>
      </w:r>
      <w:r>
        <w:rPr>
          <w:lang w:val="de"/>
        </w:rPr>
        <w:t xml:space="preserve">, dessen rund fünfzehn Oberflächenklassen bereits</w:t>
      </w:r>
      <w:r>
        <w:rPr>
          <w:lang w:val="de"/>
        </w:rPr>
        <w:t xml:space="preserve"> </w:t>
      </w:r>
      <w:r>
        <w:rPr>
          <w:lang w:val="de"/>
        </w:rPr>
        <w:t xml:space="preserve">im Komponentendiagramm (Abschnitt 1) als ein Paket erscheinen und für sich</w:t>
      </w:r>
      <w:r>
        <w:rPr>
          <w:lang w:val="de"/>
        </w:rPr>
        <w:t xml:space="preserve"> </w:t>
      </w:r>
      <w:r>
        <w:rPr>
          <w:lang w:val="de"/>
        </w:rPr>
        <w:t xml:space="preserve">keine eigene fachliche Struktur tragen.</w:t>
      </w:r>
    </w:p>
    <w:p>
      <w:pPr>
        <w:pStyle w:val="CaptionedFigure"/>
      </w:pPr>
      <w:r>
        <w:drawing>
          <wp:inline>
            <wp:extent cx="5334000" cy="1442116"/>
            <wp:effectExtent b="0" l="0" r="0" t="0"/>
            <wp:docPr descr="Gesamtübersicht aller Klassen" title="" id="39" name="Picture"/>
            <a:graphic>
              <a:graphicData uri="http://schemas.openxmlformats.org/drawingml/2006/picture">
                <pic:pic>
                  <pic:nvPicPr>
                    <pic:cNvPr descr="GKVTransmitter_Klassen_Gesamtuebersich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2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Gesamtübersicht aller Klassen</w:t>
      </w:r>
    </w:p>
    <w:p>
      <w:pPr>
        <w:pStyle w:val="BodyText"/>
      </w:pPr>
      <w:r>
        <w:rPr>
          <w:lang w:val="de"/>
        </w:rPr>
        <w:t xml:space="preserve">Gezeichnet sind nur die wichtigsten paketübergreifenden Abhängigkeiten — mit</w:t>
      </w:r>
      <w:r>
        <w:rPr>
          <w:lang w:val="de"/>
        </w:rPr>
        <w:t xml:space="preserve"> </w:t>
      </w:r>
      <w:r>
        <w:rPr>
          <w:lang w:val="de"/>
        </w:rPr>
        <w:t xml:space="preserve">allen tatsächlich vorhandenen wäre das Bild ein unlesbares Geflecht aus</w:t>
      </w:r>
      <w:r>
        <w:rPr>
          <w:lang w:val="de"/>
        </w:rPr>
        <w:t xml:space="preserve"> </w:t>
      </w:r>
      <w:r>
        <w:rPr>
          <w:lang w:val="de"/>
        </w:rPr>
        <w:t xml:space="preserve">sechzig Kästen. Wer eine konkrete Beziehung sucht, findet sie in einem der</w:t>
      </w:r>
      <w:r>
        <w:rPr>
          <w:lang w:val="de"/>
        </w:rPr>
        <w:t xml:space="preserve"> </w:t>
      </w:r>
      <w:r>
        <w:rPr>
          <w:lang w:val="de"/>
        </w:rPr>
        <w:t xml:space="preserve">fünf Teildiagramme oder im Quelltext; diese Übersicht beantwortet nur „gibt es</w:t>
      </w:r>
      <w:r>
        <w:rPr>
          <w:lang w:val="de"/>
        </w:rPr>
        <w:t xml:space="preserve"> </w:t>
      </w:r>
      <w:r>
        <w:rPr>
          <w:lang w:val="de"/>
        </w:rPr>
        <w:t xml:space="preserve">diese Klasse, und in welchem Paket liegt sie”. Auch dafür lohnt sich das</w:t>
      </w:r>
      <w:r>
        <w:rPr>
          <w:lang w:val="de"/>
        </w:rPr>
        <w:t xml:space="preserve"> </w:t>
      </w:r>
      <w:r>
        <w:rPr>
          <w:lang w:val="de"/>
        </w:rPr>
        <w:t xml:space="preserve">Bild: Es zeigt zum Beispiel, dass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util.modifiers</w:t>
      </w:r>
      <w:r>
        <w:rPr>
          <w:lang w:val="de"/>
        </w:rPr>
        <w:t xml:space="preserve"> </w:t>
      </w:r>
      <w:r>
        <w:rPr>
          <w:lang w:val="de"/>
        </w:rPr>
        <w:t xml:space="preserve">allein sechs fast</w:t>
      </w:r>
      <w:r>
        <w:rPr>
          <w:lang w:val="de"/>
        </w:rPr>
        <w:t xml:space="preserve"> </w:t>
      </w:r>
      <w:r>
        <w:rPr>
          <w:lang w:val="de"/>
        </w:rPr>
        <w:t xml:space="preserve">gleichartige Klassen für Feldbeschränkungen trägt (Dezimalstellen, Höchstlänge,</w:t>
      </w:r>
      <w:r>
        <w:rPr>
          <w:lang w:val="de"/>
        </w:rPr>
        <w:t xml:space="preserve"> </w:t>
      </w:r>
      <w:r>
        <w:rPr>
          <w:lang w:val="de"/>
        </w:rPr>
        <w:t xml:space="preserve">Sonderzeichen …) — eine Beobachtung, die in keinem der Teildiagramme</w:t>
      </w:r>
      <w:r>
        <w:rPr>
          <w:lang w:val="de"/>
        </w:rPr>
        <w:t xml:space="preserve"> </w:t>
      </w:r>
      <w:r>
        <w:rPr>
          <w:lang w:val="de"/>
        </w:rPr>
        <w:t xml:space="preserve">auftaucht, weil keines davon dieses Paket im Mittelpunkt hat.</w:t>
      </w:r>
    </w:p>
    <w:bookmarkEnd w:id="41"/>
    <w:bookmarkStart w:id="45" w:name="datenhaltung-er-diagramm"/>
    <w:p>
      <w:pPr>
        <w:pStyle w:val="Heading1"/>
      </w:pPr>
      <w:r>
        <w:rPr>
          <w:lang w:val="de"/>
        </w:rPr>
        <w:t xml:space="preserve">9. Datenhaltung — ER-Diagramm</w:t>
      </w:r>
    </w:p>
    <w:p>
      <w:pPr>
        <w:pStyle w:val="FirstParagraph"/>
      </w:pPr>
      <w:r>
        <w:rPr>
          <w:lang w:val="de"/>
        </w:rPr>
        <w:t xml:space="preserve">Aus dem tatsächlichen SQLite-Schema ausgelesen, nicht aus den Klassen</w:t>
      </w:r>
      <w:r>
        <w:rPr>
          <w:lang w:val="de"/>
        </w:rPr>
        <w:t xml:space="preserve"> </w:t>
      </w:r>
      <w:r>
        <w:rPr>
          <w:lang w:val="de"/>
        </w:rPr>
        <w:t xml:space="preserve">abgeleitet — deshalb zeigt es auch, was den Klassen nicht anzusehen ist: das</w:t>
      </w:r>
      <w:r>
        <w:rPr>
          <w:lang w:val="de"/>
        </w:rPr>
        <w:t xml:space="preserve"> </w:t>
      </w:r>
      <w:r>
        <w:rPr>
          <w:lang w:val="de"/>
        </w:rPr>
        <w:t xml:space="preserve">Schema kommt ohne Fremdschlüssel aus, 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Person</w:t>
      </w:r>
      <w:r>
        <w:rPr>
          <w:lang w:val="de"/>
        </w:rPr>
        <w:t xml:space="preserve"> </w:t>
      </w:r>
      <w:r>
        <w:rPr>
          <w:lang w:val="de"/>
        </w:rPr>
        <w:t xml:space="preserve">als gemeinsame Oberklasse</w:t>
      </w:r>
      <w:r>
        <w:rPr>
          <w:lang w:val="de"/>
        </w:rPr>
        <w:t xml:space="preserve"> </w:t>
      </w:r>
      <w:r>
        <w:rPr>
          <w:lang w:val="de"/>
        </w:rPr>
        <w:t xml:space="preserve">(Abschnitt 3) hat keine eigene Tabelle, sondern dupliziert ihre Felder in den</w:t>
      </w:r>
      <w:r>
        <w:rPr>
          <w:lang w:val="de"/>
        </w:rPr>
        <w:t xml:space="preserve"> </w:t>
      </w:r>
      <w:r>
        <w:rPr>
          <w:lang w:val="de"/>
        </w:rPr>
        <w:t xml:space="preserve">Tabellen für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Patient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ServiceProvider</w:t>
      </w:r>
      <w:r>
        <w:rPr>
          <w:lang w:val="de"/>
        </w:rPr>
        <w:t xml:space="preserve">. Die Zuordnung von Personen zu</w:t>
      </w:r>
      <w:r>
        <w:rPr>
          <w:lang w:val="de"/>
        </w:rPr>
        <w:t xml:space="preserve"> </w:t>
      </w:r>
      <w:r>
        <w:rPr>
          <w:lang w:val="de"/>
        </w:rPr>
        <w:t xml:space="preserve">Gruppen liegt in eigenen Verbindungstabellen (</w:t>
      </w:r>
      <w:r>
        <w:rPr>
          <w:rStyle w:val="VerbatimChar"/>
          <w:lang w:val="de"/>
        </w:rPr>
        <w:t xml:space="preserve">person_group_patient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person_group_service_provider</w:t>
      </w:r>
      <w:r>
        <w:rPr>
          <w:lang w:val="de"/>
        </w:rPr>
        <w:t xml:space="preserve">), weil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PersonGroup</w:t>
      </w:r>
      <w:r>
        <w:rPr>
          <w:lang w:val="de"/>
        </w:rPr>
        <w:t xml:space="preserve"> </w:t>
      </w:r>
      <w:r>
        <w:rPr>
          <w:lang w:val="de"/>
        </w:rPr>
        <w:t xml:space="preserve">beide Richtungen einer</w:t>
      </w:r>
      <w:r>
        <w:rPr>
          <w:lang w:val="de"/>
        </w:rPr>
        <w:t xml:space="preserve"> </w:t>
      </w:r>
      <w:r>
        <w:rPr>
          <w:lang w:val="de"/>
        </w:rPr>
        <w:t xml:space="preserve">Vielfachbeziehung hält (Abschnitt 3).</w:t>
      </w:r>
    </w:p>
    <w:p>
      <w:pPr>
        <w:pStyle w:val="CaptionedFigure"/>
      </w:pPr>
      <w:r>
        <w:drawing>
          <wp:inline>
            <wp:extent cx="5334000" cy="1616576"/>
            <wp:effectExtent b="0" l="0" r="0" t="0"/>
            <wp:docPr descr="ER-Diagramm" title="" id="43" name="Picture"/>
            <a:graphic>
              <a:graphicData uri="http://schemas.openxmlformats.org/drawingml/2006/picture">
                <pic:pic>
                  <pic:nvPicPr>
                    <pic:cNvPr descr="GKVTransmitter_Datenbank_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ER-Diagramm</w:t>
      </w:r>
    </w:p>
    <w:bookmarkEnd w:id="45"/>
    <w:bookmarkStart w:id="49" w:name="X0882fe09985acf353d1ac18921fb859a5a8d30f"/>
    <w:p>
      <w:pPr>
        <w:pStyle w:val="Heading1"/>
      </w:pPr>
      <w:r>
        <w:rPr>
          <w:lang w:val="de"/>
        </w:rPr>
        <w:t xml:space="preserve">10. Ablauf eines Abrechnungslaufs — Sequenzdiagramm</w:t>
      </w:r>
    </w:p>
    <w:p>
      <w:pPr>
        <w:pStyle w:val="FirstParagraph"/>
      </w:pPr>
      <w:r>
        <w:rPr>
          <w:lang w:val="de"/>
        </w:rPr>
        <w:t xml:space="preserve">Vom Klick auf „Abrechnung starten” bis zur Bestätigung oder dem</w:t>
      </w:r>
      <w:r>
        <w:rPr>
          <w:lang w:val="de"/>
        </w:rPr>
        <w:t xml:space="preserve"> </w:t>
      </w:r>
      <w:r>
        <w:rPr>
          <w:lang w:val="de"/>
        </w:rPr>
        <w:t xml:space="preserve">Prüfbericht. Der zentrale Punkt: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erst werden alle Nachrichten erzeugt und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geprüft, und nur wenn keine davon beanstandet wird, geht überhaupt 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hinaus.</w:t>
      </w:r>
    </w:p>
    <w:p>
      <w:pPr>
        <w:pStyle w:val="CaptionedFigure"/>
      </w:pPr>
      <w:r>
        <w:drawing>
          <wp:inline>
            <wp:extent cx="5334000" cy="5154202"/>
            <wp:effectExtent b="0" l="0" r="0" t="0"/>
            <wp:docPr descr="Sequenzdiagramm des Abrechnungslaufs" title="" id="47" name="Picture"/>
            <a:graphic>
              <a:graphicData uri="http://schemas.openxmlformats.org/drawingml/2006/picture">
                <pic:pic>
                  <pic:nvPicPr>
                    <pic:cNvPr descr="GKVTransmitter_Sequenz_Abrechnungslauf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4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Sequenzdiagramm des Abrechnungslaufs</w:t>
      </w:r>
    </w:p>
    <w:p>
      <w:pPr>
        <w:pStyle w:val="BodyText"/>
      </w:pPr>
      <w:r>
        <w:rPr>
          <w:lang w:val="de"/>
        </w:rPr>
        <w:t xml:space="preserve">Die Oberfläche kennt dabei nur die Schnittstelle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Abrechnungslauf</w:t>
      </w:r>
      <w:r>
        <w:rPr>
          <w:lang w:val="de"/>
        </w:rPr>
        <w:t xml:space="preserve"> </w:t>
      </w:r>
      <w:r>
        <w:rPr>
          <w:lang w:val="de"/>
        </w:rPr>
        <w:t xml:space="preserve">mit ihrer</w:t>
      </w:r>
      <w:r>
        <w:rPr>
          <w:lang w:val="de"/>
        </w:rPr>
        <w:t xml:space="preserve"> </w:t>
      </w:r>
      <w:r>
        <w:rPr>
          <w:lang w:val="de"/>
        </w:rPr>
        <w:t xml:space="preserve">einen Methode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starte(...)</w:t>
      </w:r>
      <w:r>
        <w:rPr>
          <w:lang w:val="de"/>
        </w:rPr>
        <w:t xml:space="preserve"> </w:t>
      </w:r>
      <w:r>
        <w:rPr>
          <w:lang w:val="de"/>
        </w:rPr>
        <w:t xml:space="preserve">— nicht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AbrechnungService</w:t>
      </w:r>
      <w:r>
        <w:rPr>
          <w:lang w:val="de"/>
        </w:rPr>
        <w:t xml:space="preserve"> </w:t>
      </w:r>
      <w:r>
        <w:rPr>
          <w:lang w:val="de"/>
        </w:rPr>
        <w:t xml:space="preserve">selbst. Der Grund</w:t>
      </w:r>
      <w:r>
        <w:rPr>
          <w:lang w:val="de"/>
        </w:rPr>
        <w:t xml:space="preserve"> </w:t>
      </w:r>
      <w:r>
        <w:rPr>
          <w:lang w:val="de"/>
        </w:rPr>
        <w:t xml:space="preserve">ist derselbe wie bei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Datenaustauschreferenzen</w:t>
      </w:r>
      <w:r>
        <w:rPr>
          <w:lang w:val="de"/>
        </w:rPr>
        <w:t xml:space="preserve"> </w:t>
      </w:r>
      <w:r>
        <w:rPr>
          <w:lang w:val="de"/>
        </w:rPr>
        <w:t xml:space="preserve">in Abschnitt 6: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AbrechnungService</w:t>
      </w:r>
      <w:r>
        <w:rPr>
          <w:lang w:val="de"/>
        </w:rPr>
        <w:t xml:space="preserve"> </w:t>
      </w:r>
      <w:r>
        <w:rPr>
          <w:lang w:val="de"/>
        </w:rPr>
        <w:t xml:space="preserve">ist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final</w:t>
      </w:r>
      <w:r>
        <w:rPr>
          <w:lang w:val="de"/>
        </w:rPr>
        <w:t xml:space="preserve"> </w:t>
      </w:r>
      <w:r>
        <w:rPr>
          <w:lang w:val="de"/>
        </w:rPr>
        <w:t xml:space="preserve">und baut in seinem Standardkonstruktor die</w:t>
      </w:r>
      <w:r>
        <w:rPr>
          <w:lang w:val="de"/>
        </w:rPr>
        <w:t xml:space="preserve"> </w:t>
      </w:r>
      <w:r>
        <w:rPr>
          <w:lang w:val="de"/>
        </w:rPr>
        <w:t xml:space="preserve">gesamte Versandkette samt Datenbankverbindung auf; im Test ließe er sich</w:t>
      </w:r>
      <w:r>
        <w:rPr>
          <w:lang w:val="de"/>
        </w:rPr>
        <w:t xml:space="preserve"> </w:t>
      </w:r>
      <w:r>
        <w:rPr>
          <w:lang w:val="de"/>
        </w:rPr>
        <w:t xml:space="preserve">weder ersetzen noch gefahrlos aufrufen. Die Oberfläche übergibt schlicht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abrechnungService::createAndDispatch</w:t>
      </w:r>
      <w:r>
        <w:rPr>
          <w:lang w:val="de"/>
        </w:rPr>
        <w:t xml:space="preserve"> </w:t>
      </w:r>
      <w:r>
        <w:rPr>
          <w:lang w:val="de"/>
        </w:rPr>
        <w:t xml:space="preserve">als Methodenreferenz, ein Test eine</w:t>
      </w:r>
      <w:r>
        <w:rPr>
          <w:lang w:val="de"/>
        </w:rPr>
        <w:t xml:space="preserve"> </w:t>
      </w:r>
      <w:r>
        <w:rPr>
          <w:lang w:val="de"/>
        </w:rPr>
        <w:t xml:space="preserve">Lambda, die nichts weiter tut, als das Beispiel im Diagramm nachzuvollziehen.</w:t>
      </w:r>
    </w:p>
    <w:bookmarkEnd w:id="49"/>
    <w:bookmarkStart w:id="53" w:name="X846b642ab4475c09234b51eb647705767d84edf"/>
    <w:p>
      <w:pPr>
        <w:pStyle w:val="Heading1"/>
      </w:pPr>
      <w:r>
        <w:rPr>
          <w:lang w:val="de"/>
        </w:rPr>
        <w:t xml:space="preserve">11. Ablauf eines Abrechnungslaufs — Aktivitätsdiagramm</w:t>
      </w:r>
    </w:p>
    <w:p>
      <w:pPr>
        <w:pStyle w:val="FirstParagraph"/>
      </w:pPr>
      <w:r>
        <w:rPr>
          <w:lang w:val="de"/>
        </w:rPr>
        <w:t xml:space="preserve">Derselbe Ablauf wie in Abschnitt 10, hier nach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Verantwortlichkeit</w:t>
      </w:r>
      <w:r>
        <w:rPr>
          <w:lang w:val="de"/>
        </w:rPr>
        <w:t xml:space="preserve"> </w:t>
      </w:r>
      <w:r>
        <w:rPr>
          <w:lang w:val="de"/>
        </w:rPr>
        <w:t xml:space="preserve">geschnitten statt nach Objekt — hilfreich, um zu sehen, was bei Anwenderin,</w:t>
      </w:r>
      <w:r>
        <w:rPr>
          <w:lang w:val="de"/>
        </w:rPr>
        <w:t xml:space="preserve"> </w:t>
      </w:r>
      <w:r>
        <w:rPr>
          <w:lang w:val="de"/>
        </w:rPr>
        <w:t xml:space="preserve">Oberfläche, Fachkern und Kasse jeweils passiert, ohne die Aufrufreihenfolge</w:t>
      </w:r>
      <w:r>
        <w:rPr>
          <w:lang w:val="de"/>
        </w:rPr>
        <w:t xml:space="preserve"> </w:t>
      </w:r>
      <w:r>
        <w:rPr>
          <w:lang w:val="de"/>
        </w:rPr>
        <w:t xml:space="preserve">im Detail mitzuführen. Die Verzweigung „Prüfung fehlerfrei?” ist in beiden</w:t>
      </w:r>
      <w:r>
        <w:rPr>
          <w:lang w:val="de"/>
        </w:rPr>
        <w:t xml:space="preserve"> </w:t>
      </w:r>
      <w:r>
        <w:rPr>
          <w:lang w:val="de"/>
        </w:rPr>
        <w:t xml:space="preserve">Diagrammen dieselbe Stelle im Code: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ValidationReport.hatFehler()</w:t>
      </w:r>
      <w:r>
        <w:rPr>
          <w:lang w:val="de"/>
        </w:rPr>
        <w:t xml:space="preserve"> </w:t>
      </w:r>
      <w:r>
        <w:rPr>
          <w:lang w:val="de"/>
        </w:rPr>
        <w:t xml:space="preserve">in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DtaDispatchService.generateAndRoute(...)</w:t>
      </w:r>
      <w:r>
        <w:rPr>
          <w:lang w:val="de"/>
        </w:rPr>
        <w:t xml:space="preserve">.</w:t>
      </w:r>
    </w:p>
    <w:p>
      <w:pPr>
        <w:pStyle w:val="CaptionedFigure"/>
      </w:pPr>
      <w:r>
        <w:drawing>
          <wp:inline>
            <wp:extent cx="5334000" cy="3826652"/>
            <wp:effectExtent b="0" l="0" r="0" t="0"/>
            <wp:docPr descr="Aktivitätsdiagramm des Abrechnungslaufs" title="" id="51" name="Picture"/>
            <a:graphic>
              <a:graphicData uri="http://schemas.openxmlformats.org/drawingml/2006/picture">
                <pic:pic>
                  <pic:nvPicPr>
                    <pic:cNvPr descr="GKVTransmitter_Aktivitaet_Abrechnungslauf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6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Aktivitätsdiagramm des Abrechnungslaufs</w:t>
      </w:r>
    </w:p>
    <w:bookmarkEnd w:id="53"/>
    <w:bookmarkStart w:id="57" w:name="X24642e39cf305a184304933bb12c5ac71b50219"/>
    <w:p>
      <w:pPr>
        <w:pStyle w:val="Heading1"/>
      </w:pPr>
      <w:r>
        <w:rPr>
          <w:lang w:val="de"/>
        </w:rPr>
        <w:t xml:space="preserve">12. Lebenszyklus einer Lieferung — Zustandsdiagramm</w:t>
      </w:r>
    </w:p>
    <w:p>
      <w:pPr>
        <w:pStyle w:val="FirstParagraph"/>
      </w:pPr>
      <w:r>
        <w:rPr>
          <w:lang w:val="de"/>
        </w:rPr>
        <w:t xml:space="preserve">Was aus einer erzeugten Nachricht wird, bis eine Kasse geantwortet hat. Die</w:t>
      </w:r>
      <w:r>
        <w:rPr>
          <w:lang w:val="de"/>
        </w:rPr>
        <w:t xml:space="preserve"> </w:t>
      </w:r>
      <w:r>
        <w:rPr>
          <w:lang w:val="de"/>
        </w:rPr>
        <w:t xml:space="preserve">fünf Endzustände nach der Zustellung entsprechen unmittelbar den fünf Werten</w:t>
      </w:r>
      <w:r>
        <w:rPr>
          <w:lang w:val="de"/>
        </w:rPr>
        <w:t xml:space="preserve"> </w:t>
      </w:r>
      <w:r>
        <w:rPr>
          <w:lang w:val="de"/>
        </w:rPr>
        <w:t xml:space="preserve">von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BillingOfficeResponseType</w:t>
      </w:r>
      <w:r>
        <w:rPr>
          <w:lang w:val="de"/>
        </w:rPr>
        <w:t xml:space="preserve"> </w:t>
      </w:r>
      <w:r>
        <w:rPr>
          <w:lang w:val="de"/>
        </w:rPr>
        <w:t xml:space="preserve">im Code (Abschnitt 6) — dieses Diagramm</w:t>
      </w:r>
      <w:r>
        <w:rPr>
          <w:lang w:val="de"/>
        </w:rPr>
        <w:t xml:space="preserve"> </w:t>
      </w:r>
      <w:r>
        <w:rPr>
          <w:lang w:val="de"/>
        </w:rPr>
        <w:t xml:space="preserve">bildet keine eigene Einteilung, sondern die, die bereits im Programm steht.</w:t>
      </w:r>
      <w:r>
        <w:rPr>
          <w:lang w:val="de"/>
        </w:rPr>
        <w:t xml:space="preserve"> </w:t>
      </w:r>
      <w:r>
        <w:rPr>
          <w:lang w:val="de"/>
        </w:rPr>
        <w:t xml:space="preserve">Der Zustand „Beanstandet” hat bewusst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keinen</w:t>
      </w:r>
      <w:r>
        <w:rPr>
          <w:lang w:val="de"/>
        </w:rPr>
        <w:t xml:space="preserve"> </w:t>
      </w:r>
      <w:r>
        <w:rPr>
          <w:lang w:val="de"/>
        </w:rPr>
        <w:t xml:space="preserve">Übergang nach „Zugestellt”:</w:t>
      </w:r>
      <w:r>
        <w:rPr>
          <w:lang w:val="de"/>
        </w:rPr>
        <w:t xml:space="preserve"> </w:t>
      </w:r>
      <w:r>
        <w:rPr>
          <w:lang w:val="de"/>
        </w:rPr>
        <w:t xml:space="preserve">Genau das ist die Prüfung als Tor, die in den Abschnitten 5, 10 und 11 aus</w:t>
      </w:r>
      <w:r>
        <w:rPr>
          <w:lang w:val="de"/>
        </w:rPr>
        <w:t xml:space="preserve"> </w:t>
      </w:r>
      <w:r>
        <w:rPr>
          <w:lang w:val="de"/>
        </w:rPr>
        <w:t xml:space="preserve">drei verschiedenen Blickwinkeln auftaucht.</w:t>
      </w:r>
    </w:p>
    <w:p>
      <w:pPr>
        <w:pStyle w:val="CaptionedFigure"/>
      </w:pPr>
      <w:r>
        <w:drawing>
          <wp:inline>
            <wp:extent cx="5334000" cy="2677739"/>
            <wp:effectExtent b="0" l="0" r="0" t="0"/>
            <wp:docPr descr="Zustandsdiagramm einer Lieferung" title="" id="55" name="Picture"/>
            <a:graphic>
              <a:graphicData uri="http://schemas.openxmlformats.org/drawingml/2006/picture">
                <pic:pic>
                  <pic:nvPicPr>
                    <pic:cNvPr descr="GKVTransmitter_Zustand_Lieferung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Zustandsdiagramm einer Lieferung</w:t>
      </w:r>
    </w:p>
    <w:bookmarkEnd w:id="57"/>
    <w:bookmarkStart w:id="58" w:name="woher-die-diagramme-stammen"/>
    <w:p>
      <w:pPr>
        <w:pStyle w:val="Heading1"/>
      </w:pPr>
      <w:r>
        <w:rPr>
          <w:lang w:val="de"/>
        </w:rPr>
        <w:t xml:space="preserve">Woher die Diagramme stammen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Herkunft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Module und Abhängigkeiten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wiederverwendet aus der Projektdokumentation (Teil 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Anwendungsfälle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 für dieses Dokument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Klassendiagramm der Domäne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wiederverwendet aus der Projektdokumentation (Teil 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Klassendiagramm der Persistenz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 für dieses Dokument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Klassendiagramm der Validierung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 für dieses Dokument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Klassendiagramm des Versands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 für dieses Dokument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Klassendiagramm der DTA-Erzeugung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 für dieses Dokument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Gesamtübersicht aller Klassen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 für dieses Dokument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ER-Diagramm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wiederverwendet aus der Projektdokumentation (Teil 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Sequenzdiagramm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 für dieses Dokument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Aktivitätsdiagramm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 für dieses Dokument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Zustandsdiagramm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 für dieses Dokument</w:t>
            </w:r>
          </w:p>
        </w:tc>
      </w:tr>
    </w:tbl>
    <w:p>
      <w:pPr>
        <w:pStyle w:val="BodyText"/>
      </w:pPr>
      <w:r>
        <w:rPr>
          <w:lang w:val="de"/>
        </w:rPr>
        <w:t xml:space="preserve">Die zugehörigen Quelldateien: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Module und Abhängigkeiten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05_Abhaengigkeiten.puml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Anwendungsfälle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D01_UseCase.puml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Klassendiagramm der Domäne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01_Domaene.puml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Klassendiagramm der Persistenz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D05_Klassen_Persistenz.puml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Klassendiagramm der Validierung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D06_Klassen_Validierung.puml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Klassendiagramm des Versands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D07_Klassen_Versand.puml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Klassendiagramm der DTA-Erzeugung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D08_Klassen_DtaErzeugung.puml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Gesamtübersicht aller Klassen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D09_Klassen_Gesamtuebersicht.puml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ER-Diagramm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04_Datenbank_ER.puml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Sequenzdiagramm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D02_Sequenz_Abrechnungslauf.puml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Aktivitätsdiagramm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D03_Aktivitaet_Abrechnungslauf.puml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Zustandsdiagramm —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D04_Zustand_Lieferung.puml</w:t>
      </w:r>
    </w:p>
    <w:p>
      <w:pPr>
        <w:pStyle w:val="FirstParagraph"/>
      </w:pPr>
      <w:r>
        <w:rPr>
          <w:lang w:val="de"/>
        </w:rPr>
        <w:t xml:space="preserve">Alle liegen unter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Information/</w:t>
      </w:r>
      <w:r>
        <w:rPr>
          <w:lang w:val="de"/>
        </w:rPr>
        <w:t xml:space="preserve"> </w:t>
      </w:r>
      <w:r>
        <w:rPr>
          <w:lang w:val="de"/>
        </w:rPr>
        <w:t xml:space="preserve">und werden einzeln erzeugt: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Information</w:t>
      </w:r>
      <w:r>
        <w:br/>
      </w: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D01_UseCase.puml</w:t>
      </w:r>
    </w:p>
    <w:p>
      <w:pPr>
        <w:pStyle w:val="FirstParagraph"/>
      </w:pPr>
      <w:r>
        <w:rPr>
          <w:lang w:val="de"/>
        </w:rPr>
        <w:t xml:space="preserve">Ein Diagramm, das man von Hand malt, veraltet — deshalb ist der</w:t>
      </w:r>
      <w:r>
        <w:rPr>
          <w:lang w:val="de"/>
        </w:rPr>
        <w:t xml:space="preserve"> </w:t>
      </w:r>
      <w:r>
        <w:rPr>
          <w:lang w:val="de"/>
        </w:rPr>
        <w:t xml:space="preserve">PlantUML-Quelltext die Wahrheit, nicht das PNG daneben.</w:t>
      </w:r>
    </w:p>
    <w:bookmarkEnd w:id="58"/>
    <w:bookmarkStart w:id="59" w:name="verhältnis-zur-projektdokumentation"/>
    <w:p>
      <w:pPr>
        <w:pStyle w:val="Heading1"/>
      </w:pPr>
      <w:r>
        <w:rPr>
          <w:lang w:val="de"/>
        </w:rPr>
        <w:t xml:space="preserve">Verhältnis zur Projektdokumentation</w:t>
      </w:r>
    </w:p>
    <w:p>
      <w:pPr>
        <w:pStyle w:val="FirstParagraph"/>
      </w:pPr>
      <w:r>
        <w:rPr>
          <w:lang w:val="de"/>
        </w:rPr>
        <w:t xml:space="preserve">Dieses Dokument ersetzt die 23-teilige Projektdokumentation unter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dokumentation/</w:t>
      </w:r>
      <w:r>
        <w:rPr>
          <w:lang w:val="de"/>
        </w:rPr>
        <w:t xml:space="preserve"> </w:t>
      </w:r>
      <w:r>
        <w:rPr>
          <w:lang w:val="de"/>
        </w:rPr>
        <w:t xml:space="preserve">nicht und wiederholt sie nicht. Dort steht,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warum</w:t>
      </w:r>
      <w:r>
        <w:rPr>
          <w:lang w:val="de"/>
        </w:rPr>
        <w:t xml:space="preserve"> </w:t>
      </w:r>
      <w:r>
        <w:rPr>
          <w:lang w:val="de"/>
        </w:rPr>
        <w:t xml:space="preserve">das</w:t>
      </w:r>
      <w:r>
        <w:rPr>
          <w:lang w:val="de"/>
        </w:rPr>
        <w:t xml:space="preserve"> </w:t>
      </w:r>
      <w:r>
        <w:rPr>
          <w:lang w:val="de"/>
        </w:rPr>
        <w:t xml:space="preserve">System so aufgebaut ist, mit den Alternativen, die verworfen wurden, und den</w:t>
      </w:r>
      <w:r>
        <w:rPr>
          <w:lang w:val="de"/>
        </w:rPr>
        <w:t xml:space="preserve"> </w:t>
      </w:r>
      <w:r>
        <w:rPr>
          <w:lang w:val="de"/>
        </w:rPr>
        <w:t xml:space="preserve">Sackgassen, die dazu geführt haben — hier steht nur,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wie</w:t>
      </w:r>
      <w:r>
        <w:rPr>
          <w:lang w:val="de"/>
        </w:rPr>
        <w:t xml:space="preserve"> </w:t>
      </w:r>
      <w:r>
        <w:rPr>
          <w:lang w:val="de"/>
        </w:rPr>
        <w:t xml:space="preserve">es aufgebaut</w:t>
      </w:r>
      <w:r>
        <w:rPr>
          <w:lang w:val="de"/>
        </w:rPr>
        <w:t xml:space="preserve"> </w:t>
      </w:r>
      <w:r>
        <w:rPr>
          <w:lang w:val="de"/>
        </w:rPr>
        <w:t xml:space="preserve">ist und sich verhält, für den schnellen Überblick oder als Einstieg vor dem</w:t>
      </w:r>
      <w:r>
        <w:rPr>
          <w:lang w:val="de"/>
        </w:rPr>
        <w:t xml:space="preserve"> </w:t>
      </w:r>
      <w:r>
        <w:rPr>
          <w:lang w:val="de"/>
        </w:rPr>
        <w:t xml:space="preserve">Lesen des Codes.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18" Target="media/rId18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image" Id="rId14" Target="media/rId14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GKV-Abrechnung — Technische Gesamtdokumentation</dc:title>
  <dc:creator/>
  <dc:language>de</dc:language>
  <cp:keywords/>
  <dcterms:created xsi:type="dcterms:W3CDTF">2026-09-18T08:36:24Z</dcterms:created>
  <dcterms:modified xsi:type="dcterms:W3CDTF">2026-09-18T08:36:24Z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Struktur- und Verhaltenssicht in UML</vt:lpwstr>
  </property>
  <property fmtid="{D5CDD505-2E9C-101B-9397-08002B2CF9AE}" pid="3" name="toc-title">
    <vt:lpwstr>Inhaltsverzeichnis</vt:lpwstr>
  </property>
</Properties>
</file>