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39.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GKV-Abrechnung</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Inhaltsverzeichnis</w:t>
          </w:r>
        </w:p>
        <w:p>
          <w:r>
            <w:fldChar w:fldCharType="begin" w:dirty="true"/>
            <w:instrText xml:space="preserve">TOC \o "1-2" \h \z \u</w:instrText>
            <w:fldChar w:fldCharType="separate"/>
            <w:fldChar w:fldCharType="end"/>
          </w:r>
        </w:p>
      </w:sdtContent>
    </w:sdt>
    <w:bookmarkStart w:id="9" w:name="worum-es-geht"/>
    <w:p>
      <w:pPr>
        <w:pStyle w:val="Heading1"/>
      </w:pPr>
      <w:r>
        <w:rPr>
          <w:lang w:val="de-DE"/>
        </w:rPr>
        <w:t xml:space="preserve">Worum es geht</w:t>
      </w:r>
    </w:p>
    <w:p>
      <w:pPr>
        <w:pStyle w:val="FirstParagraph"/>
      </w:pPr>
      <w:r>
        <w:rPr>
          <w:lang w:val="de-DE"/>
        </w:rPr>
        <w:t xml:space="preserve">Die GKV-Abrechnung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GKV-Abrechnung.exe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%LOCALAPPDATA%GKV-Abrechnung</w:t>
            </w:r>
          </w:p>
        </w:tc>
      </w:tr>
      <w:tr>
        <w:tc>
          <w:tcPr/>
          <w:p>
            <w:pPr>
              <w:pStyle w:val="Compact"/>
            </w:pPr>
            <w:r>
              <w:rPr>
                <w:lang w:val="de-DE"/>
              </w:rPr>
              <w:t xml:space="preserve">macOS</w:t>
            </w:r>
          </w:p>
        </w:tc>
        <w:tc>
          <w:tcPr/>
          <w:p>
            <w:pPr>
              <w:pStyle w:val="Compact"/>
            </w:pPr>
            <w:r>
              <w:rPr>
                <w:rStyle w:val="VerbatimChar"/>
                <w:lang w:val="de-DE"/>
              </w:rPr>
              <w:t xml:space="preserve">~/Library/Application Support/GKV-Abrechnung</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GKV-Abrechnung.exe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Leistungsposition</w:t>
            </w:r>
          </w:p>
        </w:tc>
        <w:tc>
          <w:tcPr/>
          <w:p>
            <w:pPr>
              <w:pStyle w:val="Compact"/>
            </w:pPr>
            <w:r>
              <w:rPr>
                <w:lang w:val="de-DE"/>
              </w:rPr>
              <w:t xml:space="preserve">Einzelbetrag und Menge einer Leistungszeile stehen nicht auf null</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w:t>
      </w:r>
      <w:r>
        <w:rPr>
          <w:lang w:val="de-DE"/>
        </w:rPr>
        <w:t xml:space="preserve"> </w:t>
      </w:r>
      <w:r>
        <w:rPr>
          <w:lang w:val="de-DE"/>
        </w:rPr>
        <w:t xml:space="preserve">werden gemeldet, verhindern aber nichts.</w:t>
      </w:r>
    </w:p>
    <w:p>
      <w:pPr>
        <w:pStyle w:val="BodyText"/>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29"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bookmarkEnd w:id="26"/>
    <w:bookmarkStart w:id="27"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7"/>
    <w:bookmarkStart w:id="28"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8"/>
    <w:bookmarkEnd w:id="29"/>
    <w:bookmarkStart w:id="44" w:name="aufbau-des-programms"/>
    <w:p>
      <w:pPr>
        <w:pStyle w:val="Heading1"/>
      </w:pPr>
      <w:r>
        <w:rPr>
          <w:lang w:val="de-DE"/>
        </w:rPr>
        <w:t xml:space="preserve">Aufbau des Programms</w:t>
      </w:r>
    </w:p>
    <w:bookmarkStart w:id="30"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30"/>
    <w:bookmarkStart w:id="34"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32" name="Picture"/>
            <a:graphic>
              <a:graphicData uri="http://schemas.openxmlformats.org/drawingml/2006/picture">
                <pic:pic>
                  <pic:nvPicPr>
                    <pic:cNvPr descr="GKVTransmitter_Domaene.png" id="33" name="Picture"/>
                    <pic:cNvPicPr>
                      <a:picLocks noChangeArrowheads="1" noChangeAspect="1"/>
                    </pic:cNvPicPr>
                  </pic:nvPicPr>
                  <pic:blipFill>
                    <a:blip r:embed="rId31"/>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34"/>
    <w:bookmarkStart w:id="38"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36" name="Picture"/>
            <a:graphic>
              <a:graphicData uri="http://schemas.openxmlformats.org/drawingml/2006/picture">
                <pic:pic>
                  <pic:nvPicPr>
                    <pic:cNvPr descr="GKVTransmitter_DTA_und_Versand.png" id="37" name="Picture"/>
                    <pic:cNvPicPr>
                      <a:picLocks noChangeArrowheads="1" noChangeAspect="1"/>
                    </pic:cNvPicPr>
                  </pic:nvPicPr>
                  <pic:blipFill>
                    <a:blip r:embed="rId35"/>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38"/>
    <w:bookmarkStart w:id="42" w:name="oberfläche-und-datenhaltung"/>
    <w:p>
      <w:pPr>
        <w:pStyle w:val="Heading2"/>
      </w:pPr>
      <w:r>
        <w:rPr>
          <w:lang w:val="de-DE"/>
        </w:rPr>
        <w:t xml:space="preserve">Oberfläche und Datenhaltung</w:t>
      </w:r>
    </w:p>
    <w:p>
      <w:pPr>
        <w:pStyle w:val="CaptionedFigure"/>
      </w:pPr>
      <w:r>
        <w:drawing>
          <wp:inline>
            <wp:extent cx="5334000" cy="3169928"/>
            <wp:effectExtent b="0" l="0" r="0" t="0"/>
            <wp:docPr descr="Oberfläche und Datenzugriff" title="" id="40" name="Picture"/>
            <a:graphic>
              <a:graphicData uri="http://schemas.openxmlformats.org/drawingml/2006/picture">
                <pic:pic>
                  <pic:nvPicPr>
                    <pic:cNvPr descr="GKVTransmitter_Praesentation_und_Persistenz.png" id="41" name="Picture"/>
                    <pic:cNvPicPr>
                      <a:picLocks noChangeArrowheads="1" noChangeAspect="1"/>
                    </pic:cNvPicPr>
                  </pic:nvPicPr>
                  <pic:blipFill>
                    <a:blip r:embed="rId39"/>
                    <a:stretch>
                      <a:fillRect/>
                    </a:stretch>
                  </pic:blipFill>
                  <pic:spPr bwMode="auto">
                    <a:xfrm>
                      <a:off x="0" y="0"/>
                      <a:ext cx="5334000" cy="316992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und prüft die Eingabefelder.</w:t>
      </w:r>
      <w:r>
        <w:rPr>
          <w:lang w:val="de-DE"/>
        </w:rPr>
        <w:t xml:space="preserve"> </w:t>
      </w:r>
      <w:r>
        <w:rPr>
          <w:rStyle w:val="VerbatimChar"/>
          <w:lang w:val="de-DE"/>
        </w:rPr>
        <w:t xml:space="preserve">Hauptfenster</w:t>
      </w:r>
      <w:r>
        <w:rPr>
          <w:lang w:val="de-DE"/>
        </w:rPr>
        <w:t xml:space="preserve"> </w:t>
      </w:r>
      <w:r>
        <w:rPr>
          <w:lang w:val="de-DE"/>
        </w:rPr>
        <w:t xml:space="preserve">trägt Seitenleiste, Kopfzeile und Statuszeile und weist jeder Maske ihren Platz zu.</w:t>
      </w:r>
    </w:p>
    <w:p>
      <w:pPr>
        <w:pStyle w:val="BodyText"/>
      </w:pPr>
      <w:r>
        <w:rPr>
          <w:lang w:val="de-DE"/>
        </w:rPr>
        <w:t xml:space="preserve">Jede Maske bekommt von außen, was sie braucht — Daten, Meldewege, den Platz, an dem sie erscheint. Deshalb lässt sich jede einzeln prüfen, ohne Datenbank und ohne dass etwas auf dem Bildschirm erscheinen müsste.</w:t>
      </w:r>
    </w:p>
    <w:p>
      <w:pPr>
        <w:pStyle w:val="BodyText"/>
      </w:pPr>
      <w:r>
        <w:rPr>
          <w:b/>
          <w:bCs/>
          <w:lang w:val="de-DE"/>
        </w:rPr>
        <w:t xml:space="preserve">Im laufenden Betrieb öffnet die Anwendung kein Fenster.</w:t>
      </w:r>
      <w:r>
        <w:rPr>
          <w:lang w:val="de-DE"/>
        </w:rPr>
        <w:t xml:space="preserve"> </w:t>
      </w:r>
      <w:r>
        <w:rPr>
          <w:lang w:val="de-DE"/>
        </w:rPr>
        <w:t xml:space="preserve">Meldungen erscheinen in der Ecke oben rechts und gehen nach wenigen Sekunden von selbst; was schiefgegangen ist und was eine Antwort verlangt, bleibt stehen, bis es zur Kenntnis genommen wurde. Auch die Rückfrage vor dem Löschen und der Prüfbericht einer abgewiesenen Abrechnung erscheinen dort — Letzterer als Liste, die sich Punkt für Punkt abarbeiten lässt.</w:t>
      </w:r>
    </w:p>
    <w:p>
      <w:pPr>
        <w:pStyle w:val="BodyText"/>
      </w:pPr>
      <w:r>
        <w:rPr>
          <w:lang w:val="de-DE"/>
        </w:rPr>
        <w:t xml:space="preserve">Unter jedem Eingabefeld steht, was hineingehört, und darunter Platz für eine Beanstandung. Das</w:t>
      </w:r>
      <w:r>
        <w:rPr>
          <w:lang w:val="de-DE"/>
        </w:rPr>
        <w:t xml:space="preserve"> </w:t>
      </w:r>
      <w:r>
        <w:rPr>
          <w:b/>
          <w:bCs/>
          <w:lang w:val="de-DE"/>
        </w:rPr>
        <w:t xml:space="preserve">Institutionskennzeichen wird schon hier gegen seine Prüfziffer geprüft</w:t>
      </w:r>
      <w:r>
        <w:rPr>
          <w:lang w:val="de-DE"/>
        </w:rPr>
        <w:t xml:space="preserve">: ein falsches IK lässt die Kasse sonst die gesamte Lieferung abweisen, und das fiele erst Tage später auf.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42"/>
    <w:bookmarkStart w:id="43"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sieben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Meldungen</w:t>
            </w:r>
          </w:p>
        </w:tc>
        <w:tc>
          <w:tcPr/>
          <w:p>
            <w:pPr>
              <w:pStyle w:val="Compact"/>
            </w:pPr>
            <w:r>
              <w:rPr>
                <w:lang w:val="de-DE"/>
              </w:rPr>
              <w:t xml:space="preserve">die Meldungsecke im Fenster</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43"/>
    <w:bookmarkEnd w:id="44"/>
    <w:bookmarkStart w:id="45" w:name="konfiguration"/>
    <w:p>
      <w:pPr>
        <w:pStyle w:val="Heading1"/>
      </w:pPr>
      <w:r>
        <w:rPr>
          <w:lang w:val="de-DE"/>
        </w:rPr>
        <w:t xml:space="preserve">Konfiguration</w:t>
      </w:r>
    </w:p>
    <w:p>
      <w:pPr>
        <w:pStyle w:val="FirstParagraph"/>
      </w:pPr>
      <w:r>
        <w:rPr>
          <w:lang w:val="de-DE"/>
        </w:rPr>
        <w:t xml:space="preserve">Alle Einstellungen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45"/>
    <w:bookmarkStart w:id="50" w:name="entwicklung"/>
    <w:p>
      <w:pPr>
        <w:pStyle w:val="Heading1"/>
      </w:pPr>
      <w:r>
        <w:rPr>
          <w:lang w:val="de-DE"/>
        </w:rPr>
        <w:t xml:space="preserve">Entwicklung</w:t>
      </w:r>
    </w:p>
    <w:bookmarkStart w:id="46"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46"/>
    <w:bookmarkStart w:id="47"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gkv-ui/target/paket/GKV-Abrechnung/</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47"/>
    <w:bookmarkStart w:id="48"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48"/>
    <w:bookmarkStart w:id="49"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49"/>
    <w:bookmarkEnd w:id="50"/>
    <w:bookmarkStart w:id="55" w:name="fachliche-grundlagen"/>
    <w:p>
      <w:pPr>
        <w:pStyle w:val="Heading1"/>
      </w:pPr>
      <w:r>
        <w:rPr>
          <w:lang w:val="de-DE"/>
        </w:rPr>
        <w:t xml:space="preserve">Fachliche Grundlagen</w:t>
      </w:r>
    </w:p>
    <w:bookmarkStart w:id="51"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51"/>
    <w:bookmarkStart w:id="52" w:name="formate"/>
    <w:p>
      <w:pPr>
        <w:pStyle w:val="Heading2"/>
      </w:pPr>
      <w:r>
        <w:rPr>
          <w:lang w:val="de-DE"/>
        </w:rPr>
        <w:t xml:space="preserve">Formate</w:t>
      </w:r>
    </w:p>
    <w:p>
      <w:pPr>
        <w:pStyle w:val="Compact"/>
        <w:numPr>
          <w:ilvl w:val="0"/>
          <w:numId w:val="1004"/>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4"/>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4"/>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52"/>
    <w:bookmarkStart w:id="53"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53"/>
    <w:bookmarkStart w:id="54"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5"/>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5"/>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5"/>
        </w:numPr>
      </w:pPr>
      <w:r>
        <w:rPr>
          <w:rStyle w:val="VerbatimChar"/>
          <w:lang w:val="de-DE"/>
        </w:rPr>
        <w:t xml:space="preserve">Abrechnung_Datenerklaerung.md</w:t>
      </w:r>
      <w:r>
        <w:rPr>
          <w:lang w:val="de-DE"/>
        </w:rPr>
        <w:t xml:space="preserve"> </w:t>
      </w:r>
      <w:r>
        <w:rPr>
          <w:lang w:val="de-DE"/>
        </w:rPr>
        <w:t xml:space="preserve">— Felderklärung anhand der Referenznachricht</w:t>
      </w:r>
    </w:p>
    <w:p>
      <w:pPr>
        <w:pStyle w:val="Compact"/>
        <w:numPr>
          <w:ilvl w:val="0"/>
          <w:numId w:val="1005"/>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5"/>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54"/>
    <w:bookmarkEnd w:id="55"/>
    <w:bookmarkStart w:id="56"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6"/>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w:t>
      </w:r>
    </w:p>
    <w:p>
      <w:pPr>
        <w:pStyle w:val="Compact"/>
        <w:numPr>
          <w:ilvl w:val="0"/>
          <w:numId w:val="1006"/>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6"/>
        </w:numPr>
      </w:pPr>
      <w:r>
        <w:rPr>
          <w:lang w:val="de-DE"/>
        </w:rPr>
        <w:t xml:space="preserve">Es gibt keine Stornierung und keine Nachberechnung.</w:t>
      </w:r>
    </w:p>
    <w:p>
      <w:pPr>
        <w:pStyle w:val="Compact"/>
        <w:numPr>
          <w:ilvl w:val="0"/>
          <w:numId w:val="1006"/>
        </w:numPr>
      </w:pPr>
      <w:r>
        <w:rPr>
          <w:lang w:val="de-DE"/>
        </w:rPr>
        <w:t xml:space="preserve">Der Umsatzsteuersatz ist mit 19 fest hinterlegt.</w:t>
      </w:r>
    </w:p>
    <w:p>
      <w:pPr>
        <w:pStyle w:val="Compact"/>
        <w:numPr>
          <w:ilvl w:val="0"/>
          <w:numId w:val="1006"/>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6"/>
        </w:numPr>
      </w:pPr>
      <w:r>
        <w:rPr>
          <w:lang w:val="de-DE"/>
        </w:rPr>
        <w:t xml:space="preserve">Die Anwendung ist auf einen Benutzer und einen Rechner ausgelegt. Ein gemeinsamer Zugriff mehrerer Arbeitsplätze auf dieselbe Datenbank ist nicht vorgesehen.</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GKV-Abrechnung</dc:title>
  <dc:creator/>
  <dc:language>de-DE</dc:language>
  <cp:keywords/>
  <dcterms:created xsi:type="dcterms:W3CDTF">2026-09-06T13:25:08Z</dcterms:created>
  <dcterms:modified xsi:type="dcterms:W3CDTF">2026-09-06T13:25:08Z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y fmtid="{D5CDD505-2E9C-101B-9397-08002B2CF9AE}" pid="5" name="toc-title">
    <vt:lpwstr>Inhaltsverzeichnis</vt:lpwstr>
  </property>
</Properties>
</file>