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6.png" ContentType="image/png"/>
  <Override PartName="/word/media/rId54.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DE"/>
        </w:rPr>
        <w:t xml:space="preserve">GKV-Abrechnung</w:t>
      </w:r>
    </w:p>
    <w:p>
      <w:pPr>
        <w:pStyle w:val="Subtitle"/>
      </w:pPr>
      <w:r>
        <w:rPr>
          <w:lang w:val="de-DE"/>
        </w:rPr>
        <w:t xml:space="preserve">Abrechnung mit gesetzlichen Krankenkassen — Dokumentation</w:t>
      </w:r>
    </w:p>
    <w:sdt>
      <w:sdtPr>
        <w:docPartObj>
          <w:docPartGallery w:val="Table of Contents"/>
          <w:docPartUnique/>
        </w:docPartObj>
      </w:sdtPr>
      <w:sdtContent>
        <w:p>
          <w:pPr>
            <w:pStyle w:val="TOCHeading"/>
          </w:pPr>
          <w:r>
            <w:rPr>
              <w:lang w:val="de-DE"/>
            </w:rPr>
            <w:t xml:space="preserve">Inhaltsverzeichnis</w:t>
          </w:r>
        </w:p>
        <w:p>
          <w:r>
            <w:fldChar w:fldCharType="begin" w:dirty="true"/>
            <w:instrText xml:space="preserve">TOC \o "1-2" \h \z \u</w:instrText>
            <w:fldChar w:fldCharType="separate"/>
            <w:fldChar w:fldCharType="end"/>
          </w:r>
        </w:p>
      </w:sdtContent>
    </w:sdt>
    <w:bookmarkStart w:id="9" w:name="worum-es-geht"/>
    <w:p>
      <w:pPr>
        <w:pStyle w:val="Heading1"/>
      </w:pPr>
      <w:r>
        <w:rPr>
          <w:lang w:val="de-DE"/>
        </w:rPr>
        <w:t xml:space="preserve">Worum es geht</w:t>
      </w:r>
    </w:p>
    <w:p>
      <w:pPr>
        <w:pStyle w:val="FirstParagraph"/>
      </w:pPr>
      <w:r>
        <w:rPr>
          <w:lang w:val="de-DE"/>
        </w:rPr>
        <w:t xml:space="preserve">Die GKV-Abrechnung unterstützt die Abrechnung erbrachter Leistungen mit gesetzlichen Krankenkassen. Leistungen für gesetzlich Versicherte werden nicht mit den Versicherten abgerechnet, sondern mit deren Krankenkasse — und zwar als strukturierte Datenlieferung im DTA-Format, nicht als Rechnung auf Papier.</w:t>
      </w:r>
    </w:p>
    <w:p>
      <w:pPr>
        <w:pStyle w:val="BodyText"/>
      </w:pPr>
      <w:r>
        <w:rPr>
          <w:lang w:val="de-DE"/>
        </w:rPr>
        <w:t xml:space="preserve">Das Programm erfasst die dafür nötigen Angaben, erzeugt daraus die Lieferung, prüft sie gegen ein Regelwerk und übergibt sie an die zuständige Kasse.</w:t>
      </w:r>
    </w:p>
    <w:p>
      <w:pPr>
        <w:pStyle w:val="BodyText"/>
      </w:pPr>
      <w:r>
        <w:rPr>
          <w:lang w:val="de-DE"/>
        </w:rPr>
        <w:t xml:space="preserve">Der fachliche Zuschnitt entspricht der Tätigkeit einer Hebamme: die Belegnummern tragen das Präfix</w:t>
      </w:r>
      <w:r>
        <w:rPr>
          <w:lang w:val="de-DE"/>
        </w:rPr>
        <w:t xml:space="preserve"> </w:t>
      </w:r>
      <w:r>
        <w:rPr>
          <w:rStyle w:val="VerbatimChar"/>
          <w:lang w:val="de-DE"/>
        </w:rPr>
        <w:t xml:space="preserve">HEB</w:t>
      </w:r>
      <w:r>
        <w:rPr>
          <w:lang w:val="de-DE"/>
        </w:rPr>
        <w:t xml:space="preserve">, abgedeckt ist der Leistungsbereich SGS H mit dem Abrechnungscode</w:t>
      </w:r>
      <w:r>
        <w:rPr>
          <w:lang w:val="de-DE"/>
        </w:rPr>
        <w:t xml:space="preserve"> </w:t>
      </w:r>
      <w:r>
        <w:rPr>
          <w:rStyle w:val="VerbatimChar"/>
          <w:lang w:val="de-DE"/>
        </w:rPr>
        <w:t xml:space="preserve">61</w:t>
      </w:r>
      <w:r>
        <w:rPr>
          <w:lang w:val="de-DE"/>
        </w:rPr>
        <w:t xml:space="preserve">.</w:t>
      </w:r>
    </w:p>
    <w:bookmarkEnd w:id="9"/>
    <w:bookmarkStart w:id="14" w:name="betrieb"/>
    <w:p>
      <w:pPr>
        <w:pStyle w:val="Heading1"/>
      </w:pPr>
      <w:r>
        <w:rPr>
          <w:lang w:val="de-DE"/>
        </w:rPr>
        <w:t xml:space="preserve">Betrieb</w:t>
      </w:r>
    </w:p>
    <w:bookmarkStart w:id="10" w:name="systemvoraussetzungen"/>
    <w:p>
      <w:pPr>
        <w:pStyle w:val="Heading2"/>
      </w:pPr>
      <w:r>
        <w:rPr>
          <w:lang w:val="de-DE"/>
        </w:rPr>
        <w:t xml:space="preserve">Systemvoraussetzungen</w:t>
      </w:r>
    </w:p>
    <w:p>
      <w:pPr>
        <w:pStyle w:val="FirstParagraph"/>
      </w:pPr>
      <w:r>
        <w:rPr>
          <w:lang w:val="de-DE"/>
        </w:rPr>
        <w:t xml:space="preserve">Ein Windows-Rechner.</w:t>
      </w:r>
      <w:r>
        <w:rPr>
          <w:lang w:val="de-DE"/>
        </w:rPr>
        <w:t xml:space="preserve"> </w:t>
      </w:r>
      <w:r>
        <w:rPr>
          <w:b/>
          <w:bCs/>
          <w:lang w:val="de-DE"/>
        </w:rPr>
        <w:t xml:space="preserve">Mehr nicht</w:t>
      </w:r>
      <w:r>
        <w:rPr>
          <w:lang w:val="de-DE"/>
        </w:rPr>
        <w:t xml:space="preserve"> </w:t>
      </w:r>
      <w:r>
        <w:rPr>
          <w:lang w:val="de-DE"/>
        </w:rPr>
        <w:t xml:space="preserve">— insbesondere kein installiertes Java, kein Datenbankdienst, kein Server und keine Administratorrechte.</w:t>
      </w:r>
    </w:p>
    <w:p>
      <w:pPr>
        <w:pStyle w:val="BodyText"/>
      </w:pPr>
      <w:r>
        <w:rPr>
          <w:lang w:val="de-DE"/>
        </w:rPr>
        <w:t xml:space="preserve">Die ausgelieferte Fassung bringt ihre eigene Java-Laufzeit mit. Der Ordner wird kopiert,</w:t>
      </w:r>
      <w:r>
        <w:rPr>
          <w:lang w:val="de-DE"/>
        </w:rPr>
        <w:t xml:space="preserve"> </w:t>
      </w:r>
      <w:r>
        <w:rPr>
          <w:rStyle w:val="VerbatimChar"/>
          <w:lang w:val="de-DE"/>
        </w:rPr>
        <w:t xml:space="preserve">GKV-Abrechnung.exe</w:t>
      </w:r>
      <w:r>
        <w:rPr>
          <w:lang w:val="de-DE"/>
        </w:rPr>
        <w:t xml:space="preserve"> </w:t>
      </w:r>
      <w:r>
        <w:rPr>
          <w:lang w:val="de-DE"/>
        </w:rPr>
        <w:t xml:space="preserve">per Doppelklick gestartet.</w:t>
      </w:r>
    </w:p>
    <w:p>
      <w:pPr>
        <w:pStyle w:val="BodyText"/>
      </w:pPr>
      <w:r>
        <w:rPr>
          <w:lang w:val="de-DE"/>
        </w:rPr>
        <w:t xml:space="preserve">Eine Internetverbindung wird ausschließlich für den Versand an die Krankenkassen benötigt. Stammdatenpflege, Abrechnungserstellung, DTA-Erzeugung und Prüfung funktionieren ohne Netz.</w:t>
      </w:r>
    </w:p>
    <w:bookmarkEnd w:id="10"/>
    <w:bookmarkStart w:id="11" w:name="wo-die-daten-liegen"/>
    <w:p>
      <w:pPr>
        <w:pStyle w:val="Heading2"/>
      </w:pPr>
      <w:r>
        <w:rPr>
          <w:lang w:val="de-DE"/>
        </w:rPr>
        <w:t xml:space="preserve">Wo die Daten liegen</w:t>
      </w:r>
    </w:p>
    <w:p>
      <w:pPr>
        <w:pStyle w:val="FirstParagraph"/>
      </w:pPr>
      <w:r>
        <w:rPr>
          <w:lang w:val="de-DE"/>
        </w:rPr>
        <w:t xml:space="preserve">Alle Daten liegen im Profil des angemeldeten Benutzers: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DE"/>
              </w:rPr>
              <w:t xml:space="preserve">Betriebssystem</w:t>
            </w:r>
          </w:p>
        </w:tc>
        <w:tc>
          <w:tcPr/>
          <w:p>
            <w:pPr>
              <w:pStyle w:val="Compact"/>
            </w:pPr>
            <w:r>
              <w:rPr>
                <w:lang w:val="de-DE"/>
              </w:rPr>
              <w:t xml:space="preserve">Ort</w:t>
            </w:r>
          </w:p>
        </w:tc>
      </w:tr>
      <w:tr>
        <w:tc>
          <w:tcPr/>
          <w:p>
            <w:pPr>
              <w:pStyle w:val="Compact"/>
            </w:pPr>
            <w:r>
              <w:rPr>
                <w:lang w:val="de-DE"/>
              </w:rPr>
              <w:t xml:space="preserve">Windows</w:t>
            </w:r>
          </w:p>
        </w:tc>
        <w:tc>
          <w:tcPr/>
          <w:p>
            <w:pPr>
              <w:pStyle w:val="Compact"/>
            </w:pPr>
            <w:r>
              <w:rPr>
                <w:rStyle w:val="VerbatimChar"/>
                <w:lang w:val="de-DE"/>
              </w:rPr>
              <w:t xml:space="preserve">%LOCALAPPDATA%GKV-Abrechnung</w:t>
            </w:r>
          </w:p>
        </w:tc>
      </w:tr>
      <w:tr>
        <w:tc>
          <w:tcPr/>
          <w:p>
            <w:pPr>
              <w:pStyle w:val="Compact"/>
            </w:pPr>
            <w:r>
              <w:rPr>
                <w:lang w:val="de-DE"/>
              </w:rPr>
              <w:t xml:space="preserve">macOS</w:t>
            </w:r>
          </w:p>
        </w:tc>
        <w:tc>
          <w:tcPr/>
          <w:p>
            <w:pPr>
              <w:pStyle w:val="Compact"/>
            </w:pPr>
            <w:r>
              <w:rPr>
                <w:rStyle w:val="VerbatimChar"/>
                <w:lang w:val="de-DE"/>
              </w:rPr>
              <w:t xml:space="preserve">~/Library/Application Support/GKV-Abrechnung</w:t>
            </w:r>
          </w:p>
        </w:tc>
      </w:tr>
      <w:tr>
        <w:tc>
          <w:tcPr/>
          <w:p>
            <w:pPr>
              <w:pStyle w:val="Compact"/>
            </w:pPr>
            <w:r>
              <w:rPr>
                <w:lang w:val="de-DE"/>
              </w:rPr>
              <w:t xml:space="preserve">Linux</w:t>
            </w:r>
          </w:p>
        </w:tc>
        <w:tc>
          <w:tcPr/>
          <w:p>
            <w:pPr>
              <w:pStyle w:val="Compact"/>
            </w:pPr>
            <w:r>
              <w:rPr>
                <w:rStyle w:val="VerbatimChar"/>
                <w:lang w:val="de-DE"/>
              </w:rPr>
              <w:t xml:space="preserve">$XDG_DATA_HOME/gkvtransmitter</w:t>
            </w:r>
            <w:r>
              <w:rPr>
                <w:lang w:val="de-DE"/>
              </w:rPr>
              <w:t xml:space="preserve">, ersatzweise</w:t>
            </w:r>
            <w:r>
              <w:rPr>
                <w:lang w:val="de-DE"/>
              </w:rPr>
              <w:t xml:space="preserve"> </w:t>
            </w:r>
            <w:r>
              <w:rPr>
                <w:rStyle w:val="VerbatimChar"/>
                <w:lang w:val="de-DE"/>
              </w:rPr>
              <w:t xml:space="preserve">~/.local/share/gkvtransmitter</w:t>
            </w:r>
          </w:p>
        </w:tc>
      </w:tr>
    </w:tbl>
    <w:p>
      <w:pPr>
        <w:pStyle w:val="BodyText"/>
      </w:pPr>
      <w:r>
        <w:rPr>
          <w:lang w:val="de-DE"/>
        </w:rPr>
        <w:t xml:space="preserve">Darunter befinden sich:</w:t>
      </w:r>
    </w:p>
    <w:p>
      <w:pPr>
        <w:pStyle w:val="Compact"/>
        <w:numPr>
          <w:ilvl w:val="0"/>
          <w:numId w:val="1001"/>
        </w:numPr>
      </w:pPr>
      <w:r>
        <w:rPr>
          <w:rStyle w:val="VerbatimChar"/>
          <w:lang w:val="de-DE"/>
        </w:rPr>
        <w:t xml:space="preserve">database.db</w:t>
      </w:r>
      <w:r>
        <w:rPr>
          <w:lang w:val="de-DE"/>
        </w:rPr>
        <w:t xml:space="preserve"> </w:t>
      </w:r>
      <w:r>
        <w:rPr>
          <w:lang w:val="de-DE"/>
        </w:rPr>
        <w:t xml:space="preserve">— die Datenbank mit Personen, Gruppen und Blaupausen</w:t>
      </w:r>
    </w:p>
    <w:p>
      <w:pPr>
        <w:pStyle w:val="Compact"/>
        <w:numPr>
          <w:ilvl w:val="0"/>
          <w:numId w:val="1001"/>
        </w:numPr>
      </w:pPr>
      <w:r>
        <w:rPr>
          <w:rStyle w:val="VerbatimChar"/>
          <w:lang w:val="de-DE"/>
        </w:rPr>
        <w:t xml:space="preserve">dta_output/staging/&lt;Kassen-IK&gt;/</w:t>
      </w:r>
      <w:r>
        <w:rPr>
          <w:lang w:val="de-DE"/>
        </w:rPr>
        <w:t xml:space="preserve"> </w:t>
      </w:r>
      <w:r>
        <w:rPr>
          <w:lang w:val="de-DE"/>
        </w:rPr>
        <w:t xml:space="preserve">— die erzeugten Lieferungen, unverändert aufbewahrt</w:t>
      </w:r>
    </w:p>
    <w:p>
      <w:pPr>
        <w:pStyle w:val="Compact"/>
        <w:numPr>
          <w:ilvl w:val="0"/>
          <w:numId w:val="1001"/>
        </w:numPr>
      </w:pPr>
      <w:r>
        <w:rPr>
          <w:rStyle w:val="VerbatimChar"/>
          <w:lang w:val="de-DE"/>
        </w:rPr>
        <w:t xml:space="preserve">dta_output/outbox/&lt;Kasse&gt;/</w:t>
      </w:r>
      <w:r>
        <w:rPr>
          <w:lang w:val="de-DE"/>
        </w:rPr>
        <w:t xml:space="preserve"> </w:t>
      </w:r>
      <w:r>
        <w:rPr>
          <w:lang w:val="de-DE"/>
        </w:rPr>
        <w:t xml:space="preserve">— die zugestellten Dateien je Kasse</w:t>
      </w:r>
    </w:p>
    <w:p>
      <w:pPr>
        <w:pStyle w:val="FirstParagraph"/>
      </w:pPr>
      <w:r>
        <w:rPr>
          <w:lang w:val="de-DE"/>
        </w:rPr>
        <w:t xml:space="preserve">Der Ablageort hängt am Benutzerprofil und</w:t>
      </w:r>
      <w:r>
        <w:rPr>
          <w:lang w:val="de-DE"/>
        </w:rPr>
        <w:t xml:space="preserve"> </w:t>
      </w:r>
      <w:r>
        <w:rPr>
          <w:b/>
          <w:bCs/>
          <w:lang w:val="de-DE"/>
        </w:rPr>
        <w:t xml:space="preserve">nicht</w:t>
      </w:r>
      <w:r>
        <w:rPr>
          <w:lang w:val="de-DE"/>
        </w:rPr>
        <w:t xml:space="preserve"> </w:t>
      </w:r>
      <w:r>
        <w:rPr>
          <w:lang w:val="de-DE"/>
        </w:rPr>
        <w:t xml:space="preserve">daran, von wo das Programm gestartet wurde. Ob per Doppelklick auf dem Desktop, aus der Eingabeaufforderung oder von einem USB-Stick — die Daten werden immer am selben Ort gefunden.</w:t>
      </w:r>
    </w:p>
    <w:bookmarkEnd w:id="11"/>
    <w:bookmarkStart w:id="12" w:name="sicherung"/>
    <w:p>
      <w:pPr>
        <w:pStyle w:val="Heading2"/>
      </w:pPr>
      <w:r>
        <w:rPr>
          <w:lang w:val="de-DE"/>
        </w:rPr>
        <w:t xml:space="preserve">Sicherung</w:t>
      </w:r>
    </w:p>
    <w:p>
      <w:pPr>
        <w:pStyle w:val="FirstParagraph"/>
      </w:pPr>
      <w:r>
        <w:rPr>
          <w:lang w:val="de-DE"/>
        </w:rPr>
        <w:t xml:space="preserve">Eine Kopie des oben genannten Ordners genügt. Sie enthält Datenbank, Blaupausen und sämtliche erzeugten DTA-Dateien.</w:t>
      </w:r>
    </w:p>
    <w:p>
      <w:pPr>
        <w:pStyle w:val="BodyText"/>
      </w:pPr>
      <w:r>
        <w:rPr>
          <w:lang w:val="de-DE"/>
        </w:rPr>
        <w:t xml:space="preserve">Das Programm sollte dabei geschlossen sein, damit die Datenbank in einem stimmigen Zustand gesichert wird.</w:t>
      </w:r>
    </w:p>
    <w:bookmarkEnd w:id="12"/>
    <w:bookmarkStart w:id="13" w:name="mehrere-stände-nebeneinander"/>
    <w:p>
      <w:pPr>
        <w:pStyle w:val="Heading2"/>
      </w:pPr>
      <w:r>
        <w:rPr>
          <w:lang w:val="de-DE"/>
        </w:rPr>
        <w:t xml:space="preserve">Mehrere Stände nebeneinander</w:t>
      </w:r>
    </w:p>
    <w:p>
      <w:pPr>
        <w:pStyle w:val="FirstParagraph"/>
      </w:pPr>
      <w:r>
        <w:rPr>
          <w:lang w:val="de-DE"/>
        </w:rPr>
        <w:t xml:space="preserve">Über die Umgebungsvariable</w:t>
      </w:r>
      <w:r>
        <w:rPr>
          <w:lang w:val="de-DE"/>
        </w:rPr>
        <w:t xml:space="preserve"> </w:t>
      </w:r>
      <w:r>
        <w:rPr>
          <w:rStyle w:val="VerbatimChar"/>
          <w:lang w:val="de-DE"/>
        </w:rPr>
        <w:t xml:space="preserve">GKV_HOME</w:t>
      </w:r>
      <w:r>
        <w:rPr>
          <w:lang w:val="de-DE"/>
        </w:rPr>
        <w:t xml:space="preserve"> </w:t>
      </w:r>
      <w:r>
        <w:rPr>
          <w:lang w:val="de-DE"/>
        </w:rPr>
        <w:t xml:space="preserve">lässt sich ein anderer Ablageort festlegen — etwa um einen Übungsstand von den echten Daten zu trennen:</w:t>
      </w:r>
    </w:p>
    <w:p>
      <w:pPr>
        <w:pStyle w:val="SourceCode"/>
      </w:pPr>
      <w:r>
        <w:rPr>
          <w:rStyle w:val="VerbatimChar"/>
          <w:lang w:val="de-DE"/>
        </w:rPr>
        <w:t xml:space="preserve">set GKV_HOME=D:\GKV-Uebung</w:t>
      </w:r>
      <w:r>
        <w:br/>
      </w:r>
      <w:r>
        <w:rPr>
          <w:rStyle w:val="VerbatimChar"/>
          <w:lang w:val="de-DE"/>
        </w:rPr>
        <w:t xml:space="preserve">GKV-Abrechnung.exe</w:t>
      </w:r>
    </w:p>
    <w:bookmarkEnd w:id="13"/>
    <w:bookmarkEnd w:id="14"/>
    <w:bookmarkStart w:id="20" w:name="ablauf-einer-abrechnung"/>
    <w:p>
      <w:pPr>
        <w:pStyle w:val="Heading1"/>
      </w:pPr>
      <w:r>
        <w:rPr>
          <w:lang w:val="de-DE"/>
        </w:rPr>
        <w:t xml:space="preserve">Ablauf einer Abrechnung</w:t>
      </w:r>
    </w:p>
    <w:bookmarkStart w:id="15" w:name="aus-sicht-der-anwenderin"/>
    <w:p>
      <w:pPr>
        <w:pStyle w:val="Heading2"/>
      </w:pPr>
      <w:r>
        <w:rPr>
          <w:lang w:val="de-DE"/>
        </w:rPr>
        <w:t xml:space="preserve">Aus Sicht der Anwenderin</w:t>
      </w:r>
    </w:p>
    <w:p>
      <w:pPr>
        <w:pStyle w:val="Compact"/>
        <w:numPr>
          <w:ilvl w:val="0"/>
          <w:numId w:val="1002"/>
        </w:numPr>
      </w:pPr>
      <w:r>
        <w:rPr>
          <w:b/>
          <w:bCs/>
          <w:lang w:val="de-DE"/>
        </w:rPr>
        <w:t xml:space="preserve">Stammdaten pflegen.</w:t>
      </w:r>
      <w:r>
        <w:rPr>
          <w:lang w:val="de-DE"/>
        </w:rPr>
        <w:t xml:space="preserve"> </w:t>
      </w:r>
      <w:r>
        <w:rPr>
          <w:lang w:val="de-DE"/>
        </w:rPr>
        <w:t xml:space="preserve">Patientinnen und Leistungserbringer anlegen. Wichtig ist das Institutionskennzeichen der Krankenkasse — daran entscheidet sich später das Versandziel.</w:t>
      </w:r>
    </w:p>
    <w:p>
      <w:pPr>
        <w:pStyle w:val="Compact"/>
        <w:numPr>
          <w:ilvl w:val="0"/>
          <w:numId w:val="1002"/>
        </w:numPr>
      </w:pPr>
      <w:r>
        <w:rPr>
          <w:b/>
          <w:bCs/>
          <w:lang w:val="de-DE"/>
        </w:rPr>
        <w:t xml:space="preserve">Gruppe bilden.</w:t>
      </w:r>
      <w:r>
        <w:rPr>
          <w:lang w:val="de-DE"/>
        </w:rPr>
        <w:t xml:space="preserve"> </w:t>
      </w:r>
      <w:r>
        <w:rPr>
          <w:lang w:val="de-DE"/>
        </w:rPr>
        <w:t xml:space="preserve">Personen, die gemeinsam abgerechnet werden — etwa die Teilnehmerinnen eines Kurses — in einer Gruppe zusammenfassen. Die Gruppe braucht mindestens einen Leistungserbringer.</w:t>
      </w:r>
    </w:p>
    <w:p>
      <w:pPr>
        <w:pStyle w:val="Compact"/>
        <w:numPr>
          <w:ilvl w:val="0"/>
          <w:numId w:val="1002"/>
        </w:numPr>
      </w:pPr>
      <w:r>
        <w:rPr>
          <w:b/>
          <w:bCs/>
          <w:lang w:val="de-DE"/>
        </w:rPr>
        <w:t xml:space="preserve">Blaupause anlegen.</w:t>
      </w:r>
      <w:r>
        <w:rPr>
          <w:lang w:val="de-DE"/>
        </w:rPr>
        <w:t xml:space="preserve"> </w:t>
      </w:r>
      <w:r>
        <w:rPr>
          <w:lang w:val="de-DE"/>
        </w:rPr>
        <w:t xml:space="preserve">Eine Rechnungsvorlage ausfüllen und unter einem Namen speichern. Sie enthält die Leistungsangaben: Einzelbetrag, Abrechnungscode, Tarifkennzeichen, Positionsnummer. Blaupausen sind wiederverwendbar.</w:t>
      </w:r>
    </w:p>
    <w:p>
      <w:pPr>
        <w:pStyle w:val="Compact"/>
        <w:numPr>
          <w:ilvl w:val="0"/>
          <w:numId w:val="1002"/>
        </w:numPr>
      </w:pPr>
      <w:r>
        <w:rPr>
          <w:b/>
          <w:bCs/>
          <w:lang w:val="de-DE"/>
        </w:rPr>
        <w:t xml:space="preserve">Abrechnung erstellen.</w:t>
      </w:r>
      <w:r>
        <w:rPr>
          <w:lang w:val="de-DE"/>
        </w:rPr>
        <w:t xml:space="preserve"> </w:t>
      </w:r>
      <w:r>
        <w:rPr>
          <w:lang w:val="de-DE"/>
        </w:rPr>
        <w:t xml:space="preserve">Blaupause und Gruppe auswählen, je Teilnehmerin die Terminanzahl eintragen, Versand auslösen.</w:t>
      </w:r>
    </w:p>
    <w:p>
      <w:pPr>
        <w:pStyle w:val="Compact"/>
        <w:numPr>
          <w:ilvl w:val="0"/>
          <w:numId w:val="1002"/>
        </w:numPr>
      </w:pPr>
      <w:r>
        <w:rPr>
          <w:b/>
          <w:bCs/>
          <w:lang w:val="de-DE"/>
        </w:rPr>
        <w:t xml:space="preserve">Prüfergebnis lesen.</w:t>
      </w:r>
      <w:r>
        <w:rPr>
          <w:lang w:val="de-DE"/>
        </w:rPr>
        <w:t xml:space="preserve"> </w:t>
      </w:r>
      <w:r>
        <w:rPr>
          <w:lang w:val="de-DE"/>
        </w:rPr>
        <w:t xml:space="preserve">Bei Beanstandungen erscheinen alle auf einmal, getrennt nach zu Behebendem und Hinweisen. Es wurde in diesem Fall</w:t>
      </w:r>
      <w:r>
        <w:rPr>
          <w:lang w:val="de-DE"/>
        </w:rPr>
        <w:t xml:space="preserve"> </w:t>
      </w:r>
      <w:r>
        <w:rPr>
          <w:b/>
          <w:bCs/>
          <w:lang w:val="de-DE"/>
        </w:rPr>
        <w:t xml:space="preserve">nichts</w:t>
      </w:r>
      <w:r>
        <w:rPr>
          <w:lang w:val="de-DE"/>
        </w:rPr>
        <w:t xml:space="preserve"> </w:t>
      </w:r>
      <w:r>
        <w:rPr>
          <w:lang w:val="de-DE"/>
        </w:rPr>
        <w:t xml:space="preserve">versendet.</w:t>
      </w:r>
    </w:p>
    <w:p>
      <w:pPr>
        <w:pStyle w:val="Compact"/>
        <w:numPr>
          <w:ilvl w:val="0"/>
          <w:numId w:val="1002"/>
        </w:numPr>
      </w:pPr>
      <w:r>
        <w:rPr>
          <w:b/>
          <w:bCs/>
          <w:lang w:val="de-DE"/>
        </w:rPr>
        <w:t xml:space="preserve">Ergebnis kontrollieren.</w:t>
      </w:r>
      <w:r>
        <w:rPr>
          <w:lang w:val="de-DE"/>
        </w:rPr>
        <w:t xml:space="preserve"> </w:t>
      </w:r>
      <w:r>
        <w:rPr>
          <w:lang w:val="de-DE"/>
        </w:rPr>
        <w:t xml:space="preserve">Nach erfolgreichem Versand nennt das Programm die erzeugten Dateien je Kassen-IK.</w:t>
      </w:r>
    </w:p>
    <w:bookmarkEnd w:id="15"/>
    <w:bookmarkStart w:id="19" w:name="was-dabei-im-hintergrund-geschieht"/>
    <w:p>
      <w:pPr>
        <w:pStyle w:val="Heading2"/>
      </w:pPr>
      <w:r>
        <w:rPr>
          <w:lang w:val="de-DE"/>
        </w:rPr>
        <w:t xml:space="preserve">Was dabei im Hintergrund geschieht</w:t>
      </w:r>
    </w:p>
    <w:p>
      <w:pPr>
        <w:pStyle w:val="CaptionedFigure"/>
      </w:pPr>
      <w:r>
        <w:drawing>
          <wp:inline>
            <wp:extent cx="5334000" cy="5230389"/>
            <wp:effectExtent b="0" l="0" r="0" t="0"/>
            <wp:docPr descr="Übersicht der Verarbeitung" title="" id="17" name="Picture"/>
            <a:graphic>
              <a:graphicData uri="http://schemas.openxmlformats.org/drawingml/2006/picture">
                <pic:pic>
                  <pic:nvPicPr>
                    <pic:cNvPr descr="GKVTransmitter_Uebersicht.png" id="18" name="Picture"/>
                    <pic:cNvPicPr>
                      <a:picLocks noChangeArrowheads="1" noChangeAspect="1"/>
                    </pic:cNvPicPr>
                  </pic:nvPicPr>
                  <pic:blipFill>
                    <a:blip r:embed="rId16"/>
                    <a:stretch>
                      <a:fillRect/>
                    </a:stretch>
                  </pic:blipFill>
                  <pic:spPr bwMode="auto">
                    <a:xfrm>
                      <a:off x="0" y="0"/>
                      <a:ext cx="5334000" cy="5230389"/>
                    </a:xfrm>
                    <a:prstGeom prst="rect">
                      <a:avLst/>
                    </a:prstGeom>
                    <a:noFill/>
                    <a:ln w="9525">
                      <a:noFill/>
                      <a:headEnd/>
                      <a:tailEnd/>
                    </a:ln>
                  </pic:spPr>
                </pic:pic>
              </a:graphicData>
            </a:graphic>
          </wp:inline>
        </w:drawing>
      </w:r>
    </w:p>
    <w:p>
      <w:pPr>
        <w:pStyle w:val="ImageCaption"/>
      </w:pPr>
      <w:r>
        <w:rPr>
          <w:lang w:val="de-DE"/>
        </w:rPr>
        <w:t xml:space="preserve">Übersicht der Verarbeitung</w:t>
      </w:r>
    </w:p>
    <w:p>
      <w:pPr>
        <w:pStyle w:val="BodyText"/>
      </w:pPr>
      <w:r>
        <w:rPr>
          <w:lang w:val="de-DE"/>
        </w:rPr>
        <w:t xml:space="preserve">Der Weg von der Eingabe zur Kasse verläuft in klar getrennten Schritten:</w:t>
      </w:r>
    </w:p>
    <w:p>
      <w:pPr>
        <w:pStyle w:val="Compact"/>
        <w:numPr>
          <w:ilvl w:val="0"/>
          <w:numId w:val="1003"/>
        </w:numPr>
      </w:pPr>
      <w:r>
        <w:rPr>
          <w:lang w:val="de-DE"/>
        </w:rPr>
        <w:t xml:space="preserve">Aus Patientin, Leistungserbringer, Blaupause und Terminanzahl entsteht eine</w:t>
      </w:r>
      <w:r>
        <w:rPr>
          <w:lang w:val="de-DE"/>
        </w:rPr>
        <w:t xml:space="preserve"> </w:t>
      </w:r>
      <w:r>
        <w:rPr>
          <w:rStyle w:val="VerbatimChar"/>
          <w:lang w:val="de-DE"/>
        </w:rPr>
        <w:t xml:space="preserve">Abrechnung</w:t>
      </w:r>
      <w:r>
        <w:rPr>
          <w:lang w:val="de-DE"/>
        </w:rPr>
        <w:t xml:space="preserve">.</w:t>
      </w:r>
    </w:p>
    <w:p>
      <w:pPr>
        <w:pStyle w:val="Compact"/>
        <w:numPr>
          <w:ilvl w:val="0"/>
          <w:numId w:val="1003"/>
        </w:numPr>
      </w:pPr>
      <w:r>
        <w:rPr>
          <w:lang w:val="de-DE"/>
        </w:rPr>
        <w:t xml:space="preserve">Daraus erzeugt das Programm die DTA-Nachricht — bestehend aus einer SLGA-Nachricht mit den Summen und einer SLLA-Nachricht mit den Falldaten.</w:t>
      </w:r>
    </w:p>
    <w:p>
      <w:pPr>
        <w:pStyle w:val="Compact"/>
        <w:numPr>
          <w:ilvl w:val="0"/>
          <w:numId w:val="1003"/>
        </w:numPr>
      </w:pPr>
      <w:r>
        <w:rPr>
          <w:lang w:val="de-DE"/>
        </w:rPr>
        <w:t xml:space="preserve">Die erzeugte Nachricht wird</w:t>
      </w:r>
      <w:r>
        <w:rPr>
          <w:lang w:val="de-DE"/>
        </w:rPr>
        <w:t xml:space="preserve"> </w:t>
      </w:r>
      <w:r>
        <w:rPr>
          <w:b/>
          <w:bCs/>
          <w:lang w:val="de-DE"/>
        </w:rPr>
        <w:t xml:space="preserve">wieder eingelesen</w:t>
      </w:r>
      <w:r>
        <w:rPr>
          <w:lang w:val="de-DE"/>
        </w:rPr>
        <w:t xml:space="preserve"> </w:t>
      </w:r>
      <w:r>
        <w:rPr>
          <w:lang w:val="de-DE"/>
        </w:rPr>
        <w:t xml:space="preserve">und gegen das Regelwerk geprüft.</w:t>
      </w:r>
    </w:p>
    <w:p>
      <w:pPr>
        <w:pStyle w:val="Compact"/>
        <w:numPr>
          <w:ilvl w:val="0"/>
          <w:numId w:val="1003"/>
        </w:numPr>
      </w:pPr>
      <w:r>
        <w:rPr>
          <w:lang w:val="de-DE"/>
        </w:rPr>
        <w:t xml:space="preserve">Erst wenn keine Nachricht des Laufs beanstandet wird, beginnt die Zustellung.</w:t>
      </w:r>
    </w:p>
    <w:p>
      <w:pPr>
        <w:pStyle w:val="Compact"/>
        <w:numPr>
          <w:ilvl w:val="0"/>
          <w:numId w:val="1003"/>
        </w:numPr>
      </w:pPr>
      <w:r>
        <w:rPr>
          <w:lang w:val="de-DE"/>
        </w:rPr>
        <w:t xml:space="preserve">Die Rückmeldung der Kasse wird eingeordnet.</w:t>
      </w:r>
    </w:p>
    <w:p>
      <w:pPr>
        <w:pStyle w:val="FirstParagraph"/>
      </w:pPr>
      <w:r>
        <w:rPr>
          <w:lang w:val="de-DE"/>
        </w:rPr>
        <w:t xml:space="preserve">Schritt 3 verdient eine Erläuterung: geprüft wird nicht, was das Programm zu erzeugen</w:t>
      </w:r>
      <w:r>
        <w:rPr>
          <w:lang w:val="de-DE"/>
        </w:rPr>
        <w:t xml:space="preserve"> </w:t>
      </w:r>
      <w:r>
        <w:rPr>
          <w:i/>
          <w:iCs/>
          <w:lang w:val="de-DE"/>
        </w:rPr>
        <w:t xml:space="preserve">glaubt</w:t>
      </w:r>
      <w:r>
        <w:rPr>
          <w:lang w:val="de-DE"/>
        </w:rPr>
        <w:t xml:space="preserve">, sondern was tatsächlich in der Datei steht. Dadurch lässt sich auf demselben Weg auch eine Datei aus fremder Quelle prüfen.</w:t>
      </w:r>
    </w:p>
    <w:p>
      <w:pPr>
        <w:pStyle w:val="BodyText"/>
      </w:pPr>
      <w:r>
        <w:rPr>
          <w:lang w:val="de-DE"/>
        </w:rPr>
        <w:t xml:space="preserve">Schritt 4 ist ebenso bewusst gewählt: Prüfung und Zustellung sind zwei getrennte Durchgänge über alle Abrechnungen. Würde je Abrechnung geprüft und sofort zugestellt, läge bei einem Fehler in der Mitte eines Laufs bereits ein Teil bei der Kasse und müsste dort einzeln storniert werden.</w:t>
      </w:r>
    </w:p>
    <w:bookmarkEnd w:id="19"/>
    <w:bookmarkEnd w:id="20"/>
    <w:bookmarkStart w:id="25" w:name="die-prüfung"/>
    <w:p>
      <w:pPr>
        <w:pStyle w:val="Heading1"/>
      </w:pPr>
      <w:r>
        <w:rPr>
          <w:lang w:val="de-DE"/>
        </w:rPr>
        <w:t xml:space="preserve">Die Prüfung</w:t>
      </w:r>
    </w:p>
    <w:bookmarkStart w:id="21" w:name="warum-sie-da-ist"/>
    <w:p>
      <w:pPr>
        <w:pStyle w:val="Heading2"/>
      </w:pPr>
      <w:r>
        <w:rPr>
          <w:lang w:val="de-DE"/>
        </w:rPr>
        <w:t xml:space="preserve">Warum sie da ist</w:t>
      </w:r>
    </w:p>
    <w:p>
      <w:pPr>
        <w:pStyle w:val="FirstParagraph"/>
      </w:pPr>
      <w:r>
        <w:rPr>
          <w:lang w:val="de-DE"/>
        </w:rPr>
        <w:t xml:space="preserve">Eine fehlerhafte Lieferung wird von der Kasse abgewiesen — häufig erst Tage später und für die gesamte Lieferung, nicht nur für den fehlerhaften Fall. Die Prüfung soll solche Fehler feststellen, solange sie noch billig zu beheben sind.</w:t>
      </w:r>
    </w:p>
    <w:bookmarkEnd w:id="21"/>
    <w:bookmarkStart w:id="22" w:name="was-geprüft-wird"/>
    <w:p>
      <w:pPr>
        <w:pStyle w:val="Heading2"/>
      </w:pPr>
      <w:r>
        <w:rPr>
          <w:lang w:val="de-DE"/>
        </w:rPr>
        <w:t xml:space="preserve">Was geprüft wird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DE"/>
              </w:rPr>
              <w:t xml:space="preserve">Regel</w:t>
            </w:r>
          </w:p>
        </w:tc>
        <w:tc>
          <w:tcPr/>
          <w:p>
            <w:pPr>
              <w:pStyle w:val="Compact"/>
            </w:pPr>
            <w:r>
              <w:rPr>
                <w:lang w:val="de-DE"/>
              </w:rPr>
              <w:t xml:space="preserve">Gegenstand</w:t>
            </w:r>
          </w:p>
        </w:tc>
      </w:tr>
      <w:tr>
        <w:tc>
          <w:tcPr/>
          <w:p>
            <w:pPr>
              <w:pStyle w:val="Compact"/>
            </w:pPr>
            <w:r>
              <w:rPr>
                <w:lang w:val="de-DE"/>
              </w:rPr>
              <w:t xml:space="preserve">Segmentsyntax</w:t>
            </w:r>
          </w:p>
        </w:tc>
        <w:tc>
          <w:tcPr/>
          <w:p>
            <w:pPr>
              <w:pStyle w:val="Compact"/>
            </w:pPr>
            <w:r>
              <w:rPr>
                <w:lang w:val="de-DE"/>
              </w:rPr>
              <w:t xml:space="preserve">Abschlusszeichen, Form der Segmentbezeichner, bekannte Segmente</w:t>
            </w:r>
          </w:p>
        </w:tc>
      </w:tr>
      <w:tr>
        <w:tc>
          <w:tcPr/>
          <w:p>
            <w:pPr>
              <w:pStyle w:val="Compact"/>
            </w:pPr>
            <w:r>
              <w:rPr>
                <w:lang w:val="de-DE"/>
              </w:rPr>
              <w:t xml:space="preserve">Nachrichtenrahmen</w:t>
            </w:r>
          </w:p>
        </w:tc>
        <w:tc>
          <w:tcPr/>
          <w:p>
            <w:pPr>
              <w:pStyle w:val="Compact"/>
            </w:pPr>
            <w:r>
              <w:rPr>
                <w:lang w:val="de-DE"/>
              </w:rPr>
              <w:t xml:space="preserve">UNB und UNZ, Anzahl der Nachrichten, Datenaustauschreferenz</w:t>
            </w:r>
          </w:p>
        </w:tc>
      </w:tr>
      <w:tr>
        <w:tc>
          <w:tcPr/>
          <w:p>
            <w:pPr>
              <w:pStyle w:val="Compact"/>
            </w:pPr>
            <w:r>
              <w:rPr>
                <w:lang w:val="de-DE"/>
              </w:rPr>
              <w:t xml:space="preserve">Nachrichtenabschluss</w:t>
            </w:r>
          </w:p>
        </w:tc>
        <w:tc>
          <w:tcPr/>
          <w:p>
            <w:pPr>
              <w:pStyle w:val="Compact"/>
            </w:pPr>
            <w:r>
              <w:rPr>
                <w:lang w:val="de-DE"/>
              </w:rPr>
              <w:t xml:space="preserve">UNH und UNT, Segmentanzahl je Nachricht</w:t>
            </w:r>
          </w:p>
        </w:tc>
      </w:tr>
      <w:tr>
        <w:tc>
          <w:tcPr/>
          <w:p>
            <w:pPr>
              <w:pStyle w:val="Compact"/>
            </w:pPr>
            <w:r>
              <w:rPr>
                <w:lang w:val="de-DE"/>
              </w:rPr>
              <w:t xml:space="preserve">Institutionskennzeichen</w:t>
            </w:r>
          </w:p>
        </w:tc>
        <w:tc>
          <w:tcPr/>
          <w:p>
            <w:pPr>
              <w:pStyle w:val="Compact"/>
            </w:pPr>
            <w:r>
              <w:rPr>
                <w:lang w:val="de-DE"/>
              </w:rPr>
              <w:t xml:space="preserve">Länge und Prüfziffer der IK</w:t>
            </w:r>
          </w:p>
        </w:tc>
      </w:tr>
      <w:tr>
        <w:tc>
          <w:tcPr/>
          <w:p>
            <w:pPr>
              <w:pStyle w:val="Compact"/>
            </w:pPr>
            <w:r>
              <w:rPr>
                <w:lang w:val="de-DE"/>
              </w:rPr>
              <w:t xml:space="preserve">Versichertenangaben</w:t>
            </w:r>
          </w:p>
        </w:tc>
        <w:tc>
          <w:tcPr/>
          <w:p>
            <w:pPr>
              <w:pStyle w:val="Compact"/>
            </w:pPr>
            <w:r>
              <w:rPr>
                <w:lang w:val="de-DE"/>
              </w:rPr>
              <w:t xml:space="preserve">Name, Geburtsdatum, Versichertennummer</w:t>
            </w:r>
          </w:p>
        </w:tc>
      </w:tr>
      <w:tr>
        <w:tc>
          <w:tcPr/>
          <w:p>
            <w:pPr>
              <w:pStyle w:val="Compact"/>
            </w:pPr>
            <w:r>
              <w:rPr>
                <w:lang w:val="de-DE"/>
              </w:rPr>
              <w:t xml:space="preserve">Leistungsposition</w:t>
            </w:r>
          </w:p>
        </w:tc>
        <w:tc>
          <w:tcPr/>
          <w:p>
            <w:pPr>
              <w:pStyle w:val="Compact"/>
            </w:pPr>
            <w:r>
              <w:rPr>
                <w:lang w:val="de-DE"/>
              </w:rPr>
              <w:t xml:space="preserve">Einzelbetrag und Menge einer Leistungszeile stehen nicht auf null</w:t>
            </w:r>
          </w:p>
        </w:tc>
      </w:tr>
      <w:tr>
        <w:tc>
          <w:tcPr/>
          <w:p>
            <w:pPr>
              <w:pStyle w:val="Compact"/>
            </w:pPr>
            <w:r>
              <w:rPr>
                <w:lang w:val="de-DE"/>
              </w:rPr>
              <w:t xml:space="preserve">Positionsnummer</w:t>
            </w:r>
          </w:p>
        </w:tc>
        <w:tc>
          <w:tcPr/>
          <w:p>
            <w:pPr>
              <w:pStyle w:val="Compact"/>
            </w:pPr>
            <w:r>
              <w:rPr>
                <w:lang w:val="de-DE"/>
              </w:rPr>
              <w:t xml:space="preserve">Länge der Abrechnungspositionsnummer passt zum Abrechnungscode</w:t>
            </w:r>
          </w:p>
        </w:tc>
      </w:tr>
      <w:tr>
        <w:tc>
          <w:tcPr/>
          <w:p>
            <w:pPr>
              <w:pStyle w:val="Compact"/>
            </w:pPr>
            <w:r>
              <w:rPr>
                <w:lang w:val="de-DE"/>
              </w:rPr>
              <w:t xml:space="preserve">Betragskonsistenz</w:t>
            </w:r>
          </w:p>
        </w:tc>
        <w:tc>
          <w:tcPr/>
          <w:p>
            <w:pPr>
              <w:pStyle w:val="Compact"/>
            </w:pPr>
            <w:r>
              <w:rPr>
                <w:lang w:val="de-DE"/>
              </w:rPr>
              <w:t xml:space="preserve">Leistungspositionen gegen Fallsumme, Fallsumme gegen Gesamtsumme</w:t>
            </w:r>
          </w:p>
        </w:tc>
      </w:tr>
    </w:tbl>
    <w:bookmarkEnd w:id="22"/>
    <w:bookmarkStart w:id="23" w:name="fehler-und-hinweise"/>
    <w:p>
      <w:pPr>
        <w:pStyle w:val="Heading2"/>
      </w:pPr>
      <w:r>
        <w:rPr>
          <w:lang w:val="de-DE"/>
        </w:rPr>
        <w:t xml:space="preserve">Fehler und Hinweise</w:t>
      </w:r>
    </w:p>
    <w:p>
      <w:pPr>
        <w:pStyle w:val="FirstParagraph"/>
      </w:pPr>
      <w:r>
        <w:rPr>
          <w:lang w:val="de-DE"/>
        </w:rPr>
        <w:t xml:space="preserve">Nur</w:t>
      </w:r>
      <w:r>
        <w:rPr>
          <w:lang w:val="de-DE"/>
        </w:rPr>
        <w:t xml:space="preserve"> </w:t>
      </w:r>
      <w:r>
        <w:rPr>
          <w:b/>
          <w:bCs/>
          <w:lang w:val="de-DE"/>
        </w:rPr>
        <w:t xml:space="preserve">Fehler</w:t>
      </w:r>
      <w:r>
        <w:rPr>
          <w:lang w:val="de-DE"/>
        </w:rPr>
        <w:t xml:space="preserve"> </w:t>
      </w:r>
      <w:r>
        <w:rPr>
          <w:lang w:val="de-DE"/>
        </w:rPr>
        <w:t xml:space="preserve">halten den Versand auf.</w:t>
      </w:r>
      <w:r>
        <w:rPr>
          <w:lang w:val="de-DE"/>
        </w:rPr>
        <w:t xml:space="preserve"> </w:t>
      </w:r>
      <w:r>
        <w:rPr>
          <w:b/>
          <w:bCs/>
          <w:lang w:val="de-DE"/>
        </w:rPr>
        <w:t xml:space="preserve">Hinweise und Warnungen</w:t>
      </w:r>
      <w:r>
        <w:rPr>
          <w:lang w:val="de-DE"/>
        </w:rPr>
        <w:t xml:space="preserve"> </w:t>
      </w:r>
      <w:r>
        <w:rPr>
          <w:lang w:val="de-DE"/>
        </w:rPr>
        <w:t xml:space="preserve">verhindern nichts.</w:t>
      </w:r>
    </w:p>
    <w:p>
      <w:pPr>
        <w:pStyle w:val="BlockText"/>
      </w:pPr>
      <w:r>
        <w:rPr>
          <w:b/>
          <w:bCs/>
          <w:lang w:val="de-DE"/>
        </w:rPr>
        <w:t xml:space="preserve">Sie werden derzeit auch nicht angezeigt.</w:t>
      </w:r>
      <w:r>
        <w:rPr>
          <w:lang w:val="de-DE"/>
        </w:rPr>
        <w:t xml:space="preserve"> </w:t>
      </w:r>
      <w:r>
        <w:rPr>
          <w:lang w:val="de-DE"/>
        </w:rPr>
        <w:t xml:space="preserve">Der Prüfbericht erreicht die Oberfläche nur über die Ausnahme, die bei einem Fehler geworfen wird; ein Bericht ohne Fehler wird verworfen. Eine Warnung, die niemand sieht, ist keine Warnung — das ist die dringendste offene Lücke, siehe</w:t>
      </w:r>
      <w:r>
        <w:rPr>
          <w:lang w:val="de-DE"/>
        </w:rPr>
        <w:t xml:space="preserve"> </w:t>
      </w:r>
      <w:r>
        <w:rPr>
          <w:rStyle w:val="VerbatimChar"/>
          <w:lang w:val="de-DE"/>
        </w:rPr>
        <w:t xml:space="preserve">Naechste_Schritte.md</w:t>
      </w:r>
      <w:r>
        <w:rPr>
          <w:lang w:val="de-DE"/>
        </w:rPr>
        <w:t xml:space="preserve">, Abschnitt D.</w:t>
      </w:r>
    </w:p>
    <w:p>
      <w:pPr>
        <w:pStyle w:val="FirstParagraph"/>
      </w:pPr>
      <w:r>
        <w:rPr>
          <w:lang w:val="de-DE"/>
        </w:rPr>
        <w:t xml:space="preserve">Diese Abstufung ist bewusst gewählt: Ein Hinweis, den man nicht braucht, ist lästig. Ein Fehler, den man nicht braucht, verhindert eine berechtigte Abrechnung.</w:t>
      </w:r>
    </w:p>
    <w:p>
      <w:pPr>
        <w:pStyle w:val="BodyText"/>
      </w:pPr>
      <w:r>
        <w:rPr>
          <w:lang w:val="de-DE"/>
        </w:rPr>
        <w:t xml:space="preserve">Als Hinweis gemeldet werden etwa ein Alter über 120 Jahren (auffällig, aber nicht ausgeschlossen) oder ein Segment, das das Programm noch nicht kennt.</w:t>
      </w:r>
    </w:p>
    <w:bookmarkEnd w:id="23"/>
    <w:bookmarkStart w:id="24" w:name="X2d899745d66127e206e6c6e4520597e2179c879"/>
    <w:p>
      <w:pPr>
        <w:pStyle w:val="Heading2"/>
      </w:pPr>
      <w:r>
        <w:rPr>
          <w:lang w:val="de-DE"/>
        </w:rPr>
        <w:t xml:space="preserve">Die Prüfziffer der Institutionskennzeichen</w:t>
      </w:r>
    </w:p>
    <w:p>
      <w:pPr>
        <w:pStyle w:val="FirstParagraph"/>
      </w:pPr>
      <w:r>
        <w:rPr>
          <w:lang w:val="de-DE"/>
        </w:rPr>
        <w:t xml:space="preserve">Ein Institutionskennzeichen hat neun Stellen; die letzte ist eine Prüfziffer:</w:t>
      </w:r>
    </w:p>
    <w:p>
      <w:pPr>
        <w:pStyle w:val="SourceCode"/>
      </w:pPr>
      <w:r>
        <w:rPr>
          <w:rStyle w:val="VerbatimChar"/>
          <w:lang w:val="de-DE"/>
        </w:rPr>
        <w:t xml:space="preserve">1 0 8 3 1 0 4 0 0</w:t>
      </w:r>
      <w:r>
        <w:br/>
      </w:r>
      <w:r>
        <w:rPr>
          <w:rStyle w:val="VerbatimChar"/>
          <w:lang w:val="de-DE"/>
        </w:rPr>
        <w:t xml:space="preserve">│ │ └───┬───┘ │ │</w:t>
      </w:r>
      <w:r>
        <w:br/>
      </w:r>
      <w:r>
        <w:rPr>
          <w:rStyle w:val="VerbatimChar"/>
          <w:lang w:val="de-DE"/>
        </w:rPr>
        <w:t xml:space="preserve">│ │     │     │ └── Stelle 9: Prüfziffer</w:t>
      </w:r>
      <w:r>
        <w:br/>
      </w:r>
      <w:r>
        <w:rPr>
          <w:rStyle w:val="VerbatimChar"/>
          <w:lang w:val="de-DE"/>
        </w:rPr>
        <w:t xml:space="preserve">│ │     │     └──── Stellen 3-8: Regionalbereich und Seriennummer</w:t>
      </w:r>
      <w:r>
        <w:br/>
      </w:r>
      <w:r>
        <w:rPr>
          <w:rStyle w:val="VerbatimChar"/>
          <w:lang w:val="de-DE"/>
        </w:rPr>
        <w:t xml:space="preserve">│ └─────┴────────── Stellen 1-2: Klassifikation</w:t>
      </w:r>
    </w:p>
    <w:p>
      <w:pPr>
        <w:pStyle w:val="FirstParagraph"/>
      </w:pPr>
      <w:r>
        <w:rPr>
          <w:lang w:val="de-DE"/>
        </w:rPr>
        <w:t xml:space="preserve">Die Prüfziffer entsteht aus den Stellen 3 bis 8: abwechselnd mit 2 und 1 gewichten (beginnend mit 2), von jedem Produkt die Quersumme bilden, aufsummieren — die letzte Ziffer der Summe ist die Prüfziffer.</w:t>
      </w:r>
    </w:p>
    <w:p>
      <w:pPr>
        <w:pStyle w:val="BodyText"/>
      </w:pPr>
      <w:r>
        <w:rPr>
          <w:lang w:val="de-DE"/>
        </w:rPr>
        <w:t xml:space="preserve">Ein IK mit falscher Prüfziffer führt zur Abweisung der gesamten Lieferung, ohne dass der Inhalt überhaupt geprüft wird. Deshalb wird es vorab kontrolliert.</w:t>
      </w:r>
    </w:p>
    <w:bookmarkEnd w:id="24"/>
    <w:bookmarkEnd w:id="25"/>
    <w:bookmarkStart w:id="30" w:name="der-versand"/>
    <w:p>
      <w:pPr>
        <w:pStyle w:val="Heading1"/>
      </w:pPr>
      <w:r>
        <w:rPr>
          <w:lang w:val="de-DE"/>
        </w:rPr>
        <w:t xml:space="preserve">Der Versand</w:t>
      </w:r>
    </w:p>
    <w:bookmarkStart w:id="26" w:name="ziele"/>
    <w:p>
      <w:pPr>
        <w:pStyle w:val="Heading2"/>
      </w:pPr>
      <w:r>
        <w:rPr>
          <w:lang w:val="de-DE"/>
        </w:rPr>
        <w:t xml:space="preserve">Ziele</w:t>
      </w:r>
    </w:p>
    <w:p>
      <w:pPr>
        <w:pStyle w:val="FirstParagraph"/>
      </w:pPr>
      <w:r>
        <w:rPr>
          <w:lang w:val="de-DE"/>
        </w:rPr>
        <w:t xml:space="preserve">Die Zuordnung erfolgt über das Institutionskennzeichen der Krankenkasse. Welche Kasse in welches Verzeichnis geliefert wird, steht in</w:t>
      </w:r>
      <w:r>
        <w:rPr>
          <w:lang w:val="de-DE"/>
        </w:rPr>
        <w:t xml:space="preserve"> </w:t>
      </w:r>
      <w:r>
        <w:rPr>
          <w:rStyle w:val="VerbatimChar"/>
          <w:lang w:val="de-DE"/>
        </w:rPr>
        <w:t xml:space="preserve">billing-office-endpoints.json</w:t>
      </w:r>
      <w:r>
        <w:rPr>
          <w:lang w:val="de-DE"/>
        </w:rPr>
        <w:t xml:space="preserve">; derzeit sind 23 Kassen hinterlegt. Eine weitere Kasse wird dort eingetragen — am Programm ist dafür nichts zu ändern.</w:t>
      </w:r>
    </w:p>
    <w:p>
      <w:pPr>
        <w:pStyle w:val="BodyText"/>
      </w:pPr>
      <w:r>
        <w:rPr>
          <w:lang w:val="de-DE"/>
        </w:rPr>
        <w:t xml:space="preserve">Ist für eine Kasse kein Ziel hinterlegt, landet die Lieferung in einem Sammelordner. Sie geht also nicht verloren.</w:t>
      </w:r>
    </w:p>
    <w:p>
      <w:pPr>
        <w:pStyle w:val="BlockText"/>
      </w:pPr>
      <w:r>
        <w:rPr>
          <w:b/>
          <w:bCs/>
          <w:lang w:val="de-DE"/>
        </w:rPr>
        <w:t xml:space="preserve">Für den echten Betrieb ist diese Zuordnung zu eng.</w:t>
      </w:r>
      <w:r>
        <w:rPr>
          <w:lang w:val="de-DE"/>
        </w:rPr>
        <w:t xml:space="preserve"> </w:t>
      </w:r>
      <w:r>
        <w:rPr>
          <w:lang w:val="de-DE"/>
        </w:rPr>
        <w:t xml:space="preserve">Empfänger einer Lieferung ist nicht die einzelne Krankenkasse, sondern die</w:t>
      </w:r>
      <w:r>
        <w:rPr>
          <w:lang w:val="de-DE"/>
        </w:rPr>
        <w:t xml:space="preserve"> </w:t>
      </w:r>
      <w:r>
        <w:rPr>
          <w:b/>
          <w:bCs/>
          <w:lang w:val="de-DE"/>
        </w:rPr>
        <w:t xml:space="preserve">Datenannahmestelle mit Entschlüsselungsbefugnis</w:t>
      </w:r>
      <w:r>
        <w:rPr>
          <w:lang w:val="de-DE"/>
        </w:rPr>
        <w:t xml:space="preserve"> </w:t>
      </w:r>
      <w:r>
        <w:rPr>
          <w:lang w:val="de-DE"/>
        </w:rPr>
        <w:t xml:space="preserve">ihrer Kassenart. Siehe „Der Weg zur Kasse”.</w:t>
      </w:r>
    </w:p>
    <w:bookmarkEnd w:id="26"/>
    <w:bookmarkStart w:id="27" w:name="art-der-erzeugten-dateien"/>
    <w:p>
      <w:pPr>
        <w:pStyle w:val="Heading2"/>
      </w:pPr>
      <w:r>
        <w:rPr>
          <w:lang w:val="de-DE"/>
        </w:rPr>
        <w:t xml:space="preserve">Art der erzeugten Dateien</w:t>
      </w:r>
    </w:p>
    <w:p>
      <w:pPr>
        <w:pStyle w:val="FirstParagraph"/>
      </w:pPr>
      <w:r>
        <w:rPr>
          <w:lang w:val="de-DE"/>
        </w:rPr>
        <w:t xml:space="preserve">Die letzte Stelle des</w:t>
      </w:r>
      <w:r>
        <w:rPr>
          <w:lang w:val="de-DE"/>
        </w:rPr>
        <w:t xml:space="preserve"> </w:t>
      </w:r>
      <w:r>
        <w:rPr>
          <w:rStyle w:val="VerbatimChar"/>
          <w:lang w:val="de-DE"/>
        </w:rPr>
        <w:t xml:space="preserve">UNB</w:t>
      </w:r>
      <w:r>
        <w:rPr>
          <w:lang w:val="de-DE"/>
        </w:rPr>
        <w:t xml:space="preserve">-Segments sagt, wofür sich eine Datei ausgibt: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Wert</w:t>
            </w:r>
          </w:p>
        </w:tc>
        <w:tc>
          <w:tcPr/>
          <w:p>
            <w:pPr>
              <w:pStyle w:val="Compact"/>
            </w:pPr>
            <w:r>
              <w:rPr>
                <w:lang w:val="de-DE"/>
              </w:rPr>
              <w:t xml:space="preserve">Bedeutung</w:t>
            </w:r>
          </w:p>
        </w:tc>
        <w:tc>
          <w:tcPr/>
          <w:p>
            <w:pPr>
              <w:pStyle w:val="Compact"/>
            </w:pPr>
            <w:r>
              <w:rPr>
                <w:lang w:val="de-DE"/>
              </w:rPr>
              <w:t xml:space="preserve">Folge</w:t>
            </w:r>
          </w:p>
        </w:tc>
      </w:tr>
      <w:tr>
        <w:tc>
          <w:tcPr/>
          <w:p>
            <w:pPr>
              <w:pStyle w:val="Compact"/>
            </w:pPr>
            <w:r>
              <w:rPr>
                <w:rStyle w:val="VerbatimChar"/>
                <w:lang w:val="de-DE"/>
              </w:rPr>
              <w:t xml:space="preserve">0</w:t>
            </w:r>
          </w:p>
        </w:tc>
        <w:tc>
          <w:tcPr/>
          <w:p>
            <w:pPr>
              <w:pStyle w:val="Compact"/>
            </w:pPr>
            <w:r>
              <w:rPr>
                <w:lang w:val="de-DE"/>
              </w:rPr>
              <w:t xml:space="preserve">Testdatei</w:t>
            </w:r>
          </w:p>
        </w:tc>
        <w:tc>
          <w:tcPr/>
          <w:p>
            <w:pPr>
              <w:pStyle w:val="Compact"/>
            </w:pPr>
            <w:r>
              <w:rPr>
                <w:lang w:val="de-DE"/>
              </w:rPr>
              <w:t xml:space="preserve">wird angenommen, aber nicht verarbeitet</w:t>
            </w:r>
          </w:p>
        </w:tc>
      </w:tr>
      <w:tr>
        <w:tc>
          <w:tcPr/>
          <w:p>
            <w:pPr>
              <w:pStyle w:val="Compact"/>
            </w:pPr>
            <w:r>
              <w:rPr>
                <w:rStyle w:val="VerbatimChar"/>
                <w:lang w:val="de-DE"/>
              </w:rPr>
              <w:t xml:space="preserve">1</w:t>
            </w:r>
          </w:p>
        </w:tc>
        <w:tc>
          <w:tcPr/>
          <w:p>
            <w:pPr>
              <w:pStyle w:val="Compact"/>
            </w:pPr>
            <w:r>
              <w:rPr>
                <w:lang w:val="de-DE"/>
              </w:rPr>
              <w:t xml:space="preserve">Erprobungsdatei</w:t>
            </w:r>
          </w:p>
        </w:tc>
        <w:tc>
          <w:tcPr/>
          <w:p>
            <w:pPr>
              <w:pStyle w:val="Compact"/>
            </w:pPr>
            <w:r>
              <w:rPr>
                <w:lang w:val="de-DE"/>
              </w:rPr>
              <w:t xml:space="preserve">wird verarbeitet und geprüft, aber</w:t>
            </w:r>
            <w:r>
              <w:rPr>
                <w:lang w:val="de-DE"/>
              </w:rPr>
              <w:t xml:space="preserve"> </w:t>
            </w:r>
            <w:r>
              <w:rPr>
                <w:b/>
                <w:bCs/>
                <w:lang w:val="de-DE"/>
              </w:rPr>
              <w:t xml:space="preserve">nicht bezahlt</w:t>
            </w:r>
          </w:p>
        </w:tc>
      </w:tr>
      <w:tr>
        <w:tc>
          <w:tcPr/>
          <w:p>
            <w:pPr>
              <w:pStyle w:val="Compact"/>
            </w:pPr>
            <w:r>
              <w:rPr>
                <w:rStyle w:val="VerbatimChar"/>
                <w:lang w:val="de-DE"/>
              </w:rPr>
              <w:t xml:space="preserve">2</w:t>
            </w:r>
          </w:p>
        </w:tc>
        <w:tc>
          <w:tcPr/>
          <w:p>
            <w:pPr>
              <w:pStyle w:val="Compact"/>
            </w:pPr>
            <w:r>
              <w:rPr>
                <w:lang w:val="de-DE"/>
              </w:rPr>
              <w:t xml:space="preserve">Echtdatei</w:t>
            </w:r>
          </w:p>
        </w:tc>
        <w:tc>
          <w:tcPr/>
          <w:p>
            <w:pPr>
              <w:pStyle w:val="Compact"/>
            </w:pPr>
            <w:r>
              <w:rPr>
                <w:lang w:val="de-DE"/>
              </w:rPr>
              <w:t xml:space="preserve">gilt als Forderung</w:t>
            </w:r>
          </w:p>
        </w:tc>
      </w:tr>
    </w:tbl>
    <w:p>
      <w:pPr>
        <w:pStyle w:val="BodyText"/>
      </w:pPr>
      <w:r>
        <w:rPr>
          <w:lang w:val="de-DE"/>
        </w:rPr>
        <w:t xml:space="preserve">Einstellbar unter „Einstellungen”; die Vorgabe ist</w:t>
      </w:r>
      <w:r>
        <w:rPr>
          <w:lang w:val="de-DE"/>
        </w:rPr>
        <w:t xml:space="preserve"> </w:t>
      </w:r>
      <w:r>
        <w:rPr>
          <w:b/>
          <w:bCs/>
          <w:lang w:val="de-DE"/>
        </w:rPr>
        <w:t xml:space="preserve">Erprobung</w:t>
      </w:r>
      <w:r>
        <w:rPr>
          <w:lang w:val="de-DE"/>
        </w:rPr>
        <w:t xml:space="preserve">. Das Programm wechselt nicht von selbst in den Echtbetrieb — auch dann nicht, wenn die Einstellungsdatei fehlt oder unlesbar ist.</w:t>
      </w:r>
    </w:p>
    <w:bookmarkEnd w:id="27"/>
    <w:bookmarkStart w:id="28" w:name="rückmeldungen"/>
    <w:p>
      <w:pPr>
        <w:pStyle w:val="Heading2"/>
      </w:pPr>
      <w:r>
        <w:rPr>
          <w:lang w:val="de-DE"/>
        </w:rPr>
        <w:t xml:space="preserve">Rückmeldungen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Einstufung</w:t>
            </w:r>
          </w:p>
        </w:tc>
        <w:tc>
          <w:tcPr/>
          <w:p>
            <w:pPr>
              <w:pStyle w:val="Compact"/>
            </w:pPr>
            <w:r>
              <w:rPr>
                <w:lang w:val="de-DE"/>
              </w:rPr>
              <w:t xml:space="preserve">Bedeutung</w:t>
            </w:r>
          </w:p>
        </w:tc>
        <w:tc>
          <w:tcPr/>
          <w:p>
            <w:pPr>
              <w:pStyle w:val="Compact"/>
            </w:pPr>
            <w:r>
              <w:rPr>
                <w:lang w:val="de-DE"/>
              </w:rPr>
              <w:t xml:space="preserve">Was zu tun ist</w:t>
            </w:r>
          </w:p>
        </w:tc>
      </w:tr>
      <w:tr>
        <w:tc>
          <w:tcPr/>
          <w:p>
            <w:pPr>
              <w:pStyle w:val="Compact"/>
            </w:pPr>
            <w:r>
              <w:rPr>
                <w:lang w:val="de-DE"/>
              </w:rPr>
              <w:t xml:space="preserve">Angenommen</w:t>
            </w:r>
          </w:p>
        </w:tc>
        <w:tc>
          <w:tcPr/>
          <w:p>
            <w:pPr>
              <w:pStyle w:val="Compact"/>
            </w:pPr>
            <w:r>
              <w:rPr>
                <w:lang w:val="de-DE"/>
              </w:rPr>
              <w:t xml:space="preserve">Die Kasse hat die Lieferung übernommen</w:t>
            </w:r>
          </w:p>
        </w:tc>
        <w:tc>
          <w:tcPr/>
          <w:p>
            <w:pPr>
              <w:pStyle w:val="Compact"/>
            </w:pPr>
            <w:r>
              <w:rPr>
                <w:lang w:val="de-DE"/>
              </w:rPr>
              <w:t xml:space="preserve">nichts</w:t>
            </w:r>
          </w:p>
        </w:tc>
      </w:tr>
      <w:tr>
        <w:tc>
          <w:tcPr/>
          <w:p>
            <w:pPr>
              <w:pStyle w:val="Compact"/>
            </w:pPr>
            <w:r>
              <w:rPr>
                <w:lang w:val="de-DE"/>
              </w:rPr>
              <w:t xml:space="preserve">Abgelehnt</w:t>
            </w:r>
          </w:p>
        </w:tc>
        <w:tc>
          <w:tcPr/>
          <w:p>
            <w:pPr>
              <w:pStyle w:val="Compact"/>
            </w:pPr>
            <w:r>
              <w:rPr>
                <w:lang w:val="de-DE"/>
              </w:rPr>
              <w:t xml:space="preserve">fachlich beanstandet</w:t>
            </w:r>
          </w:p>
        </w:tc>
        <w:tc>
          <w:tcPr/>
          <w:p>
            <w:pPr>
              <w:pStyle w:val="Compact"/>
            </w:pPr>
            <w:r>
              <w:rPr>
                <w:lang w:val="de-DE"/>
              </w:rPr>
              <w:t xml:space="preserve">Abrechnung korrigieren</w:t>
            </w:r>
          </w:p>
        </w:tc>
      </w:tr>
      <w:tr>
        <w:tc>
          <w:tcPr/>
          <w:p>
            <w:pPr>
              <w:pStyle w:val="Compact"/>
            </w:pPr>
            <w:r>
              <w:rPr>
                <w:lang w:val="de-DE"/>
              </w:rPr>
              <w:t xml:space="preserve">Syntaxfehler</w:t>
            </w:r>
          </w:p>
        </w:tc>
        <w:tc>
          <w:tcPr/>
          <w:p>
            <w:pPr>
              <w:pStyle w:val="Compact"/>
            </w:pPr>
            <w:r>
              <w:rPr>
                <w:lang w:val="de-DE"/>
              </w:rPr>
              <w:t xml:space="preserve">Formfehler in der Datei</w:t>
            </w:r>
          </w:p>
        </w:tc>
        <w:tc>
          <w:tcPr/>
          <w:p>
            <w:pPr>
              <w:pStyle w:val="Compact"/>
            </w:pPr>
            <w:r>
              <w:rPr>
                <w:lang w:val="de-DE"/>
              </w:rPr>
              <w:t xml:space="preserve">Datei neu erzeugen</w:t>
            </w:r>
          </w:p>
        </w:tc>
      </w:tr>
      <w:tr>
        <w:tc>
          <w:tcPr/>
          <w:p>
            <w:pPr>
              <w:pStyle w:val="Compact"/>
            </w:pPr>
            <w:r>
              <w:rPr>
                <w:lang w:val="de-DE"/>
              </w:rPr>
              <w:t xml:space="preserve">Technischer Fehler</w:t>
            </w:r>
          </w:p>
        </w:tc>
        <w:tc>
          <w:tcPr/>
          <w:p>
            <w:pPr>
              <w:pStyle w:val="Compact"/>
            </w:pPr>
            <w:r>
              <w:rPr>
                <w:lang w:val="de-DE"/>
              </w:rPr>
              <w:t xml:space="preserve">Übertragungsproblem</w:t>
            </w:r>
          </w:p>
        </w:tc>
        <w:tc>
          <w:tcPr/>
          <w:p>
            <w:pPr>
              <w:pStyle w:val="Compact"/>
            </w:pPr>
            <w:r>
              <w:rPr>
                <w:lang w:val="de-DE"/>
              </w:rPr>
              <w:t xml:space="preserve">erneut senden</w:t>
            </w:r>
          </w:p>
        </w:tc>
      </w:tr>
      <w:tr>
        <w:tc>
          <w:tcPr/>
          <w:p>
            <w:pPr>
              <w:pStyle w:val="Compact"/>
            </w:pPr>
            <w:r>
              <w:rPr>
                <w:lang w:val="de-DE"/>
              </w:rPr>
              <w:t xml:space="preserve">Unbekannt</w:t>
            </w:r>
          </w:p>
        </w:tc>
        <w:tc>
          <w:tcPr/>
          <w:p>
            <w:pPr>
              <w:pStyle w:val="Compact"/>
            </w:pPr>
            <w:r>
              <w:rPr>
                <w:lang w:val="de-DE"/>
              </w:rPr>
              <w:t xml:space="preserve">nicht einzuordnen</w:t>
            </w:r>
          </w:p>
        </w:tc>
        <w:tc>
          <w:tcPr/>
          <w:p>
            <w:pPr>
              <w:pStyle w:val="Compact"/>
            </w:pPr>
            <w:r>
              <w:rPr>
                <w:b/>
                <w:bCs/>
                <w:lang w:val="de-DE"/>
              </w:rPr>
              <w:t xml:space="preserve">muss ein Mensch ansehen</w:t>
            </w:r>
          </w:p>
        </w:tc>
      </w:tr>
    </w:tbl>
    <w:p>
      <w:pPr>
        <w:pStyle w:val="BodyText"/>
      </w:pPr>
      <w:r>
        <w:rPr>
          <w:lang w:val="de-DE"/>
        </w:rPr>
        <w:t xml:space="preserve">Eine Rückmeldung, die sich nicht sicher einordnen lässt, gilt bewusst</w:t>
      </w:r>
      <w:r>
        <w:rPr>
          <w:lang w:val="de-DE"/>
        </w:rPr>
        <w:t xml:space="preserve"> </w:t>
      </w:r>
      <w:r>
        <w:rPr>
          <w:b/>
          <w:bCs/>
          <w:lang w:val="de-DE"/>
        </w:rPr>
        <w:t xml:space="preserve">nicht</w:t>
      </w:r>
      <w:r>
        <w:rPr>
          <w:lang w:val="de-DE"/>
        </w:rPr>
        <w:t xml:space="preserve"> </w:t>
      </w:r>
      <w:r>
        <w:rPr>
          <w:lang w:val="de-DE"/>
        </w:rPr>
        <w:t xml:space="preserve">als Annahme. Eine stillschweigend als angenommen verbuchte Ablehnung wäre der teurere Fehler.</w:t>
      </w:r>
    </w:p>
    <w:bookmarkEnd w:id="28"/>
    <w:bookmarkStart w:id="29" w:name="erprobung-ohne-echte-kasse"/>
    <w:p>
      <w:pPr>
        <w:pStyle w:val="Heading2"/>
      </w:pPr>
      <w:r>
        <w:rPr>
          <w:lang w:val="de-DE"/>
        </w:rPr>
        <w:t xml:space="preserve">Erprobung ohne echte Kasse</w:t>
      </w:r>
    </w:p>
    <w:p>
      <w:pPr>
        <w:pStyle w:val="FirstParagraph"/>
      </w:pPr>
      <w:r>
        <w:rPr>
          <w:lang w:val="de-DE"/>
        </w:rPr>
        <w:t xml:space="preserve">Für Übung und Abnahme steht eine simulierte Gegenstelle bereit. Sie nimmt eine Lieferung entgegen, prüft sie mit demselben Regelwerk und schreibt ein Antwortprotokoll in der Form einer Kassenrückmeldung — einschließlich der Unterscheidung zwischen Syntaxfehler und fachlicher Zurückweisung.</w:t>
      </w:r>
    </w:p>
    <w:p>
      <w:pPr>
        <w:pStyle w:val="BodyText"/>
      </w:pPr>
      <w:r>
        <w:rPr>
          <w:lang w:val="de-DE"/>
        </w:rPr>
        <w:t xml:space="preserve">Damit lässt sich der vollständige Ablauf bis zur Rückmeldung durchspielen, ohne Zugangsdaten und ohne Zertifikate.</w:t>
      </w:r>
    </w:p>
    <w:p>
      <w:pPr>
        <w:pStyle w:val="BodyText"/>
      </w:pPr>
      <w:r>
        <w:rPr>
          <w:b/>
          <w:bCs/>
          <w:lang w:val="de-DE"/>
        </w:rPr>
        <w:t xml:space="preserve">Das ersetzt keinen echten Versand</w:t>
      </w:r>
      <w:r>
        <w:rPr>
          <w:lang w:val="de-DE"/>
        </w:rPr>
        <w:t xml:space="preserve"> </w:t>
      </w:r>
      <w:r>
        <w:rPr>
          <w:lang w:val="de-DE"/>
        </w:rPr>
        <w:t xml:space="preserve">und keine Prüfung durch eine reale Kasse.</w:t>
      </w:r>
    </w:p>
    <w:bookmarkEnd w:id="29"/>
    <w:bookmarkEnd w:id="30"/>
    <w:bookmarkStart w:id="59" w:name="der-weg-zur-kasse"/>
    <w:p>
      <w:pPr>
        <w:pStyle w:val="Heading1"/>
      </w:pPr>
      <w:r>
        <w:rPr>
          <w:lang w:val="de-DE"/>
        </w:rPr>
        <w:t xml:space="preserve">Der Weg zur Kasse</w:t>
      </w:r>
    </w:p>
    <w:p>
      <w:pPr>
        <w:pStyle w:val="FirstParagraph"/>
      </w:pPr>
      <w:r>
        <w:rPr>
          <w:lang w:val="de-DE"/>
        </w:rPr>
        <w:t xml:space="preserve">Dieses Kapitel beschreibt, wie eine Lieferung tatsächlich zur Krankenkasse gelangt, was davon das Programm leistet und was dafür noch fehlt.</w:t>
      </w:r>
    </w:p>
    <w:p>
      <w:pPr>
        <w:pStyle w:val="BodyText"/>
      </w:pPr>
      <w:r>
        <w:rPr>
          <w:lang w:val="de-DE"/>
        </w:rPr>
        <w:t xml:space="preserve">Grundlage sind die Unterlagen unter</w:t>
      </w:r>
      <w:r>
        <w:rPr>
          <w:lang w:val="de-DE"/>
        </w:rPr>
        <w:t xml:space="preserve"> </w:t>
      </w:r>
      <w:r>
        <w:rPr>
          <w:rStyle w:val="VerbatimChar"/>
          <w:lang w:val="de-DE"/>
        </w:rPr>
        <w:t xml:space="preserve">Information/</w:t>
      </w:r>
      <w:r>
        <w:rPr>
          <w:lang w:val="de-DE"/>
        </w:rPr>
        <w:t xml:space="preserve">. Sie liegen</w:t>
      </w:r>
      <w:r>
        <w:rPr>
          <w:lang w:val="de-DE"/>
        </w:rPr>
        <w:t xml:space="preserve"> </w:t>
      </w:r>
      <w:r>
        <w:rPr>
          <w:b/>
          <w:bCs/>
          <w:lang w:val="de-DE"/>
        </w:rPr>
        <w:t xml:space="preserve">vollständig</w:t>
      </w:r>
      <w:r>
        <w:rPr>
          <w:lang w:val="de-DE"/>
        </w:rPr>
        <w:t xml:space="preserve"> </w:t>
      </w:r>
      <w:r>
        <w:rPr>
          <w:lang w:val="de-DE"/>
        </w:rPr>
        <w:t xml:space="preserve">vor; bis zum 07.09.2026 fehlten zwei Anhänge, und ihr Fehlen war der Grund, warum drei Angaben im Programm frei erfunden waren. Sie waren nie schwer zu bekommen — sie stehen frei zum Herunterladen auf</w:t>
      </w:r>
      <w:r>
        <w:rPr>
          <w:lang w:val="de-DE"/>
        </w:rPr>
        <w:t xml:space="preserve"> </w:t>
      </w:r>
      <w:hyperlink r:id="rId31">
        <w:r>
          <w:rPr>
            <w:rStyle w:val="Hyperlink"/>
            <w:lang w:val="de-DE"/>
          </w:rPr>
          <w:t xml:space="preserve">gkv-datenaustausch.de</w:t>
        </w:r>
      </w:hyperlink>
      <w:r>
        <w:rPr>
          <w:lang w:val="de-DE"/>
        </w:rPr>
        <w:t xml:space="preserve">, dem Portal des GKV-Spitzenverbandes.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Unterlage</w:t>
            </w:r>
          </w:p>
        </w:tc>
        <w:tc>
          <w:tcPr/>
          <w:p>
            <w:pPr>
              <w:pStyle w:val="Compact"/>
            </w:pPr>
            <w:r>
              <w:rPr>
                <w:lang w:val="de-DE"/>
              </w:rPr>
              <w:t xml:space="preserve">Datei</w:t>
            </w:r>
          </w:p>
        </w:tc>
        <w:tc>
          <w:tcPr/>
          <w:p>
            <w:pPr>
              <w:pStyle w:val="Compact"/>
            </w:pPr>
            <w:r>
              <w:rPr>
                <w:lang w:val="de-DE"/>
              </w:rPr>
              <w:t xml:space="preserve">Regelt</w:t>
            </w:r>
          </w:p>
        </w:tc>
      </w:tr>
      <w:tr>
        <w:tc>
          <w:tcPr/>
          <w:p>
            <w:pPr>
              <w:pStyle w:val="Compact"/>
            </w:pPr>
            <w:r>
              <w:rPr>
                <w:lang w:val="de-DE"/>
              </w:rPr>
              <w:t xml:space="preserve">Anlage 1, Version 21</w:t>
            </w:r>
          </w:p>
        </w:tc>
        <w:tc>
          <w:tcPr/>
          <w:p>
            <w:pPr>
              <w:pStyle w:val="Compact"/>
            </w:pPr>
            <w:r>
              <w:rPr>
                <w:rStyle w:val="VerbatimChar"/>
                <w:lang w:val="de-DE"/>
              </w:rPr>
              <w:t xml:space="preserve">Anlage_1_TP5_V21_20260115.pdf</w:t>
            </w:r>
          </w:p>
        </w:tc>
        <w:tc>
          <w:tcPr/>
          <w:p>
            <w:pPr>
              <w:pStyle w:val="Compact"/>
            </w:pPr>
            <w:r>
              <w:rPr>
                <w:lang w:val="de-DE"/>
              </w:rPr>
              <w:t xml:space="preserve">Aufbau der Nutzdaten —</w:t>
            </w:r>
            <w:r>
              <w:rPr>
                <w:lang w:val="de-DE"/>
              </w:rPr>
              <w:t xml:space="preserve"> </w:t>
            </w:r>
            <w:r>
              <w:rPr>
                <w:b/>
                <w:bCs/>
                <w:lang w:val="de-DE"/>
              </w:rPr>
              <w:t xml:space="preserve">heute gültig</w:t>
            </w:r>
          </w:p>
        </w:tc>
      </w:tr>
      <w:tr>
        <w:tc>
          <w:tcPr/>
          <w:p>
            <w:pPr>
              <w:pStyle w:val="Compact"/>
            </w:pPr>
            <w:r>
              <w:rPr>
                <w:lang w:val="de-DE"/>
              </w:rPr>
              <w:t xml:space="preserve">Anlage 1, Version 22</w:t>
            </w:r>
          </w:p>
        </w:tc>
        <w:tc>
          <w:tcPr/>
          <w:p>
            <w:pPr>
              <w:pStyle w:val="Compact"/>
            </w:pPr>
            <w:r>
              <w:rPr>
                <w:rStyle w:val="VerbatimChar"/>
                <w:lang w:val="de-DE"/>
              </w:rPr>
              <w:t xml:space="preserve">Anlage_1_TP5_V22_20260521.pdf</w:t>
            </w:r>
          </w:p>
        </w:tc>
        <w:tc>
          <w:tcPr/>
          <w:p>
            <w:pPr>
              <w:pStyle w:val="Compact"/>
            </w:pPr>
            <w:r>
              <w:rPr>
                <w:lang w:val="de-DE"/>
              </w:rPr>
              <w:t xml:space="preserve">dasselbe, anzuwenden ab 01.02.2027</w:t>
            </w:r>
          </w:p>
        </w:tc>
      </w:tr>
      <w:tr>
        <w:tc>
          <w:tcPr/>
          <w:p>
            <w:pPr>
              <w:pStyle w:val="Compact"/>
            </w:pPr>
            <w:r>
              <w:rPr>
                <w:lang w:val="de-DE"/>
              </w:rPr>
              <w:t xml:space="preserve">Anlage 3, Version 22</w:t>
            </w:r>
          </w:p>
        </w:tc>
        <w:tc>
          <w:tcPr/>
          <w:p>
            <w:pPr>
              <w:pStyle w:val="Compact"/>
            </w:pPr>
            <w:r>
              <w:rPr>
                <w:rStyle w:val="VerbatimChar"/>
                <w:lang w:val="de-DE"/>
              </w:rPr>
              <w:t xml:space="preserve">Anlage_3_TP5_V22_20260521.pdf</w:t>
            </w:r>
          </w:p>
        </w:tc>
        <w:tc>
          <w:tcPr/>
          <w:p>
            <w:pPr>
              <w:pStyle w:val="Compact"/>
            </w:pPr>
            <w:r>
              <w:rPr>
                <w:lang w:val="de-DE"/>
              </w:rPr>
              <w:t xml:space="preserve">Schlüsselverzeichnisse</w:t>
            </w:r>
          </w:p>
        </w:tc>
      </w:tr>
      <w:tr>
        <w:tc>
          <w:tcPr/>
          <w:p>
            <w:pPr>
              <w:pStyle w:val="Compact"/>
            </w:pPr>
            <w:r>
              <w:rPr>
                <w:lang w:val="de-DE"/>
              </w:rPr>
              <w:t xml:space="preserve">Anhang 1 zur Anlage 1</w:t>
            </w:r>
          </w:p>
        </w:tc>
        <w:tc>
          <w:tcPr/>
          <w:p>
            <w:pPr>
              <w:pStyle w:val="Compact"/>
            </w:pPr>
            <w:r>
              <w:rPr>
                <w:rStyle w:val="VerbatimChar"/>
                <w:lang w:val="de-DE"/>
              </w:rPr>
              <w:t xml:space="preserve">Anhang_1_Datenuebermittlung_20170831.pdf</w:t>
            </w:r>
          </w:p>
        </w:tc>
        <w:tc>
          <w:tcPr/>
          <w:p>
            <w:pPr>
              <w:pStyle w:val="Compact"/>
            </w:pPr>
            <w:r>
              <w:rPr>
                <w:lang w:val="de-DE"/>
              </w:rPr>
              <w:t xml:space="preserve">Übermittlung, Dateinamen, Dokumentation</w:t>
            </w:r>
          </w:p>
        </w:tc>
      </w:tr>
      <w:tr>
        <w:tc>
          <w:tcPr/>
          <w:p>
            <w:pPr>
              <w:pStyle w:val="Compact"/>
            </w:pPr>
            <w:r>
              <w:rPr>
                <w:lang w:val="de-DE"/>
              </w:rPr>
              <w:t xml:space="preserve">Anhang 2 zur Anlage 1</w:t>
            </w:r>
          </w:p>
        </w:tc>
        <w:tc>
          <w:tcPr/>
          <w:p>
            <w:pPr>
              <w:pStyle w:val="Compact"/>
            </w:pPr>
            <w:r>
              <w:rPr>
                <w:rStyle w:val="VerbatimChar"/>
                <w:lang w:val="de-DE"/>
              </w:rPr>
              <w:t xml:space="preserve">Anhang_2_Pruefverfahren.pdf</w:t>
            </w:r>
          </w:p>
        </w:tc>
        <w:tc>
          <w:tcPr/>
          <w:p>
            <w:pPr>
              <w:pStyle w:val="Compact"/>
            </w:pPr>
            <w:r>
              <w:rPr>
                <w:lang w:val="de-DE"/>
              </w:rPr>
              <w:t xml:space="preserve">Prüf- und Erprobungsverfahren</w:t>
            </w:r>
          </w:p>
        </w:tc>
      </w:tr>
      <w:tr>
        <w:tc>
          <w:tcPr/>
          <w:p>
            <w:pPr>
              <w:pStyle w:val="Compact"/>
            </w:pPr>
            <w:r>
              <w:rPr>
                <w:lang w:val="de-DE"/>
              </w:rPr>
              <w:t xml:space="preserve">Anhang 3 zur Anlage 1</w:t>
            </w:r>
          </w:p>
        </w:tc>
        <w:tc>
          <w:tcPr/>
          <w:p>
            <w:pPr>
              <w:pStyle w:val="Compact"/>
            </w:pPr>
            <w:r>
              <w:rPr>
                <w:rStyle w:val="VerbatimChar"/>
                <w:lang w:val="de-DE"/>
              </w:rPr>
              <w:t xml:space="preserve">Anhang_3_Kostentraegerdatei_V10_20260414.pdf</w:t>
            </w:r>
          </w:p>
        </w:tc>
        <w:tc>
          <w:tcPr/>
          <w:p>
            <w:pPr>
              <w:pStyle w:val="Compact"/>
            </w:pPr>
            <w:r>
              <w:rPr>
                <w:lang w:val="de-DE"/>
              </w:rPr>
              <w:t xml:space="preserve">Aufbau der Kostenträgerdatei</w:t>
            </w:r>
          </w:p>
        </w:tc>
      </w:tr>
      <w:tr>
        <w:tc>
          <w:tcPr/>
          <w:p>
            <w:pPr>
              <w:pStyle w:val="Compact"/>
            </w:pPr>
            <w:r>
              <w:rPr>
                <w:lang w:val="de-DE"/>
              </w:rPr>
              <w:t xml:space="preserve">GGT Anlage 2</w:t>
            </w:r>
          </w:p>
        </w:tc>
        <w:tc>
          <w:tcPr/>
          <w:p>
            <w:pPr>
              <w:pStyle w:val="Compact"/>
            </w:pPr>
            <w:r>
              <w:rPr>
                <w:rStyle w:val="VerbatimChar"/>
                <w:lang w:val="de-DE"/>
              </w:rPr>
              <w:t xml:space="preserve">GGT_Anlage_2_Auftragsdatei.pdf</w:t>
            </w:r>
          </w:p>
        </w:tc>
        <w:tc>
          <w:tcPr/>
          <w:p>
            <w:pPr>
              <w:pStyle w:val="Compact"/>
            </w:pPr>
            <w:r>
              <w:rPr>
                <w:lang w:val="de-DE"/>
              </w:rPr>
              <w:t xml:space="preserve">Auftragsdatei</w:t>
            </w:r>
          </w:p>
        </w:tc>
      </w:tr>
      <w:tr>
        <w:tc>
          <w:tcPr/>
          <w:p>
            <w:pPr>
              <w:pStyle w:val="Compact"/>
            </w:pPr>
            <w:r>
              <w:rPr>
                <w:lang w:val="de-DE"/>
              </w:rPr>
              <w:t xml:space="preserve">GGT Anlage 7</w:t>
            </w:r>
          </w:p>
        </w:tc>
        <w:tc>
          <w:tcPr/>
          <w:p>
            <w:pPr>
              <w:pStyle w:val="Compact"/>
            </w:pPr>
            <w:r>
              <w:rPr>
                <w:rStyle w:val="VerbatimChar"/>
                <w:lang w:val="de-DE"/>
              </w:rPr>
              <w:t xml:space="preserve">GGT_Anlage_7_EMail.pdf</w:t>
            </w:r>
          </w:p>
        </w:tc>
        <w:tc>
          <w:tcPr/>
          <w:p>
            <w:pPr>
              <w:pStyle w:val="Compact"/>
            </w:pPr>
            <w:r>
              <w:rPr>
                <w:lang w:val="de-DE"/>
              </w:rPr>
              <w:t xml:space="preserve">Übertragung per E-Mail</w:t>
            </w:r>
          </w:p>
        </w:tc>
      </w:tr>
      <w:tr>
        <w:tc>
          <w:tcPr/>
          <w:p>
            <w:pPr>
              <w:pStyle w:val="Compact"/>
            </w:pPr>
            <w:r>
              <w:rPr>
                <w:lang w:val="de-DE"/>
              </w:rPr>
              <w:t xml:space="preserve">GGT Anlage 20</w:t>
            </w:r>
          </w:p>
        </w:tc>
        <w:tc>
          <w:tcPr/>
          <w:p>
            <w:pPr>
              <w:pStyle w:val="Compact"/>
            </w:pPr>
            <w:r>
              <w:rPr>
                <w:rStyle w:val="VerbatimChar"/>
                <w:lang w:val="de-DE"/>
              </w:rPr>
              <w:t xml:space="preserve">GGT_Anlage_20_KIM.pdf</w:t>
            </w:r>
          </w:p>
        </w:tc>
        <w:tc>
          <w:tcPr/>
          <w:p>
            <w:pPr>
              <w:pStyle w:val="Compact"/>
            </w:pPr>
            <w:r>
              <w:rPr>
                <w:lang w:val="de-DE"/>
              </w:rPr>
              <w:t xml:space="preserve">Übertragung über KIM in der Telematikinfrastruktur</w:t>
            </w:r>
          </w:p>
        </w:tc>
      </w:tr>
    </w:tbl>
    <w:p>
      <w:pPr>
        <w:pStyle w:val="BlockText"/>
      </w:pPr>
      <w:r>
        <w:rPr>
          <w:lang w:val="de-DE"/>
        </w:rPr>
        <w:t xml:space="preserve">Die Security-Schnittstelle (SECON, GGT Anlage 16) ist mit 5 MB nicht mitgelieferter Bestandteil des Projekts. Sie steht unter</w:t>
      </w:r>
      <w:r>
        <w:rPr>
          <w:lang w:val="de-DE"/>
        </w:rPr>
        <w:t xml:space="preserve"> </w:t>
      </w:r>
      <w:hyperlink r:id="rId32">
        <w:r>
          <w:rPr>
            <w:rStyle w:val="Hyperlink"/>
            <w:lang w:val="de-DE"/>
          </w:rPr>
          <w:t xml:space="preserve">Technische Standards</w:t>
        </w:r>
      </w:hyperlink>
      <w:r>
        <w:rPr>
          <w:lang w:val="de-DE"/>
        </w:rPr>
        <w:t xml:space="preserve"> </w:t>
      </w:r>
      <w:r>
        <w:rPr>
          <w:lang w:val="de-DE"/>
        </w:rPr>
        <w:t xml:space="preserve">und wird erst gebraucht, wenn tatsächlich selbst verschlüsselt wird.</w:t>
      </w:r>
    </w:p>
    <w:bookmarkStart w:id="33" w:name="der-vorgesehene-weg"/>
    <w:p>
      <w:pPr>
        <w:pStyle w:val="Heading2"/>
      </w:pPr>
      <w:r>
        <w:rPr>
          <w:lang w:val="de-DE"/>
        </w:rPr>
        <w:t xml:space="preserve">Der vorgesehene Weg</w:t>
      </w:r>
    </w:p>
    <w:p>
      <w:pPr>
        <w:pStyle w:val="SourceCode"/>
      </w:pPr>
      <w:r>
        <w:rPr>
          <w:rStyle w:val="VerbatimChar"/>
          <w:lang w:val="de-DE"/>
        </w:rPr>
        <w:t xml:space="preserve">Leistungserbringerin (eigenes IK)</w:t>
      </w:r>
      <w:r>
        <w:br/>
      </w:r>
      <w:r>
        <w:rPr>
          <w:rStyle w:val="VerbatimChar"/>
          <w:lang w:val="de-DE"/>
        </w:rPr>
        <w:t xml:space="preserve">      │  Nutzdatendatei (UNB … UNZ) + Auftragsdatei</w:t>
      </w:r>
      <w:r>
        <w:br/>
      </w:r>
      <w:r>
        <w:rPr>
          <w:rStyle w:val="VerbatimChar"/>
          <w:lang w:val="de-DE"/>
        </w:rPr>
        <w:t xml:space="preserve">      │  verschlüsselt mit dem öffentlichen Schlüssel der Annahmestelle</w:t>
      </w:r>
      <w:r>
        <w:br/>
      </w:r>
      <w:r>
        <w:rPr>
          <w:rStyle w:val="VerbatimChar"/>
          <w:lang w:val="de-DE"/>
        </w:rPr>
        <w:t xml:space="preserve">      ▼</w:t>
      </w:r>
      <w:r>
        <w:br/>
      </w:r>
      <w:r>
        <w:rPr>
          <w:rStyle w:val="VerbatimChar"/>
          <w:lang w:val="de-DE"/>
        </w:rPr>
        <w:t xml:space="preserve">Datenannahmestelle mit Entschlüsselungsbefugnis   ← je Kassenart eine</w:t>
      </w:r>
      <w:r>
        <w:br/>
      </w:r>
      <w:r>
        <w:rPr>
          <w:rStyle w:val="VerbatimChar"/>
          <w:lang w:val="de-DE"/>
        </w:rPr>
        <w:t xml:space="preserve">      │  Prüfstufe 1  Datei, Dateipaar, Anmeldung des Absenders</w:t>
      </w:r>
      <w:r>
        <w:br/>
      </w:r>
      <w:r>
        <w:rPr>
          <w:rStyle w:val="VerbatimChar"/>
          <w:lang w:val="de-DE"/>
        </w:rPr>
        <w:t xml:space="preserve">      │  Prüfstufe 2  Segmentfolge, Feldart, Feldtyp, Feldlänge</w:t>
      </w:r>
      <w:r>
        <w:br/>
      </w:r>
      <w:r>
        <w:rPr>
          <w:rStyle w:val="VerbatimChar"/>
          <w:lang w:val="de-DE"/>
        </w:rPr>
        <w:t xml:space="preserve">      │  Prüfstufe 3  Inhalte gegen die Schlüsselverzeichnisse</w:t>
      </w:r>
      <w:r>
        <w:br/>
      </w:r>
      <w:r>
        <w:rPr>
          <w:rStyle w:val="VerbatimChar"/>
          <w:lang w:val="de-DE"/>
        </w:rPr>
        <w:t xml:space="preserve">      ▼</w:t>
      </w:r>
      <w:r>
        <w:br/>
      </w:r>
      <w:r>
        <w:rPr>
          <w:rStyle w:val="VerbatimChar"/>
          <w:lang w:val="de-DE"/>
        </w:rPr>
        <w:t xml:space="preserve">Krankenkasse</w:t>
      </w:r>
      <w:r>
        <w:br/>
      </w:r>
      <w:r>
        <w:rPr>
          <w:rStyle w:val="VerbatimChar"/>
          <w:lang w:val="de-DE"/>
        </w:rPr>
        <w:t xml:space="preserve">      │  Prüfstufe 4  vertrags-, versicherungs- und leistungsrechtlich</w:t>
      </w:r>
      <w:r>
        <w:br/>
      </w:r>
      <w:r>
        <w:rPr>
          <w:rStyle w:val="VerbatimChar"/>
          <w:lang w:val="de-DE"/>
        </w:rPr>
        <w:t xml:space="preserve">      ▼</w:t>
      </w:r>
      <w:r>
        <w:br/>
      </w:r>
      <w:r>
        <w:rPr>
          <w:rStyle w:val="VerbatimChar"/>
          <w:lang w:val="de-DE"/>
        </w:rPr>
        <w:t xml:space="preserve">Bezahlung  oder  Zurückweisung</w:t>
      </w:r>
    </w:p>
    <w:p>
      <w:pPr>
        <w:pStyle w:val="FirstParagraph"/>
      </w:pPr>
      <w:r>
        <w:rPr>
          <w:lang w:val="de-DE"/>
        </w:rPr>
        <w:t xml:space="preserve">Drei Punkte daran werden regelmäßig unterschätzt:</w:t>
      </w:r>
    </w:p>
    <w:p>
      <w:pPr>
        <w:pStyle w:val="BodyText"/>
      </w:pPr>
      <w:r>
        <w:rPr>
          <w:b/>
          <w:bCs/>
          <w:lang w:val="de-DE"/>
        </w:rPr>
        <w:t xml:space="preserve">Empfänger ist die Datenannahmestelle, nicht die Kasse.</w:t>
      </w:r>
      <w:r>
        <w:rPr>
          <w:lang w:val="de-DE"/>
        </w:rPr>
        <w:t xml:space="preserve"> </w:t>
      </w:r>
      <w:r>
        <w:rPr>
          <w:lang w:val="de-DE"/>
        </w:rPr>
        <w:t xml:space="preserve">Für jede Datenannahmestelle mit Entschlüsselungsbefugnis ist je Kassenart</w:t>
      </w:r>
      <w:r>
        <w:rPr>
          <w:lang w:val="de-DE"/>
        </w:rPr>
        <w:t xml:space="preserve"> </w:t>
      </w:r>
      <w:r>
        <w:rPr>
          <w:b/>
          <w:bCs/>
          <w:lang w:val="de-DE"/>
        </w:rPr>
        <w:t xml:space="preserve">eine</w:t>
      </w:r>
      <w:r>
        <w:rPr>
          <w:lang w:val="de-DE"/>
        </w:rPr>
        <w:t xml:space="preserve"> </w:t>
      </w:r>
      <w:r>
        <w:rPr>
          <w:lang w:val="de-DE"/>
        </w:rPr>
        <w:t xml:space="preserve">Nutzdatendatei zu erstellen (Anlage 1, Abschnitt 3 und 5.3.1). Ihr IK steht im</w:t>
      </w:r>
      <w:r>
        <w:rPr>
          <w:lang w:val="de-DE"/>
        </w:rPr>
        <w:t xml:space="preserve"> </w:t>
      </w:r>
      <w:r>
        <w:rPr>
          <w:rStyle w:val="VerbatimChar"/>
          <w:lang w:val="de-DE"/>
        </w:rPr>
        <w:t xml:space="preserve">UNB</w:t>
      </w:r>
      <w:r>
        <w:rPr>
          <w:lang w:val="de-DE"/>
        </w:rPr>
        <w:t xml:space="preserve"> </w:t>
      </w:r>
      <w:r>
        <w:rPr>
          <w:lang w:val="de-DE"/>
        </w:rPr>
        <w:t xml:space="preserve">als Empfänger.</w:t>
      </w:r>
    </w:p>
    <w:p>
      <w:pPr>
        <w:pStyle w:val="BodyText"/>
      </w:pPr>
      <w:r>
        <w:rPr>
          <w:b/>
          <w:bCs/>
          <w:lang w:val="de-DE"/>
        </w:rPr>
        <w:t xml:space="preserve">Zu jeder Nutzdatendatei gehört eine Auftragsdatei.</w:t>
      </w:r>
      <w:r>
        <w:rPr>
          <w:lang w:val="de-DE"/>
        </w:rPr>
        <w:t xml:space="preserve"> </w:t>
      </w:r>
      <w:r>
        <w:rPr>
          <w:lang w:val="de-DE"/>
        </w:rPr>
        <w:t xml:space="preserve">Sie geht unverschlüsselt voraus und trägt die Transportangaben; ohne sie scheitert die Lieferung bereits in Prüfstufe 1, die ausdrücklich prüft, „ob die Dateien paarweise übermittelt” wurden.</w:t>
      </w:r>
    </w:p>
    <w:p>
      <w:pPr>
        <w:pStyle w:val="BodyText"/>
      </w:pPr>
      <w:r>
        <w:rPr>
          <w:b/>
          <w:bCs/>
          <w:lang w:val="de-DE"/>
        </w:rPr>
        <w:t xml:space="preserve">Die Erprobung ist vorgeschrieben, nicht optional.</w:t>
      </w:r>
      <w:r>
        <w:rPr>
          <w:lang w:val="de-DE"/>
        </w:rPr>
        <w:t xml:space="preserve"> </w:t>
      </w:r>
      <w:r>
        <w:rPr>
          <w:lang w:val="de-DE"/>
        </w:rPr>
        <w:t xml:space="preserve">Vor der erstmaligen Durchführung und vor jeder Änderung des Verfahrens sind die Einzelheiten mit dem Empfänger abzustimmen und die ordnungsgemäße Verarbeitung zu erproben (Anlage 1, Abschnitt 2).</w:t>
      </w:r>
    </w:p>
    <w:bookmarkEnd w:id="33"/>
    <w:bookmarkStart w:id="35" w:name="X0de51972567ef01cca32833bc9fdaaf060ee2f9"/>
    <w:p>
      <w:pPr>
        <w:pStyle w:val="Heading2"/>
      </w:pPr>
      <w:r>
        <w:rPr>
          <w:lang w:val="de-DE"/>
        </w:rPr>
        <w:t xml:space="preserve">Wer der Empfänger ist — und wie man ihn findet</w:t>
      </w:r>
    </w:p>
    <w:p>
      <w:pPr>
        <w:pStyle w:val="FirstParagraph"/>
      </w:pPr>
      <w:r>
        <w:rPr>
          <w:lang w:val="de-DE"/>
        </w:rPr>
        <w:t xml:space="preserve">Die Zuordnung steht in der</w:t>
      </w:r>
      <w:r>
        <w:rPr>
          <w:lang w:val="de-DE"/>
        </w:rPr>
        <w:t xml:space="preserve"> </w:t>
      </w:r>
      <w:r>
        <w:rPr>
          <w:b/>
          <w:bCs/>
          <w:lang w:val="de-DE"/>
        </w:rPr>
        <w:t xml:space="preserve">Kostenträgerdatei</w:t>
      </w:r>
      <w:r>
        <w:rPr>
          <w:lang w:val="de-DE"/>
        </w:rPr>
        <w:t xml:space="preserve">, die jeder Kassenartenverband vierteljährlich veröffentlicht (</w:t>
      </w:r>
      <w:hyperlink r:id="rId34">
        <w:r>
          <w:rPr>
            <w:rStyle w:val="Hyperlink"/>
            <w:lang w:val="de-DE"/>
          </w:rPr>
          <w:t xml:space="preserve">Kostenträgerdateien SLE</w:t>
        </w:r>
      </w:hyperlink>
      <w:r>
        <w:rPr>
          <w:lang w:val="de-DE"/>
        </w:rPr>
        <w:t xml:space="preserve">). Sie ist selbst eine EDIFACT-Datei mit der Endung</w:t>
      </w:r>
      <w:r>
        <w:rPr>
          <w:lang w:val="de-DE"/>
        </w:rPr>
        <w:t xml:space="preserve"> </w:t>
      </w:r>
      <w:r>
        <w:rPr>
          <w:rStyle w:val="VerbatimChar"/>
          <w:lang w:val="de-DE"/>
        </w:rPr>
        <w:t xml:space="preserve">.KE0</w:t>
      </w:r>
      <w:r>
        <w:rPr>
          <w:lang w:val="de-DE"/>
        </w:rPr>
        <w:t xml:space="preserve">,</w:t>
      </w:r>
      <w:r>
        <w:rPr>
          <w:lang w:val="de-DE"/>
        </w:rPr>
        <w:t xml:space="preserve"> </w:t>
      </w:r>
      <w:r>
        <w:rPr>
          <w:rStyle w:val="VerbatimChar"/>
          <w:lang w:val="de-DE"/>
        </w:rPr>
        <w:t xml:space="preserve">.KE1</w:t>
      </w:r>
      <w:r>
        <w:rPr>
          <w:lang w:val="de-DE"/>
        </w:rPr>
        <w:t xml:space="preserve"> </w:t>
      </w:r>
      <w:r>
        <w:rPr>
          <w:lang w:val="de-DE"/>
        </w:rPr>
        <w:t xml:space="preserve">und so fort — im selben Segmentstil wie unsere Nutzdaten, das Programm könnte sie mit dem vorhandenen Leser verarbeiten.</w:t>
      </w:r>
    </w:p>
    <w:p>
      <w:pPr>
        <w:pStyle w:val="BodyText"/>
      </w:pPr>
      <w:r>
        <w:rPr>
          <w:lang w:val="de-DE"/>
        </w:rPr>
        <w:t xml:space="preserve">Der Weg von der Kasse auf der Versichertenkarte zur Annahmestelle geht über drei Segmente:</w:t>
      </w:r>
    </w:p>
    <w:p>
      <w:pPr>
        <w:pStyle w:val="SourceCode"/>
      </w:pPr>
      <w:r>
        <w:rPr>
          <w:rStyle w:val="VerbatimChar"/>
          <w:lang w:val="de-DE"/>
        </w:rPr>
        <w:t xml:space="preserve">IDK   IK der Versichertenkarte</w:t>
      </w:r>
      <w:r>
        <w:br/>
      </w:r>
      <w:r>
        <w:rPr>
          <w:rStyle w:val="VerbatimChar"/>
          <w:lang w:val="de-DE"/>
        </w:rPr>
        <w:t xml:space="preserve"> └─ VKG+01+&lt;IK&gt;            → Verweis auf den Kostenträger</w:t>
      </w:r>
      <w:r>
        <w:br/>
      </w:r>
      <w:r>
        <w:rPr>
          <w:rStyle w:val="VerbatimChar"/>
          <w:lang w:val="de-DE"/>
        </w:rPr>
        <w:t xml:space="preserve">      └─ VKG+03+&lt;IK&gt;+…+50  → Datenannahmestelle MIT Entschlüsselungsbefugnis</w:t>
      </w:r>
      <w:r>
        <w:br/>
      </w:r>
      <w:r>
        <w:rPr>
          <w:rStyle w:val="VerbatimChar"/>
          <w:lang w:val="de-DE"/>
        </w:rPr>
        <w:t xml:space="preserve">           │                 (VKG+02 wäre ein Netzbetreiber OHNE)</w:t>
      </w:r>
      <w:r>
        <w:br/>
      </w:r>
      <w:r>
        <w:rPr>
          <w:rStyle w:val="VerbatimChar"/>
          <w:lang w:val="de-DE"/>
        </w:rPr>
        <w:t xml:space="preserve">           └─ DFU           → die Adresse: 070 E-Mail, 016 FTAM, 080 KIM</w:t>
      </w:r>
    </w:p>
    <w:p>
      <w:pPr>
        <w:pStyle w:val="FirstParagraph"/>
      </w:pPr>
      <w:r>
        <w:rPr>
          <w:lang w:val="de-DE"/>
        </w:rPr>
        <w:t xml:space="preserve">Das</w:t>
      </w:r>
      <w:r>
        <w:rPr>
          <w:lang w:val="de-DE"/>
        </w:rPr>
        <w:t xml:space="preserve"> </w:t>
      </w:r>
      <w:r>
        <w:rPr>
          <w:rStyle w:val="VerbatimChar"/>
          <w:lang w:val="de-DE"/>
        </w:rPr>
        <w:t xml:space="preserve">VKG</w:t>
      </w:r>
      <w:r>
        <w:rPr>
          <w:lang w:val="de-DE"/>
        </w:rPr>
        <w:t xml:space="preserve">-Segment trägt an vorletzter Stelle den</w:t>
      </w:r>
      <w:r>
        <w:rPr>
          <w:lang w:val="de-DE"/>
        </w:rPr>
        <w:t xml:space="preserve"> </w:t>
      </w:r>
      <w:r>
        <w:rPr>
          <w:b/>
          <w:bCs/>
          <w:lang w:val="de-DE"/>
        </w:rPr>
        <w:t xml:space="preserve">Abrechnungscode</w:t>
      </w:r>
      <w:r>
        <w:rPr>
          <w:lang w:val="de-DE"/>
        </w:rPr>
        <w:t xml:space="preserve">. Für Hebammenhilfe ist das die</w:t>
      </w:r>
      <w:r>
        <w:rPr>
          <w:lang w:val="de-DE"/>
        </w:rPr>
        <w:t xml:space="preserve"> </w:t>
      </w:r>
      <w:r>
        <w:rPr>
          <w:b/>
          <w:bCs/>
          <w:lang w:val="de-DE"/>
        </w:rPr>
        <w:t xml:space="preserve">50</w:t>
      </w:r>
      <w:r>
        <w:rPr>
          <w:lang w:val="de-DE"/>
        </w:rPr>
        <w:t xml:space="preserve">; nur die Verweise mit dieser Ausprägung gelten für uns.</w:t>
      </w:r>
    </w:p>
    <w:p>
      <w:pPr>
        <w:pStyle w:val="BodyText"/>
      </w:pPr>
      <w:r>
        <w:rPr>
          <w:lang w:val="de-DE"/>
        </w:rPr>
        <w:t xml:space="preserve">Ein Beispiel aus den Dateien vom Sommer 2026, nachgeschlagen und nicht angenommen: sowohl der AOK-Bundesverband als auch der Verband der Ersatzkassen führen für den Abrechnungscode 50 dieselbe Stelle — die</w:t>
      </w:r>
      <w:r>
        <w:rPr>
          <w:lang w:val="de-DE"/>
        </w:rPr>
        <w:t xml:space="preserve"> </w:t>
      </w:r>
      <w:r>
        <w:rPr>
          <w:b/>
          <w:bCs/>
          <w:lang w:val="de-DE"/>
        </w:rPr>
        <w:t xml:space="preserve">IQVIA Health System Services GmbH, IK 661430035</w:t>
      </w:r>
      <w:r>
        <w:rPr>
          <w:lang w:val="de-DE"/>
        </w:rPr>
        <w:t xml:space="preserve">, erreichbar über</w:t>
      </w:r>
      <w:r>
        <w:rPr>
          <w:lang w:val="de-DE"/>
        </w:rPr>
        <w:t xml:space="preserve"> </w:t>
      </w:r>
      <w:r>
        <w:rPr>
          <w:rStyle w:val="VerbatimChar"/>
          <w:lang w:val="de-DE"/>
        </w:rPr>
        <w:t xml:space="preserve">edi302@iqvia-hss.de</w:t>
      </w:r>
      <w:r>
        <w:rPr>
          <w:lang w:val="de-DE"/>
        </w:rPr>
        <w:t xml:space="preserve"> </w:t>
      </w:r>
      <w:r>
        <w:rPr>
          <w:lang w:val="de-DE"/>
        </w:rPr>
        <w:t xml:space="preserve">und über FTAM. Aus 23 Kassen im heutigen</w:t>
      </w:r>
      <w:r>
        <w:rPr>
          <w:lang w:val="de-DE"/>
        </w:rPr>
        <w:t xml:space="preserve"> </w:t>
      </w:r>
      <w:r>
        <w:rPr>
          <w:rStyle w:val="VerbatimChar"/>
          <w:lang w:val="de-DE"/>
        </w:rPr>
        <w:t xml:space="preserve">billing-office-endpoints.json</w:t>
      </w:r>
      <w:r>
        <w:rPr>
          <w:lang w:val="de-DE"/>
        </w:rPr>
        <w:t xml:space="preserve"> </w:t>
      </w:r>
      <w:r>
        <w:rPr>
          <w:lang w:val="de-DE"/>
        </w:rPr>
        <w:t xml:space="preserve">wird damit eine sehr viel kürzere Liste.</w:t>
      </w:r>
    </w:p>
    <w:p>
      <w:pPr>
        <w:pStyle w:val="BlockText"/>
      </w:pPr>
      <w:r>
        <w:rPr>
          <w:lang w:val="de-DE"/>
        </w:rPr>
        <w:t xml:space="preserve">Der Befund gilt für die Dateien vom Juli und Oktober 2026 und für die dort geführten Kassenarten. Er ersetzt keine eigene Abfrage: die Dateien ändern sich vierteljährlich, und für BKK, IKK, Knappschaft und die landwirtschaftlichen Kassen ist er nicht geprüft.</w:t>
      </w:r>
    </w:p>
    <w:bookmarkEnd w:id="35"/>
    <w:bookmarkStart w:id="36" w:name="wie-die-datei-übertragen-wird"/>
    <w:p>
      <w:pPr>
        <w:pStyle w:val="Heading2"/>
      </w:pPr>
      <w:r>
        <w:rPr>
          <w:lang w:val="de-DE"/>
        </w:rPr>
        <w:t xml:space="preserve">Wie die Datei übertragen wird</w:t>
      </w:r>
    </w:p>
    <w:p>
      <w:pPr>
        <w:pStyle w:val="FirstParagraph"/>
      </w:pPr>
      <w:r>
        <w:rPr>
          <w:lang w:val="de-DE"/>
        </w:rPr>
        <w:t xml:space="preserve">Nach Anhang 1, Abschnitt 4.1 ist</w:t>
      </w:r>
      <w:r>
        <w:rPr>
          <w:lang w:val="de-DE"/>
        </w:rPr>
        <w:t xml:space="preserve"> </w:t>
      </w:r>
      <w:r>
        <w:rPr>
          <w:b/>
          <w:bCs/>
          <w:lang w:val="de-DE"/>
        </w:rPr>
        <w:t xml:space="preserve">die Datenfernübertragung der Regelfall</w:t>
      </w:r>
      <w:r>
        <w:rPr>
          <w:lang w:val="de-DE"/>
        </w:rPr>
        <w:t xml:space="preserve">; Datenträger sind nur zulässig, wenn eine Übertragung technisch oder wirtschaftlich nicht möglich ist. Die Kosten trägt der Absender.</w:t>
      </w:r>
    </w:p>
    <w:p>
      <w:pPr>
        <w:pStyle w:val="BodyText"/>
      </w:pPr>
      <w:r>
        <w:rPr>
          <w:lang w:val="de-DE"/>
        </w:rPr>
        <w:t xml:space="preserve">Zugelassen sind: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Schlüssel</w:t>
            </w:r>
          </w:p>
        </w:tc>
        <w:tc>
          <w:tcPr/>
          <w:p>
            <w:pPr>
              <w:pStyle w:val="Compact"/>
            </w:pPr>
            <w:r>
              <w:rPr>
                <w:lang w:val="de-DE"/>
              </w:rPr>
              <w:t xml:space="preserve">Weg</w:t>
            </w:r>
          </w:p>
        </w:tc>
        <w:tc>
          <w:tcPr/>
          <w:p>
            <w:pPr>
              <w:pStyle w:val="Compact"/>
            </w:pPr>
            <w:r>
              <w:rPr>
                <w:lang w:val="de-DE"/>
              </w:rPr>
              <w:t xml:space="preserve">Bemerkung</w:t>
            </w:r>
          </w:p>
        </w:tc>
      </w:tr>
      <w:tr>
        <w:tc>
          <w:tcPr/>
          <w:p>
            <w:pPr>
              <w:pStyle w:val="Compact"/>
            </w:pPr>
            <w:r>
              <w:rPr>
                <w:rStyle w:val="VerbatimChar"/>
                <w:lang w:val="de-DE"/>
              </w:rPr>
              <w:t xml:space="preserve">070</w:t>
            </w:r>
          </w:p>
        </w:tc>
        <w:tc>
          <w:tcPr/>
          <w:p>
            <w:pPr>
              <w:pStyle w:val="Compact"/>
            </w:pPr>
            <w:r>
              <w:rPr>
                <w:lang w:val="de-DE"/>
              </w:rPr>
              <w:t xml:space="preserve">E-Mail über das Internet</w:t>
            </w:r>
          </w:p>
        </w:tc>
        <w:tc>
          <w:tcPr/>
          <w:p>
            <w:pPr>
              <w:pStyle w:val="Compact"/>
            </w:pPr>
            <w:r>
              <w:rPr>
                <w:lang w:val="de-DE"/>
              </w:rPr>
              <w:t xml:space="preserve">heute der verbreitete Weg</w:t>
            </w:r>
          </w:p>
        </w:tc>
      </w:tr>
      <w:tr>
        <w:tc>
          <w:tcPr/>
          <w:p>
            <w:pPr>
              <w:pStyle w:val="Compact"/>
            </w:pPr>
            <w:r>
              <w:rPr>
                <w:rStyle w:val="VerbatimChar"/>
                <w:lang w:val="de-DE"/>
              </w:rPr>
              <w:t xml:space="preserve">016</w:t>
            </w:r>
          </w:p>
        </w:tc>
        <w:tc>
          <w:tcPr/>
          <w:p>
            <w:pPr>
              <w:pStyle w:val="Compact"/>
            </w:pPr>
            <w:r>
              <w:rPr>
                <w:lang w:val="de-DE"/>
              </w:rPr>
              <w:t xml:space="preserve">FTAM über TCP/IP</w:t>
            </w:r>
          </w:p>
        </w:tc>
        <w:tc>
          <w:tcPr/>
          <w:p>
            <w:pPr>
              <w:pStyle w:val="Compact"/>
            </w:pPr>
            <w:r>
              <w:rPr>
                <w:lang w:val="de-DE"/>
              </w:rPr>
              <w:t xml:space="preserve">für größere Mengen</w:t>
            </w:r>
          </w:p>
        </w:tc>
      </w:tr>
      <w:tr>
        <w:tc>
          <w:tcPr/>
          <w:p>
            <w:pPr>
              <w:pStyle w:val="Compact"/>
            </w:pPr>
            <w:r>
              <w:rPr>
                <w:rStyle w:val="VerbatimChar"/>
                <w:lang w:val="de-DE"/>
              </w:rPr>
              <w:t xml:space="preserve">080</w:t>
            </w:r>
          </w:p>
        </w:tc>
        <w:tc>
          <w:tcPr/>
          <w:p>
            <w:pPr>
              <w:pStyle w:val="Compact"/>
            </w:pPr>
            <w:r>
              <w:rPr>
                <w:lang w:val="de-DE"/>
              </w:rPr>
              <w:t xml:space="preserve">KIM-Mail in der Telematikinfrastruktur</w:t>
            </w:r>
          </w:p>
        </w:tc>
        <w:tc>
          <w:tcPr/>
          <w:p>
            <w:pPr>
              <w:pStyle w:val="Compact"/>
            </w:pPr>
            <w:r>
              <w:rPr>
                <w:lang w:val="de-DE"/>
              </w:rPr>
              <w:t xml:space="preserve">vorgesehen, aber noch von keiner Annahmestelle für Sonstige Leistungserbringer veröffentlicht</w:t>
            </w:r>
          </w:p>
        </w:tc>
      </w:tr>
    </w:tbl>
    <w:p>
      <w:pPr>
        <w:pStyle w:val="BodyText"/>
      </w:pPr>
      <w:r>
        <w:rPr>
          <w:b/>
          <w:bCs/>
          <w:lang w:val="de-DE"/>
        </w:rPr>
        <w:t xml:space="preserve">KIM ist der Weg, der die meiste Arbeit erspart</w:t>
      </w:r>
      <w:r>
        <w:rPr>
          <w:lang w:val="de-DE"/>
        </w:rPr>
        <w:t xml:space="preserve"> </w:t>
      </w:r>
      <w:r>
        <w:rPr>
          <w:lang w:val="de-DE"/>
        </w:rPr>
        <w:t xml:space="preserve">— und deshalb der, den man im Blick behalten sollte. Wird KIM verwendet, gelten nach GGT Anlage 20 die Vorgaben zu</w:t>
      </w:r>
      <w:r>
        <w:rPr>
          <w:lang w:val="de-DE"/>
        </w:rPr>
        <w:t xml:space="preserve"> </w:t>
      </w:r>
      <w:r>
        <w:rPr>
          <w:b/>
          <w:bCs/>
          <w:lang w:val="de-DE"/>
        </w:rPr>
        <w:t xml:space="preserve">Krankenkassenkommunikationssystem, Auftragsdatei und SECON ausdrücklich nicht</w:t>
      </w:r>
      <w:r>
        <w:rPr>
          <w:lang w:val="de-DE"/>
        </w:rPr>
        <w:t xml:space="preserve">; sie werden durch Komponenten der Telematikinfrastruktur ersetzt. Damit entfielen auf einen Schlag drei der aufwendigsten Bausteine. Voraussetzung sind ein TI-Anschluss und eine SMC-B; die Adresse der Kasse wird über das Verzeichnisdienst-Attribut</w:t>
      </w:r>
      <w:r>
        <w:rPr>
          <w:lang w:val="de-DE"/>
        </w:rPr>
        <w:t xml:space="preserve"> </w:t>
      </w:r>
      <w:r>
        <w:rPr>
          <w:rStyle w:val="VerbatimChar"/>
          <w:lang w:val="de-DE"/>
        </w:rPr>
        <w:t xml:space="preserve">domainID</w:t>
      </w:r>
      <w:r>
        <w:rPr>
          <w:lang w:val="de-DE"/>
        </w:rPr>
        <w:t xml:space="preserve"> </w:t>
      </w:r>
      <w:r>
        <w:rPr>
          <w:lang w:val="de-DE"/>
        </w:rPr>
        <w:t xml:space="preserve">= Haupt-IK gesucht.</w:t>
      </w:r>
    </w:p>
    <w:p>
      <w:pPr>
        <w:pStyle w:val="BodyText"/>
      </w:pPr>
      <w:r>
        <w:rPr>
          <w:lang w:val="de-DE"/>
        </w:rPr>
        <w:t xml:space="preserve">Solange keine Annahmestelle eine KIM-Adresse führt, bleibt es bei E-Mail mit verschlüsseltem Anhang.</w:t>
      </w:r>
    </w:p>
    <w:bookmarkEnd w:id="36"/>
    <w:bookmarkStart w:id="37" w:name="die-dateinamen-sind-vorgeschrieben"/>
    <w:p>
      <w:pPr>
        <w:pStyle w:val="Heading2"/>
      </w:pPr>
      <w:r>
        <w:rPr>
          <w:lang w:val="de-DE"/>
        </w:rPr>
        <w:t xml:space="preserve">Die Dateinamen sind vorgeschrieben</w:t>
      </w:r>
    </w:p>
    <w:p>
      <w:pPr>
        <w:pStyle w:val="FirstParagraph"/>
      </w:pPr>
      <w:r>
        <w:rPr>
          <w:lang w:val="de-DE"/>
        </w:rPr>
        <w:t xml:space="preserve">Beides stand bis zum 07.09.2026 falsch im Programm, und beides fällt in Prüfstufe 1 oder 2 auf.</w:t>
      </w:r>
    </w:p>
    <w:p>
      <w:pPr>
        <w:pStyle w:val="BodyText"/>
      </w:pPr>
      <w:r>
        <w:rPr>
          <w:b/>
          <w:bCs/>
          <w:lang w:val="de-DE"/>
        </w:rPr>
        <w:t xml:space="preserve">Logischer Dateiname</w:t>
      </w:r>
      <w:r>
        <w:rPr>
          <w:lang w:val="de-DE"/>
        </w:rPr>
        <w:t xml:space="preserve"> </w:t>
      </w:r>
      <w:r>
        <w:rPr>
          <w:lang w:val="de-DE"/>
        </w:rPr>
        <w:t xml:space="preserve">— elf Stellen, im</w:t>
      </w:r>
      <w:r>
        <w:rPr>
          <w:lang w:val="de-DE"/>
        </w:rPr>
        <w:t xml:space="preserve"> </w:t>
      </w:r>
      <w:r>
        <w:rPr>
          <w:rStyle w:val="VerbatimChar"/>
          <w:lang w:val="de-DE"/>
        </w:rPr>
        <w:t xml:space="preserve">UNB</w:t>
      </w:r>
      <w:r>
        <w:rPr>
          <w:lang w:val="de-DE"/>
        </w:rPr>
        <w:t xml:space="preserve"> </w:t>
      </w:r>
      <w:r>
        <w:rPr>
          <w:lang w:val="de-DE"/>
        </w:rPr>
        <w:t xml:space="preserve">als Anwendungsreferenz und im Feld „Dateiname” der Auftragsdatei, dort identisch (Anhang 1, Abschnitt 4.2):</w:t>
      </w:r>
    </w:p>
    <w:p>
      <w:pPr>
        <w:pStyle w:val="SourceCode"/>
      </w:pPr>
      <w:r>
        <w:rPr>
          <w:rStyle w:val="VerbatimChar"/>
          <w:lang w:val="de-DE"/>
        </w:rPr>
        <w:t xml:space="preserve">SL  191400  S  09</w:t>
      </w:r>
      <w:r>
        <w:br/>
      </w:r>
      <w:r>
        <w:rPr>
          <w:rStyle w:val="VerbatimChar"/>
          <w:lang w:val="de-DE"/>
        </w:rPr>
        <w:t xml:space="preserve">│   │       │  └─ Nummer des Abrechnungsmonats</w:t>
      </w:r>
      <w:r>
        <w:br/>
      </w:r>
      <w:r>
        <w:rPr>
          <w:rStyle w:val="VerbatimChar"/>
          <w:lang w:val="de-DE"/>
        </w:rPr>
        <w:t xml:space="preserve">│   │       └──── S = Selbstabrechner, A = Abrechnungsstelle</w:t>
      </w:r>
      <w:r>
        <w:br/>
      </w:r>
      <w:r>
        <w:rPr>
          <w:rStyle w:val="VerbatimChar"/>
          <w:lang w:val="de-DE"/>
        </w:rPr>
        <w:t xml:space="preserve">│   └──────────── Stellen 3 bis 8 des Absender-IK</w:t>
      </w:r>
      <w:r>
        <w:br/>
      </w:r>
      <w:r>
        <w:rPr>
          <w:rStyle w:val="VerbatimChar"/>
          <w:lang w:val="de-DE"/>
        </w:rPr>
        <w:t xml:space="preserve">└──────────────── „SL" für Sonstige Leistungserbringer</w:t>
      </w:r>
    </w:p>
    <w:p>
      <w:pPr>
        <w:pStyle w:val="FirstParagraph"/>
      </w:pPr>
      <w:r>
        <w:rPr>
          <w:b/>
          <w:bCs/>
          <w:lang w:val="de-DE"/>
        </w:rPr>
        <w:t xml:space="preserve">Physikalischer Dateiname</w:t>
      </w:r>
      <w:r>
        <w:rPr>
          <w:lang w:val="de-DE"/>
        </w:rPr>
        <w:t xml:space="preserve"> </w:t>
      </w:r>
      <w:r>
        <w:rPr>
          <w:lang w:val="de-DE"/>
        </w:rPr>
        <w:t xml:space="preserve">— acht Stellen, in der Auftragsdatei (Abschnitt 4.3):</w:t>
      </w:r>
      <w:r>
        <w:rPr>
          <w:lang w:val="de-DE"/>
        </w:rPr>
        <w:t xml:space="preserve"> </w:t>
      </w:r>
      <w:r>
        <w:rPr>
          <w:rStyle w:val="VerbatimChar"/>
          <w:lang w:val="de-DE"/>
        </w:rPr>
        <w:t xml:space="preserve">E</w:t>
      </w:r>
      <w:r>
        <w:rPr>
          <w:lang w:val="de-DE"/>
        </w:rPr>
        <w:t xml:space="preserve"> </w:t>
      </w:r>
      <w:r>
        <w:rPr>
          <w:lang w:val="de-DE"/>
        </w:rPr>
        <w:t xml:space="preserve">für Echtdaten oder</w:t>
      </w:r>
      <w:r>
        <w:rPr>
          <w:lang w:val="de-DE"/>
        </w:rPr>
        <w:t xml:space="preserve"> </w:t>
      </w:r>
      <w:r>
        <w:rPr>
          <w:rStyle w:val="VerbatimChar"/>
          <w:lang w:val="de-DE"/>
        </w:rPr>
        <w:t xml:space="preserve">T</w:t>
      </w:r>
      <w:r>
        <w:rPr>
          <w:lang w:val="de-DE"/>
        </w:rPr>
        <w:t xml:space="preserve"> </w:t>
      </w:r>
      <w:r>
        <w:rPr>
          <w:lang w:val="de-DE"/>
        </w:rPr>
        <w:t xml:space="preserve">für Testdaten, dann</w:t>
      </w:r>
      <w:r>
        <w:rPr>
          <w:lang w:val="de-DE"/>
        </w:rPr>
        <w:t xml:space="preserve"> </w:t>
      </w:r>
      <w:r>
        <w:rPr>
          <w:rStyle w:val="VerbatimChar"/>
          <w:lang w:val="de-DE"/>
        </w:rPr>
        <w:t xml:space="preserve">SOL</w:t>
      </w:r>
      <w:r>
        <w:rPr>
          <w:lang w:val="de-DE"/>
        </w:rPr>
        <w:t xml:space="preserve">, dann</w:t>
      </w:r>
      <w:r>
        <w:rPr>
          <w:lang w:val="de-DE"/>
        </w:rPr>
        <w:t xml:space="preserve"> </w:t>
      </w:r>
      <w:r>
        <w:rPr>
          <w:rStyle w:val="VerbatimChar"/>
          <w:lang w:val="de-DE"/>
        </w:rPr>
        <w:t xml:space="preserve">0</w:t>
      </w:r>
      <w:r>
        <w:rPr>
          <w:lang w:val="de-DE"/>
        </w:rPr>
        <w:t xml:space="preserve">, dann eine dreistellige Transfernummer. Also</w:t>
      </w:r>
      <w:r>
        <w:rPr>
          <w:lang w:val="de-DE"/>
        </w:rPr>
        <w:t xml:space="preserve"> </w:t>
      </w:r>
      <w:r>
        <w:rPr>
          <w:rStyle w:val="VerbatimChar"/>
          <w:lang w:val="de-DE"/>
        </w:rPr>
        <w:t xml:space="preserve">ESOL0001</w:t>
      </w:r>
      <w:r>
        <w:rPr>
          <w:lang w:val="de-DE"/>
        </w:rPr>
        <w:t xml:space="preserve">,</w:t>
      </w:r>
      <w:r>
        <w:rPr>
          <w:lang w:val="de-DE"/>
        </w:rPr>
        <w:t xml:space="preserve"> </w:t>
      </w:r>
      <w:r>
        <w:rPr>
          <w:rStyle w:val="VerbatimChar"/>
          <w:lang w:val="de-DE"/>
        </w:rPr>
        <w:t xml:space="preserve">TSOL0001</w:t>
      </w:r>
      <w:r>
        <w:rPr>
          <w:lang w:val="de-DE"/>
        </w:rPr>
        <w:t xml:space="preserve">.</w:t>
      </w:r>
    </w:p>
    <w:bookmarkEnd w:id="37"/>
    <w:bookmarkStart w:id="38" w:name="test-und-erprobung"/>
    <w:p>
      <w:pPr>
        <w:pStyle w:val="Heading2"/>
      </w:pPr>
      <w:r>
        <w:rPr>
          <w:lang w:val="de-DE"/>
        </w:rPr>
        <w:t xml:space="preserve">Test und Erprobung</w:t>
      </w:r>
    </w:p>
    <w:p>
      <w:pPr>
        <w:pStyle w:val="FirstParagraph"/>
      </w:pPr>
      <w:r>
        <w:rPr>
          <w:lang w:val="de-DE"/>
        </w:rPr>
        <w:t xml:space="preserve">Anhang 2 unterscheidet zwei Stufen, und der Unterschied ist praktisch bedeutsam: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de-DE"/>
              </w:rPr>
              <w:t xml:space="preserve">Testverfahren</w:t>
            </w:r>
          </w:p>
        </w:tc>
        <w:tc>
          <w:tcPr/>
          <w:p>
            <w:pPr>
              <w:pStyle w:val="Compact"/>
            </w:pPr>
            <w:r>
              <w:rPr>
                <w:lang w:val="de-DE"/>
              </w:rPr>
              <w:t xml:space="preserve">Erprobungsverfahren</w:t>
            </w:r>
          </w:p>
        </w:tc>
      </w:tr>
      <w:tr>
        <w:tc>
          <w:tcPr/>
          <w:p>
            <w:pPr>
              <w:pStyle w:val="Compact"/>
            </w:pPr>
            <w:r>
              <w:rPr>
                <w:lang w:val="de-DE"/>
              </w:rPr>
              <w:t xml:space="preserve">Wann</w:t>
            </w:r>
          </w:p>
        </w:tc>
        <w:tc>
          <w:tcPr/>
          <w:p>
            <w:pPr>
              <w:pStyle w:val="Compact"/>
            </w:pPr>
            <w:r>
              <w:rPr>
                <w:lang w:val="de-DE"/>
              </w:rPr>
              <w:t xml:space="preserve">vor der Erprobung, bei Versionswechseln</w:t>
            </w:r>
          </w:p>
        </w:tc>
        <w:tc>
          <w:tcPr/>
          <w:p>
            <w:pPr>
              <w:pStyle w:val="Compact"/>
            </w:pPr>
            <w:r>
              <w:rPr>
                <w:lang w:val="de-DE"/>
              </w:rPr>
              <w:t xml:space="preserve">vor dem Echtbetrieb</w:t>
            </w:r>
          </w:p>
        </w:tc>
      </w:tr>
      <w:tr>
        <w:tc>
          <w:tcPr/>
          <w:p>
            <w:pPr>
              <w:pStyle w:val="Compact"/>
            </w:pPr>
            <w:r>
              <w:rPr>
                <w:lang w:val="de-DE"/>
              </w:rPr>
              <w:t xml:space="preserve">Testindikator im</w:t>
            </w:r>
            <w:r>
              <w:rPr>
                <w:lang w:val="de-DE"/>
              </w:rPr>
              <w:t xml:space="preserve"> </w:t>
            </w:r>
            <w:r>
              <w:rPr>
                <w:rStyle w:val="VerbatimChar"/>
                <w:lang w:val="de-DE"/>
              </w:rPr>
              <w:t xml:space="preserve">UNB</w:t>
            </w:r>
          </w:p>
        </w:tc>
        <w:tc>
          <w:tcPr/>
          <w:p>
            <w:pPr>
              <w:pStyle w:val="Compact"/>
            </w:pPr>
            <w:r>
              <w:rPr>
                <w:rStyle w:val="VerbatimChar"/>
                <w:lang w:val="de-DE"/>
              </w:rPr>
              <w:t xml:space="preserve">0</w:t>
            </w:r>
          </w:p>
        </w:tc>
        <w:tc>
          <w:tcPr/>
          <w:p>
            <w:pPr>
              <w:pStyle w:val="Compact"/>
            </w:pPr>
            <w:r>
              <w:rPr>
                <w:rStyle w:val="VerbatimChar"/>
                <w:lang w:val="de-DE"/>
              </w:rPr>
              <w:t xml:space="preserve">1</w:t>
            </w:r>
          </w:p>
        </w:tc>
      </w:tr>
      <w:tr>
        <w:tc>
          <w:tcPr/>
          <w:p>
            <w:pPr>
              <w:pStyle w:val="Compact"/>
            </w:pPr>
            <w:r>
              <w:rPr>
                <w:lang w:val="de-DE"/>
              </w:rPr>
              <w:t xml:space="preserve">Physikalischer Name</w:t>
            </w:r>
          </w:p>
        </w:tc>
        <w:tc>
          <w:tcPr/>
          <w:p>
            <w:pPr>
              <w:pStyle w:val="Compact"/>
            </w:pPr>
            <w:r>
              <w:rPr>
                <w:rStyle w:val="VerbatimChar"/>
                <w:lang w:val="de-DE"/>
              </w:rPr>
              <w:t xml:space="preserve">TSOL…</w:t>
            </w:r>
          </w:p>
        </w:tc>
        <w:tc>
          <w:tcPr/>
          <w:p>
            <w:pPr>
              <w:pStyle w:val="Compact"/>
            </w:pPr>
            <w:r>
              <w:rPr>
                <w:rStyle w:val="VerbatimChar"/>
                <w:lang w:val="de-DE"/>
              </w:rPr>
              <w:t xml:space="preserve">TSOL…</w:t>
            </w:r>
          </w:p>
        </w:tc>
      </w:tr>
      <w:tr>
        <w:tc>
          <w:tcPr/>
          <w:p>
            <w:pPr>
              <w:pStyle w:val="Compact"/>
            </w:pPr>
            <w:r>
              <w:rPr>
                <w:lang w:val="de-DE"/>
              </w:rPr>
              <w:t xml:space="preserve">Geprüft wird</w:t>
            </w:r>
          </w:p>
        </w:tc>
        <w:tc>
          <w:tcPr/>
          <w:p>
            <w:pPr>
              <w:pStyle w:val="Compact"/>
            </w:pPr>
            <w:r>
              <w:rPr>
                <w:lang w:val="de-DE"/>
              </w:rPr>
              <w:t xml:space="preserve">Prüfstufen 1 bis 3</w:t>
            </w:r>
          </w:p>
        </w:tc>
        <w:tc>
          <w:tcPr/>
          <w:p>
            <w:pPr>
              <w:pStyle w:val="Compact"/>
            </w:pPr>
            <w:r>
              <w:rPr>
                <w:lang w:val="de-DE"/>
              </w:rPr>
              <w:t xml:space="preserve">vollständige Verarbeitung</w:t>
            </w:r>
          </w:p>
        </w:tc>
      </w:tr>
      <w:tr>
        <w:tc>
          <w:tcPr/>
          <w:p>
            <w:pPr>
              <w:pStyle w:val="Compact"/>
            </w:pPr>
            <w:r>
              <w:rPr>
                <w:lang w:val="de-DE"/>
              </w:rPr>
              <w:t xml:space="preserve">Zahlung</w:t>
            </w:r>
          </w:p>
        </w:tc>
        <w:tc>
          <w:tcPr/>
          <w:p>
            <w:pPr>
              <w:pStyle w:val="Compact"/>
            </w:pPr>
            <w:r>
              <w:rPr>
                <w:lang w:val="de-DE"/>
              </w:rPr>
              <w:t xml:space="preserve">nein</w:t>
            </w:r>
          </w:p>
        </w:tc>
        <w:tc>
          <w:tcPr/>
          <w:p>
            <w:pPr>
              <w:pStyle w:val="Compact"/>
            </w:pPr>
            <w:r>
              <w:rPr>
                <w:lang w:val="de-DE"/>
              </w:rPr>
              <w:t xml:space="preserve">nein</w:t>
            </w:r>
          </w:p>
        </w:tc>
      </w:tr>
      <w:tr>
        <w:tc>
          <w:tcPr/>
          <w:p>
            <w:pPr>
              <w:pStyle w:val="Compact"/>
            </w:pPr>
            <w:r>
              <w:rPr>
                <w:lang w:val="de-DE"/>
              </w:rPr>
              <w:t xml:space="preserve">Endet</w:t>
            </w:r>
          </w:p>
        </w:tc>
        <w:tc>
          <w:tcPr/>
          <w:p>
            <w:pPr>
              <w:pStyle w:val="Compact"/>
            </w:pPr>
            <w:r>
              <w:rPr>
                <w:lang w:val="de-DE"/>
              </w:rPr>
              <w:t xml:space="preserve">mit der Rückmeldung</w:t>
            </w:r>
          </w:p>
        </w:tc>
        <w:tc>
          <w:tcPr/>
          <w:p>
            <w:pPr>
              <w:pStyle w:val="Compact"/>
            </w:pPr>
            <w:r>
              <w:rPr>
                <w:lang w:val="de-DE"/>
              </w:rPr>
              <w:t xml:space="preserve">mit der</w:t>
            </w:r>
            <w:r>
              <w:rPr>
                <w:lang w:val="de-DE"/>
              </w:rPr>
              <w:t xml:space="preserve"> </w:t>
            </w:r>
            <w:r>
              <w:rPr>
                <w:b/>
                <w:bCs/>
                <w:lang w:val="de-DE"/>
              </w:rPr>
              <w:t xml:space="preserve">Zulassung zum Echtverfahren durch die Kasse</w:t>
            </w:r>
          </w:p>
        </w:tc>
      </w:tr>
    </w:tbl>
    <w:p>
      <w:pPr>
        <w:pStyle w:val="BodyText"/>
      </w:pPr>
      <w:r>
        <w:rPr>
          <w:lang w:val="de-DE"/>
        </w:rPr>
        <w:t xml:space="preserve">Zweierlei ist daran wichtig. Erstens:</w:t>
      </w:r>
      <w:r>
        <w:rPr>
          <w:lang w:val="de-DE"/>
        </w:rPr>
        <w:t xml:space="preserve"> </w:t>
      </w:r>
      <w:r>
        <w:rPr>
          <w:b/>
          <w:bCs/>
          <w:lang w:val="de-DE"/>
        </w:rPr>
        <w:t xml:space="preserve">man fragt nicht um einen Gefallen.</w:t>
      </w:r>
      <w:r>
        <w:rPr>
          <w:lang w:val="de-DE"/>
        </w:rPr>
        <w:t xml:space="preserve"> </w:t>
      </w:r>
      <w:r>
        <w:rPr>
          <w:lang w:val="de-DE"/>
        </w:rPr>
        <w:t xml:space="preserve">Die Spitzenverbände bieten das Prüfverfahren ausdrücklich auch Leistungserbringern an, „die ihre Abrechnungssoftware selbst entwickelt haben”. Es ist ein vorgesehener Weg, kein Entgegenkommen.</w:t>
      </w:r>
    </w:p>
    <w:p>
      <w:pPr>
        <w:pStyle w:val="BodyText"/>
      </w:pPr>
      <w:r>
        <w:rPr>
          <w:lang w:val="de-DE"/>
        </w:rPr>
        <w:t xml:space="preserve">Zweitens:</w:t>
      </w:r>
      <w:r>
        <w:rPr>
          <w:lang w:val="de-DE"/>
        </w:rPr>
        <w:t xml:space="preserve"> </w:t>
      </w:r>
      <w:r>
        <w:rPr>
          <w:b/>
          <w:bCs/>
          <w:lang w:val="de-DE"/>
        </w:rPr>
        <w:t xml:space="preserve">auch die Erprobungsdatei trägt den physikalischen Namen einer Testdatei.</w:t>
      </w:r>
      <w:r>
        <w:rPr>
          <w:lang w:val="de-DE"/>
        </w:rPr>
        <w:t xml:space="preserve"> </w:t>
      </w:r>
      <w:r>
        <w:rPr>
          <w:lang w:val="de-DE"/>
        </w:rPr>
        <w:t xml:space="preserve">Testindikator</w:t>
      </w:r>
      <w:r>
        <w:rPr>
          <w:lang w:val="de-DE"/>
        </w:rPr>
        <w:t xml:space="preserve"> </w:t>
      </w:r>
      <w:r>
        <w:rPr>
          <w:rStyle w:val="VerbatimChar"/>
          <w:lang w:val="de-DE"/>
        </w:rPr>
        <w:t xml:space="preserve">1</w:t>
      </w:r>
      <w:r>
        <w:rPr>
          <w:lang w:val="de-DE"/>
        </w:rPr>
        <w:t xml:space="preserve"> </w:t>
      </w:r>
      <w:r>
        <w:rPr>
          <w:lang w:val="de-DE"/>
        </w:rPr>
        <w:t xml:space="preserve">und</w:t>
      </w:r>
      <w:r>
        <w:rPr>
          <w:lang w:val="de-DE"/>
        </w:rPr>
        <w:t xml:space="preserve"> </w:t>
      </w:r>
      <w:r>
        <w:rPr>
          <w:rStyle w:val="VerbatimChar"/>
          <w:lang w:val="de-DE"/>
        </w:rPr>
        <w:t xml:space="preserve">TSOL</w:t>
      </w:r>
      <w:r>
        <w:rPr>
          <w:lang w:val="de-DE"/>
        </w:rPr>
        <w:t xml:space="preserve"> </w:t>
      </w:r>
      <w:r>
        <w:rPr>
          <w:lang w:val="de-DE"/>
        </w:rPr>
        <w:t xml:space="preserve">gehören zusammen — eine Erprobungsdatei mit</w:t>
      </w:r>
      <w:r>
        <w:rPr>
          <w:lang w:val="de-DE"/>
        </w:rPr>
        <w:t xml:space="preserve"> </w:t>
      </w:r>
      <w:r>
        <w:rPr>
          <w:rStyle w:val="VerbatimChar"/>
          <w:lang w:val="de-DE"/>
        </w:rPr>
        <w:t xml:space="preserve">ESOL</w:t>
      </w:r>
      <w:r>
        <w:rPr>
          <w:lang w:val="de-DE"/>
        </w:rPr>
        <w:t xml:space="preserve"> </w:t>
      </w:r>
      <w:r>
        <w:rPr>
          <w:lang w:val="de-DE"/>
        </w:rPr>
        <w:t xml:space="preserve">wäre in sich widersprüchlich.</w:t>
      </w:r>
    </w:p>
    <w:bookmarkEnd w:id="38"/>
    <w:bookmarkStart w:id="39" w:name="was-das-programm-davon-leistet"/>
    <w:p>
      <w:pPr>
        <w:pStyle w:val="Heading2"/>
      </w:pPr>
      <w:r>
        <w:rPr>
          <w:lang w:val="de-DE"/>
        </w:rPr>
        <w:t xml:space="preserve">Was das Programm davon leistet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DE"/>
              </w:rPr>
              <w:t xml:space="preserve">Schritt</w:t>
            </w:r>
          </w:p>
        </w:tc>
        <w:tc>
          <w:tcPr/>
          <w:p>
            <w:pPr>
              <w:pStyle w:val="Compact"/>
            </w:pPr>
            <w:r>
              <w:rPr>
                <w:lang w:val="de-DE"/>
              </w:rPr>
              <w:t xml:space="preserve">Stand</w:t>
            </w:r>
          </w:p>
        </w:tc>
      </w:tr>
      <w:tr>
        <w:tc>
          <w:tcPr/>
          <w:p>
            <w:pPr>
              <w:pStyle w:val="Compact"/>
            </w:pPr>
            <w:r>
              <w:rPr>
                <w:lang w:val="de-DE"/>
              </w:rPr>
              <w:t xml:space="preserve">Nutzdaten erzeugen (SLGA + SLLA)</w:t>
            </w:r>
          </w:p>
        </w:tc>
        <w:tc>
          <w:tcPr/>
          <w:p>
            <w:pPr>
              <w:pStyle w:val="Compact"/>
            </w:pPr>
            <w:r>
              <w:rPr>
                <w:lang w:val="de-DE"/>
              </w:rPr>
              <w:t xml:space="preserve">vollständig</w:t>
            </w:r>
          </w:p>
        </w:tc>
      </w:tr>
      <w:tr>
        <w:tc>
          <w:tcPr/>
          <w:p>
            <w:pPr>
              <w:pStyle w:val="Compact"/>
            </w:pPr>
            <w:r>
              <w:rPr>
                <w:lang w:val="de-DE"/>
              </w:rPr>
              <w:t xml:space="preserve">Prüfstufen 1 bis 3 vorab selbst durchlaufen</w:t>
            </w:r>
          </w:p>
        </w:tc>
        <w:tc>
          <w:tcPr/>
          <w:p>
            <w:pPr>
              <w:pStyle w:val="Compact"/>
            </w:pPr>
            <w:r>
              <w:rPr>
                <w:lang w:val="de-DE"/>
              </w:rPr>
              <w:t xml:space="preserve">weitgehend, acht Regeln</w:t>
            </w:r>
          </w:p>
        </w:tc>
      </w:tr>
      <w:tr>
        <w:tc>
          <w:tcPr/>
          <w:p>
            <w:pPr>
              <w:pStyle w:val="Compact"/>
            </w:pPr>
            <w:r>
              <w:rPr>
                <w:lang w:val="de-DE"/>
              </w:rPr>
              <w:t xml:space="preserve">Datenaustauschreferenz fortlaufend und dauerhaft vergeben</w:t>
            </w:r>
          </w:p>
        </w:tc>
        <w:tc>
          <w:tcPr/>
          <w:p>
            <w:pPr>
              <w:pStyle w:val="Compact"/>
            </w:pPr>
            <w:r>
              <w:rPr>
                <w:lang w:val="de-DE"/>
              </w:rPr>
              <w:t xml:space="preserve">vollständig</w:t>
            </w:r>
          </w:p>
        </w:tc>
      </w:tr>
      <w:tr>
        <w:tc>
          <w:tcPr/>
          <w:p>
            <w:pPr>
              <w:pStyle w:val="Compact"/>
            </w:pPr>
            <w:r>
              <w:rPr>
                <w:lang w:val="de-DE"/>
              </w:rPr>
              <w:t xml:space="preserve">Art der Datei (Test / Erprobung / Echt)</w:t>
            </w:r>
          </w:p>
        </w:tc>
        <w:tc>
          <w:tcPr/>
          <w:p>
            <w:pPr>
              <w:pStyle w:val="Compact"/>
            </w:pPr>
            <w:r>
              <w:rPr>
                <w:lang w:val="de-DE"/>
              </w:rPr>
              <w:t xml:space="preserve">einstellbar</w:t>
            </w:r>
          </w:p>
        </w:tc>
      </w:tr>
      <w:tr>
        <w:tc>
          <w:tcPr/>
          <w:p>
            <w:pPr>
              <w:pStyle w:val="Compact"/>
            </w:pPr>
            <w:r>
              <w:rPr>
                <w:lang w:val="de-DE"/>
              </w:rPr>
              <w:t xml:space="preserve">Leistungsbereich im</w:t>
            </w:r>
            <w:r>
              <w:rPr>
                <w:lang w:val="de-DE"/>
              </w:rPr>
              <w:t xml:space="preserve"> </w:t>
            </w:r>
            <w:r>
              <w:rPr>
                <w:rStyle w:val="VerbatimChar"/>
                <w:lang w:val="de-DE"/>
              </w:rPr>
              <w:t xml:space="preserve">UNB</w:t>
            </w:r>
            <w:r>
              <w:rPr>
                <w:lang w:val="de-DE"/>
              </w:rPr>
              <w:t xml:space="preserve"> </w:t>
            </w:r>
            <w:r>
              <w:rPr>
                <w:lang w:val="de-DE"/>
              </w:rPr>
              <w:t xml:space="preserve">aus dem Abrechnungscode</w:t>
            </w:r>
          </w:p>
        </w:tc>
        <w:tc>
          <w:tcPr/>
          <w:p>
            <w:pPr>
              <w:pStyle w:val="Compact"/>
            </w:pPr>
            <w:r>
              <w:rPr>
                <w:b/>
                <w:bCs/>
                <w:lang w:val="de-DE"/>
              </w:rPr>
              <w:t xml:space="preserve">seit 07.09.2026</w:t>
            </w:r>
          </w:p>
        </w:tc>
      </w:tr>
      <w:tr>
        <w:tc>
          <w:tcPr/>
          <w:p>
            <w:pPr>
              <w:pStyle w:val="Compact"/>
            </w:pPr>
            <w:r>
              <w:rPr>
                <w:lang w:val="de-DE"/>
              </w:rPr>
              <w:t xml:space="preserve">Logischer Dateiname nach Anhang 1</w:t>
            </w:r>
          </w:p>
        </w:tc>
        <w:tc>
          <w:tcPr/>
          <w:p>
            <w:pPr>
              <w:pStyle w:val="Compact"/>
            </w:pPr>
            <w:r>
              <w:rPr>
                <w:b/>
                <w:bCs/>
                <w:lang w:val="de-DE"/>
              </w:rPr>
              <w:t xml:space="preserve">seit 07.09.2026</w:t>
            </w:r>
          </w:p>
        </w:tc>
      </w:tr>
      <w:tr>
        <w:tc>
          <w:tcPr/>
          <w:p>
            <w:pPr>
              <w:pStyle w:val="Compact"/>
            </w:pPr>
            <w:r>
              <w:rPr>
                <w:lang w:val="de-DE"/>
              </w:rPr>
              <w:t xml:space="preserve">Physikalischer Dateiname</w:t>
            </w:r>
          </w:p>
        </w:tc>
        <w:tc>
          <w:tcPr/>
          <w:p>
            <w:pPr>
              <w:pStyle w:val="Compact"/>
            </w:pPr>
            <w:r>
              <w:rPr>
                <w:lang w:val="de-DE"/>
              </w:rPr>
              <w:t xml:space="preserve">fehlt — gehört zur Auftragsdatei</w:t>
            </w:r>
          </w:p>
        </w:tc>
      </w:tr>
      <w:tr>
        <w:tc>
          <w:tcPr/>
          <w:p>
            <w:pPr>
              <w:pStyle w:val="Compact"/>
            </w:pPr>
            <w:r>
              <w:rPr>
                <w:lang w:val="de-DE"/>
              </w:rPr>
              <w:t xml:space="preserve">Auftragsdatei</w:t>
            </w:r>
          </w:p>
        </w:tc>
        <w:tc>
          <w:tcPr/>
          <w:p>
            <w:pPr>
              <w:pStyle w:val="Compact"/>
            </w:pPr>
            <w:r>
              <w:rPr>
                <w:b/>
                <w:bCs/>
                <w:lang w:val="de-DE"/>
              </w:rPr>
              <w:t xml:space="preserve">fehlt</w:t>
            </w:r>
          </w:p>
        </w:tc>
      </w:tr>
      <w:tr>
        <w:tc>
          <w:tcPr/>
          <w:p>
            <w:pPr>
              <w:pStyle w:val="Compact"/>
            </w:pPr>
            <w:r>
              <w:rPr>
                <w:lang w:val="de-DE"/>
              </w:rPr>
              <w:t xml:space="preserve">Verschlüsselung</w:t>
            </w:r>
          </w:p>
        </w:tc>
        <w:tc>
          <w:tcPr/>
          <w:p>
            <w:pPr>
              <w:pStyle w:val="Compact"/>
            </w:pPr>
            <w:r>
              <w:rPr>
                <w:b/>
                <w:bCs/>
                <w:lang w:val="de-DE"/>
              </w:rPr>
              <w:t xml:space="preserve">fehlt</w:t>
            </w:r>
          </w:p>
        </w:tc>
      </w:tr>
      <w:tr>
        <w:tc>
          <w:tcPr/>
          <w:p>
            <w:pPr>
              <w:pStyle w:val="Compact"/>
            </w:pPr>
            <w:r>
              <w:rPr>
                <w:lang w:val="de-DE"/>
              </w:rPr>
              <w:t xml:space="preserve">Zuordnung zur Datenannahmestelle statt zur Kasse</w:t>
            </w:r>
          </w:p>
        </w:tc>
        <w:tc>
          <w:tcPr/>
          <w:p>
            <w:pPr>
              <w:pStyle w:val="Compact"/>
            </w:pPr>
            <w:r>
              <w:rPr>
                <w:b/>
                <w:bCs/>
                <w:lang w:val="de-DE"/>
              </w:rPr>
              <w:t xml:space="preserve">fehlt</w:t>
            </w:r>
          </w:p>
        </w:tc>
      </w:tr>
      <w:tr>
        <w:tc>
          <w:tcPr/>
          <w:p>
            <w:pPr>
              <w:pStyle w:val="Compact"/>
            </w:pPr>
            <w:r>
              <w:rPr>
                <w:lang w:val="de-DE"/>
              </w:rPr>
              <w:t xml:space="preserve">Übertragung selbst</w:t>
            </w:r>
          </w:p>
        </w:tc>
        <w:tc>
          <w:tcPr/>
          <w:p>
            <w:pPr>
              <w:pStyle w:val="Compact"/>
            </w:pPr>
            <w:r>
              <w:rPr>
                <w:lang w:val="de-DE"/>
              </w:rPr>
              <w:t xml:space="preserve">dateibasiert, kein realer Weg</w:t>
            </w:r>
          </w:p>
        </w:tc>
      </w:tr>
    </w:tbl>
    <w:p>
      <w:pPr>
        <w:pStyle w:val="BodyText"/>
      </w:pPr>
      <w:r>
        <w:rPr>
          <w:lang w:val="de-DE"/>
        </w:rPr>
        <w:t xml:space="preserve">Die eigene Prüfung vor dem Versand ist kein Beiwerk: der Absender hat sicherzustellen, dass</w:t>
      </w:r>
      <w:r>
        <w:rPr>
          <w:lang w:val="de-DE"/>
        </w:rPr>
        <w:t xml:space="preserve"> </w:t>
      </w:r>
      <w:r>
        <w:rPr>
          <w:b/>
          <w:bCs/>
          <w:lang w:val="de-DE"/>
        </w:rPr>
        <w:t xml:space="preserve">nur geprüfte Datensätze übermittelt werden</w:t>
      </w:r>
      <w:r>
        <w:rPr>
          <w:lang w:val="de-DE"/>
        </w:rPr>
        <w:t xml:space="preserve"> </w:t>
      </w:r>
      <w:r>
        <w:rPr>
          <w:lang w:val="de-DE"/>
        </w:rPr>
        <w:t xml:space="preserve">(Anlage 1, Abschnitt 3 Absatz 3). Genau dafür ist die Prüfstufe im Programm das Tor vor dem Versand.</w:t>
      </w:r>
    </w:p>
    <w:bookmarkEnd w:id="39"/>
    <w:bookmarkStart w:id="41" w:name="drei-mögliche-wege"/>
    <w:p>
      <w:pPr>
        <w:pStyle w:val="Heading2"/>
      </w:pPr>
      <w:r>
        <w:rPr>
          <w:lang w:val="de-DE"/>
        </w:rPr>
        <w:t xml:space="preserve">Drei mögliche Wege</w:t>
      </w:r>
    </w:p>
    <w:p>
      <w:pPr>
        <w:pStyle w:val="FirstParagraph"/>
      </w:pPr>
      <w:r>
        <w:rPr>
          <w:b/>
          <w:bCs/>
          <w:lang w:val="de-DE"/>
        </w:rPr>
        <w:t xml:space="preserve">A — Selbst übermitteln.</w:t>
      </w:r>
      <w:r>
        <w:rPr>
          <w:lang w:val="de-DE"/>
        </w:rPr>
        <w:t xml:space="preserve"> </w:t>
      </w:r>
      <w:r>
        <w:rPr>
          <w:lang w:val="de-DE"/>
        </w:rPr>
        <w:t xml:space="preserve">Eigenes IK, eigenes Zertifikat, eigener Transportweg. Volle Kontrolle, keine laufenden Kosten je Rechnung. Zu bauen sind Auftragsdatei, Verschlüsselung, Empfängerermittlung aus der Kostenträgerdatei und der Versandweg; dazu kommt eine Erprobung je Annahmestelle.</w:t>
      </w:r>
    </w:p>
    <w:p>
      <w:pPr>
        <w:pStyle w:val="BodyText"/>
      </w:pPr>
      <w:r>
        <w:rPr>
          <w:b/>
          <w:bCs/>
          <w:lang w:val="de-DE"/>
        </w:rPr>
        <w:t xml:space="preserve">B — Über eine Abrechnungsstelle.</w:t>
      </w:r>
      <w:r>
        <w:rPr>
          <w:lang w:val="de-DE"/>
        </w:rPr>
        <w:t xml:space="preserve"> </w:t>
      </w:r>
      <w:r>
        <w:rPr>
          <w:lang w:val="de-DE"/>
        </w:rPr>
        <w:t xml:space="preserve">Ein Dienstleister übernimmt Übermittlung und häufig auch das Inkasso. Die Technische Anlage sieht dafür die</w:t>
      </w:r>
      <w:r>
        <w:rPr>
          <w:lang w:val="de-DE"/>
        </w:rPr>
        <w:t xml:space="preserve"> </w:t>
      </w:r>
      <w:r>
        <w:rPr>
          <w:b/>
          <w:bCs/>
          <w:lang w:val="de-DE"/>
        </w:rPr>
        <w:t xml:space="preserve">Rechnungsart 2</w:t>
      </w:r>
      <w:r>
        <w:rPr>
          <w:lang w:val="de-DE"/>
        </w:rPr>
        <w:t xml:space="preserve"> </w:t>
      </w:r>
      <w:r>
        <w:rPr>
          <w:lang w:val="de-DE"/>
        </w:rPr>
        <w:t xml:space="preserve">vor: der Dienstleister sendet, Zahlung geht an das IK der Leistungserbringerin. Der Einstieg ist deutlich einfacher, es entstehen Kosten je Rechnung, und eine Abhängigkeit.</w:t>
      </w:r>
    </w:p>
    <w:p>
      <w:pPr>
        <w:pStyle w:val="BodyText"/>
      </w:pPr>
      <w:r>
        <w:rPr>
          <w:b/>
          <w:bCs/>
          <w:lang w:val="de-DE"/>
        </w:rPr>
        <w:t xml:space="preserve">C — Erzeugen und prüfen, Übergabe als Datei.</w:t>
      </w:r>
      <w:r>
        <w:rPr>
          <w:lang w:val="de-DE"/>
        </w:rPr>
        <w:t xml:space="preserve"> </w:t>
      </w:r>
      <w:r>
        <w:rPr>
          <w:lang w:val="de-DE"/>
        </w:rPr>
        <w:t xml:space="preserve">Der heutige Stand: das Programm erstellt die geprüfte Datei, die Übermittlung geschieht auf anderem Weg.</w:t>
      </w:r>
    </w:p>
    <w:p>
      <w:pPr>
        <w:pStyle w:val="BodyText"/>
      </w:pPr>
      <w:r>
        <w:rPr>
          <w:b/>
          <w:bCs/>
          <w:lang w:val="de-DE"/>
        </w:rPr>
        <w:t xml:space="preserve">Empfehlung: C, dann B, dann A — mit einer Einschränkung gegenüber der Einschätzung vom Vortag.</w:t>
      </w:r>
      <w:r>
        <w:rPr>
          <w:lang w:val="de-DE"/>
        </w:rPr>
        <w:t xml:space="preserve"> </w:t>
      </w:r>
      <w:r>
        <w:rPr>
          <w:lang w:val="de-DE"/>
        </w:rPr>
        <w:t xml:space="preserve">Weg A ist näher, als er aussah. Was ihn versperrt hat, war nicht die Schwierigkeit, sondern die Unkenntnis: die fehlenden Anhänge waren frei verfügbar, der Empfänger steht in einer öffentlichen Datei, und das Zertifikat kostet</w:t>
      </w:r>
      <w:r>
        <w:rPr>
          <w:lang w:val="de-DE"/>
        </w:rPr>
        <w:t xml:space="preserve"> </w:t>
      </w:r>
      <w:r>
        <w:rPr>
          <w:b/>
          <w:bCs/>
          <w:lang w:val="de-DE"/>
        </w:rPr>
        <w:t xml:space="preserve">79 € zuzüglich Umsatzsteuer</w:t>
      </w:r>
      <w:r>
        <w:rPr>
          <w:lang w:val="de-DE"/>
        </w:rPr>
        <w:t xml:space="preserve"> </w:t>
      </w:r>
      <w:r>
        <w:rPr>
          <w:lang w:val="de-DE"/>
        </w:rPr>
        <w:t xml:space="preserve">für den Erstantrag, danach</w:t>
      </w:r>
      <w:r>
        <w:rPr>
          <w:lang w:val="de-DE"/>
        </w:rPr>
        <w:t xml:space="preserve"> </w:t>
      </w:r>
      <w:r>
        <w:rPr>
          <w:b/>
          <w:bCs/>
          <w:lang w:val="de-DE"/>
        </w:rPr>
        <w:t xml:space="preserve">49 €</w:t>
      </w:r>
      <w:r>
        <w:rPr>
          <w:lang w:val="de-DE"/>
        </w:rPr>
        <w:t xml:space="preserve"> </w:t>
      </w:r>
      <w:r>
        <w:rPr>
          <w:lang w:val="de-DE"/>
        </w:rPr>
        <w:t xml:space="preserve">je Folgeantrag über die Online-Schnittstelle. Es gilt</w:t>
      </w:r>
      <w:r>
        <w:rPr>
          <w:lang w:val="de-DE"/>
        </w:rPr>
        <w:t xml:space="preserve"> </w:t>
      </w:r>
      <w:r>
        <w:rPr>
          <w:b/>
          <w:bCs/>
          <w:lang w:val="de-DE"/>
        </w:rPr>
        <w:t xml:space="preserve">ein Jahr</w:t>
      </w:r>
      <w:r>
        <w:rPr>
          <w:lang w:val="de-DE"/>
        </w:rPr>
        <w:t xml:space="preserve"> </w:t>
      </w:r>
      <w:r>
        <w:rPr>
          <w:lang w:val="de-DE"/>
        </w:rPr>
        <w:t xml:space="preserve">und wird in drei bis vier Arbeitstagen ausgestellt; beantragt wird es beim</w:t>
      </w:r>
      <w:r>
        <w:rPr>
          <w:lang w:val="de-DE"/>
        </w:rPr>
        <w:t xml:space="preserve"> </w:t>
      </w:r>
      <w:hyperlink r:id="rId40">
        <w:r>
          <w:rPr>
            <w:rStyle w:val="Hyperlink"/>
            <w:lang w:val="de-DE"/>
          </w:rPr>
          <w:t xml:space="preserve">ITSG Trust Center für sonstige Leistungserbringer</w:t>
        </w:r>
      </w:hyperlink>
      <w:r>
        <w:rPr>
          <w:lang w:val="de-DE"/>
        </w:rPr>
        <w:t xml:space="preserve">.</w:t>
      </w:r>
    </w:p>
    <w:p>
      <w:pPr>
        <w:pStyle w:val="BlockText"/>
      </w:pPr>
      <w:r>
        <w:rPr>
          <w:b/>
          <w:bCs/>
          <w:lang w:val="de-DE"/>
        </w:rPr>
        <w:t xml:space="preserve">Der Betrag fällt einmal an, nicht je Kasse.</w:t>
      </w:r>
      <w:r>
        <w:rPr>
          <w:lang w:val="de-DE"/>
        </w:rPr>
        <w:t xml:space="preserve"> </w:t>
      </w:r>
      <w:r>
        <w:rPr>
          <w:lang w:val="de-DE"/>
        </w:rPr>
        <w:t xml:space="preserve">Das Zertifikat wird auf das</w:t>
      </w:r>
      <w:r>
        <w:rPr>
          <w:lang w:val="de-DE"/>
        </w:rPr>
        <w:t xml:space="preserve"> </w:t>
      </w:r>
      <w:r>
        <w:rPr>
          <w:b/>
          <w:bCs/>
          <w:lang w:val="de-DE"/>
        </w:rPr>
        <w:t xml:space="preserve">eigene IK</w:t>
      </w:r>
      <w:r>
        <w:rPr>
          <w:lang w:val="de-DE"/>
        </w:rPr>
        <w:t xml:space="preserve"> </w:t>
      </w:r>
      <w:r>
        <w:rPr>
          <w:lang w:val="de-DE"/>
        </w:rPr>
        <w:t xml:space="preserve">ausgestellt und gilt für den Datenaustausch mit</w:t>
      </w:r>
      <w:r>
        <w:rPr>
          <w:lang w:val="de-DE"/>
        </w:rPr>
        <w:t xml:space="preserve"> </w:t>
      </w:r>
      <w:r>
        <w:rPr>
          <w:b/>
          <w:bCs/>
          <w:lang w:val="de-DE"/>
        </w:rPr>
        <w:t xml:space="preserve">allen</w:t>
      </w:r>
      <w:r>
        <w:rPr>
          <w:lang w:val="de-DE"/>
        </w:rPr>
        <w:t xml:space="preserve"> </w:t>
      </w:r>
      <w:r>
        <w:rPr>
          <w:lang w:val="de-DE"/>
        </w:rPr>
        <w:t xml:space="preserve">Datenannahmestellen. Zum Verschlüsseln wird der öffentliche Schlüssel des jeweiligen Empfängers gebraucht — den liefert das Trust Center als Schlüsselliste (</w:t>
      </w:r>
      <w:r>
        <w:rPr>
          <w:rStyle w:val="VerbatimChar"/>
          <w:lang w:val="de-DE"/>
        </w:rPr>
        <w:t xml:space="preserve">annahme-sha256.key</w:t>
      </w:r>
      <w:r>
        <w:rPr>
          <w:lang w:val="de-DE"/>
        </w:rPr>
        <w:t xml:space="preserve">) zusammen mit dem Zertifikat mit, ohne weitere Kosten. Es gibt also weder eine Gebühr je Kasse noch eine je Lieferung.</w:t>
      </w:r>
    </w:p>
    <w:p>
      <w:pPr>
        <w:pStyle w:val="FirstParagraph"/>
      </w:pPr>
      <w:r>
        <w:rPr>
          <w:lang w:val="de-DE"/>
        </w:rPr>
        <w:t xml:space="preserve">Trotzdem bleibt die Reihenfolge. Nicht wegen der Kosten, sondern wegen der Reihenfolge des Lernens: Weg B liefert echte Beanstandungen echter Kassen, und genau die sind die Vorbereitung auf die Erprobung, die Weg A verlangt. Und wegen der laufenden Pflege — siehe den nächsten Abschnitt, der die Empfehlung erst vollständig macht.</w:t>
      </w:r>
    </w:p>
    <w:p>
      <w:pPr>
        <w:pStyle w:val="BodyText"/>
      </w:pPr>
      <w:r>
        <w:rPr>
          <w:b/>
          <w:bCs/>
          <w:lang w:val="de-DE"/>
        </w:rPr>
        <w:t xml:space="preserve">Der Umbau bleibt in jedem Fall überschaubar</w:t>
      </w:r>
      <w:r>
        <w:rPr>
          <w:lang w:val="de-DE"/>
        </w:rPr>
        <w:t xml:space="preserve">, weil der Transport hinter einer einzigen Schnittstelle liegt:</w:t>
      </w:r>
      <w:r>
        <w:rPr>
          <w:lang w:val="de-DE"/>
        </w:rPr>
        <w:t xml:space="preserve"> </w:t>
      </w:r>
      <w:r>
        <w:rPr>
          <w:rStyle w:val="VerbatimChar"/>
          <w:lang w:val="de-DE"/>
        </w:rPr>
        <w:t xml:space="preserve">BillingOfficeTransport</w:t>
      </w:r>
      <w:r>
        <w:rPr>
          <w:lang w:val="de-DE"/>
        </w:rPr>
        <w:t xml:space="preserve">. Erzeugung, Prüfung, Zuordnung und Auswertung der Rückmeldungen bleiben unverändert.</w:t>
      </w:r>
    </w:p>
    <w:bookmarkEnd w:id="41"/>
    <w:bookmarkStart w:id="42" w:name="was-der-eigene-weg-wirklich-kostet"/>
    <w:p>
      <w:pPr>
        <w:pStyle w:val="Heading2"/>
      </w:pPr>
      <w:r>
        <w:rPr>
          <w:lang w:val="de-DE"/>
        </w:rPr>
        <w:t xml:space="preserve">Was der eigene Weg wirklich kostet</w:t>
      </w:r>
    </w:p>
    <w:p>
      <w:pPr>
        <w:pStyle w:val="FirstParagraph"/>
      </w:pPr>
      <w:r>
        <w:rPr>
          <w:lang w:val="de-DE"/>
        </w:rPr>
        <w:t xml:space="preserve">Die Gebühr ist der kleinere Teil.</w:t>
      </w:r>
      <w:r>
        <w:rPr>
          <w:lang w:val="de-DE"/>
        </w:rPr>
        <w:t xml:space="preserve"> </w:t>
      </w:r>
      <w:r>
        <w:rPr>
          <w:b/>
          <w:bCs/>
          <w:lang w:val="de-DE"/>
        </w:rPr>
        <w:t xml:space="preserve">Wer selbst überträgt, pflegt auch selbst</w:t>
      </w:r>
      <w:r>
        <w:rPr>
          <w:lang w:val="de-DE"/>
        </w:rPr>
        <w:t xml:space="preserve"> </w:t>
      </w:r>
      <w:r>
        <w:rPr>
          <w:lang w:val="de-DE"/>
        </w:rPr>
        <w:t xml:space="preserve">— und das Verfahren steht nicht still. Simons Einwand am 07.09.2026:</w:t>
      </w:r>
      <w:r>
        <w:rPr>
          <w:lang w:val="de-DE"/>
        </w:rPr>
        <w:t xml:space="preserve"> </w:t>
      </w:r>
      <w:r>
        <w:rPr>
          <w:i/>
          <w:iCs/>
          <w:lang w:val="de-DE"/>
        </w:rPr>
        <w:t xml:space="preserve">„jedoch auch Wartung und Co, das fließt auch mit ein, da jedes Jahr sich was ändern könnte.”</w:t>
      </w:r>
    </w:p>
    <w:p>
      <w:pPr>
        <w:pStyle w:val="BodyText"/>
      </w:pPr>
      <w:r>
        <w:rPr>
          <w:lang w:val="de-DE"/>
        </w:rPr>
        <w:t xml:space="preserve">Was sich tatsächlich bewegt, und wie oft: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Was</w:t>
            </w:r>
          </w:p>
        </w:tc>
        <w:tc>
          <w:tcPr/>
          <w:p>
            <w:pPr>
              <w:pStyle w:val="Compact"/>
            </w:pPr>
            <w:r>
              <w:rPr>
                <w:lang w:val="de-DE"/>
              </w:rPr>
              <w:t xml:space="preserve">Rhythmus</w:t>
            </w:r>
          </w:p>
        </w:tc>
        <w:tc>
          <w:tcPr/>
          <w:p>
            <w:pPr>
              <w:pStyle w:val="Compact"/>
            </w:pPr>
            <w:r>
              <w:rPr>
                <w:lang w:val="de-DE"/>
              </w:rPr>
              <w:t xml:space="preserve">Passiert was, wenn man es verpasst</w:t>
            </w:r>
          </w:p>
        </w:tc>
      </w:tr>
      <w:tr>
        <w:tc>
          <w:tcPr/>
          <w:p>
            <w:pPr>
              <w:pStyle w:val="Compact"/>
            </w:pPr>
            <w:r>
              <w:rPr>
                <w:b/>
                <w:bCs/>
                <w:lang w:val="de-DE"/>
              </w:rPr>
              <w:t xml:space="preserve">Kostenträgerdatei</w:t>
            </w:r>
          </w:p>
        </w:tc>
        <w:tc>
          <w:tcPr/>
          <w:p>
            <w:pPr>
              <w:pStyle w:val="Compact"/>
            </w:pPr>
            <w:r>
              <w:rPr>
                <w:b/>
                <w:bCs/>
                <w:lang w:val="de-DE"/>
              </w:rPr>
              <w:t xml:space="preserve">vierteljährlich</w:t>
            </w:r>
          </w:p>
        </w:tc>
        <w:tc>
          <w:tcPr/>
          <w:p>
            <w:pPr>
              <w:pStyle w:val="Compact"/>
            </w:pPr>
            <w:r>
              <w:rPr>
                <w:lang w:val="de-DE"/>
              </w:rPr>
              <w:t xml:space="preserve">Lieferung geht an eine Stelle, die nicht mehr zuständig ist</w:t>
            </w:r>
          </w:p>
        </w:tc>
      </w:tr>
      <w:tr>
        <w:tc>
          <w:tcPr/>
          <w:p>
            <w:pPr>
              <w:pStyle w:val="Compact"/>
            </w:pPr>
            <w:r>
              <w:rPr>
                <w:b/>
                <w:bCs/>
                <w:lang w:val="de-DE"/>
              </w:rPr>
              <w:t xml:space="preserve">Zertifikat</w:t>
            </w:r>
          </w:p>
        </w:tc>
        <w:tc>
          <w:tcPr/>
          <w:p>
            <w:pPr>
              <w:pStyle w:val="Compact"/>
            </w:pPr>
            <w:r>
              <w:rPr>
                <w:b/>
                <w:bCs/>
                <w:lang w:val="de-DE"/>
              </w:rPr>
              <w:t xml:space="preserve">jährlich</w:t>
            </w:r>
            <w:r>
              <w:rPr>
                <w:lang w:val="de-DE"/>
              </w:rPr>
              <w:t xml:space="preserve">, Antrag 1–2 Wochen vorher</w:t>
            </w:r>
          </w:p>
        </w:tc>
        <w:tc>
          <w:tcPr/>
          <w:p>
            <w:pPr>
              <w:pStyle w:val="Compact"/>
            </w:pPr>
            <w:r>
              <w:rPr>
                <w:lang w:val="de-DE"/>
              </w:rPr>
              <w:t xml:space="preserve">Datenaustausch steht still, bis das neue da ist</w:t>
            </w:r>
          </w:p>
        </w:tc>
      </w:tr>
      <w:tr>
        <w:tc>
          <w:tcPr/>
          <w:p>
            <w:pPr>
              <w:pStyle w:val="Compact"/>
            </w:pPr>
            <w:r>
              <w:rPr>
                <w:b/>
                <w:bCs/>
                <w:lang w:val="de-DE"/>
              </w:rPr>
              <w:t xml:space="preserve">Technische Anlage 1</w:t>
            </w:r>
          </w:p>
        </w:tc>
        <w:tc>
          <w:tcPr/>
          <w:p>
            <w:pPr>
              <w:pStyle w:val="Compact"/>
            </w:pPr>
            <w:r>
              <w:rPr>
                <w:lang w:val="de-DE"/>
              </w:rPr>
              <w:t xml:space="preserve">neue Version etwa jährlich, 3 Monate Übergangsfrist</w:t>
            </w:r>
          </w:p>
        </w:tc>
        <w:tc>
          <w:tcPr/>
          <w:p>
            <w:pPr>
              <w:pStyle w:val="Compact"/>
            </w:pPr>
            <w:r>
              <w:rPr>
                <w:lang w:val="de-DE"/>
              </w:rPr>
              <w:t xml:space="preserve">Datei wird nach Ablauf abgewiesen</w:t>
            </w:r>
          </w:p>
        </w:tc>
      </w:tr>
      <w:tr>
        <w:tc>
          <w:tcPr/>
          <w:p>
            <w:pPr>
              <w:pStyle w:val="Compact"/>
            </w:pPr>
            <w:r>
              <w:rPr>
                <w:b/>
                <w:bCs/>
                <w:lang w:val="de-DE"/>
              </w:rPr>
              <w:t xml:space="preserve">Anlage 3 (Schlüssel)</w:t>
            </w:r>
          </w:p>
        </w:tc>
        <w:tc>
          <w:tcPr/>
          <w:p>
            <w:pPr>
              <w:pStyle w:val="Compact"/>
            </w:pPr>
            <w:r>
              <w:rPr>
                <w:lang w:val="de-DE"/>
              </w:rPr>
              <w:t xml:space="preserve">mehrmals jährlich</w:t>
            </w:r>
          </w:p>
        </w:tc>
        <w:tc>
          <w:tcPr/>
          <w:p>
            <w:pPr>
              <w:pStyle w:val="Compact"/>
            </w:pPr>
            <w:r>
              <w:rPr>
                <w:lang w:val="de-DE"/>
              </w:rPr>
              <w:t xml:space="preserve">ungültige Schlüsselausprägung, Prüfstufe 3</w:t>
            </w:r>
          </w:p>
        </w:tc>
      </w:tr>
      <w:tr>
        <w:tc>
          <w:tcPr/>
          <w:p>
            <w:pPr>
              <w:pStyle w:val="Compact"/>
            </w:pPr>
            <w:r>
              <w:rPr>
                <w:b/>
                <w:bCs/>
                <w:lang w:val="de-DE"/>
              </w:rPr>
              <w:t xml:space="preserve">Positionsnummernverzeichnis</w:t>
            </w:r>
          </w:p>
        </w:tc>
        <w:tc>
          <w:tcPr/>
          <w:p>
            <w:pPr>
              <w:pStyle w:val="Compact"/>
            </w:pPr>
            <w:r>
              <w:rPr>
                <w:lang w:val="de-DE"/>
              </w:rPr>
              <w:t xml:space="preserve">bei Vertragsänderung</w:t>
            </w:r>
          </w:p>
        </w:tc>
        <w:tc>
          <w:tcPr/>
          <w:p>
            <w:pPr>
              <w:pStyle w:val="Compact"/>
            </w:pPr>
            <w:r>
              <w:rPr>
                <w:lang w:val="de-DE"/>
              </w:rPr>
              <w:t xml:space="preserve">zuletzt zum 01.11.2025: vier Stellen wurden fünf</w:t>
            </w:r>
          </w:p>
        </w:tc>
      </w:tr>
      <w:tr>
        <w:tc>
          <w:tcPr/>
          <w:p>
            <w:pPr>
              <w:pStyle w:val="Compact"/>
            </w:pPr>
            <w:r>
              <w:rPr>
                <w:b/>
                <w:bCs/>
                <w:lang w:val="de-DE"/>
              </w:rPr>
              <w:t xml:space="preserve">Vergütungsvereinbarung</w:t>
            </w:r>
          </w:p>
        </w:tc>
        <w:tc>
          <w:tcPr/>
          <w:p>
            <w:pPr>
              <w:pStyle w:val="Compact"/>
            </w:pPr>
            <w:r>
              <w:rPr>
                <w:lang w:val="de-DE"/>
              </w:rPr>
              <w:t xml:space="preserve">bei Anpassung</w:t>
            </w:r>
          </w:p>
        </w:tc>
        <w:tc>
          <w:tcPr/>
          <w:p>
            <w:pPr>
              <w:pStyle w:val="Compact"/>
            </w:pPr>
            <w:r>
              <w:rPr>
                <w:lang w:val="de-DE"/>
              </w:rPr>
              <w:t xml:space="preserve">falsche Beträge, Rückforderung</w:t>
            </w:r>
          </w:p>
        </w:tc>
      </w:tr>
    </w:tbl>
    <w:p>
      <w:pPr>
        <w:pStyle w:val="BodyText"/>
      </w:pPr>
      <w:r>
        <w:rPr>
          <w:b/>
          <w:bCs/>
          <w:lang w:val="de-DE"/>
        </w:rPr>
        <w:t xml:space="preserve">Der Beleg liegt im Projekt selbst.</w:t>
      </w:r>
      <w:r>
        <w:rPr>
          <w:lang w:val="de-DE"/>
        </w:rPr>
        <w:t xml:space="preserve"> </w:t>
      </w:r>
      <w:r>
        <w:rPr>
          <w:lang w:val="de-DE"/>
        </w:rPr>
        <w:t xml:space="preserve">Die verbindlichen Anlagen unter</w:t>
      </w:r>
      <w:r>
        <w:rPr>
          <w:lang w:val="de-DE"/>
        </w:rPr>
        <w:t xml:space="preserve"> </w:t>
      </w:r>
      <w:r>
        <w:rPr>
          <w:rStyle w:val="VerbatimChar"/>
          <w:lang w:val="de-DE"/>
        </w:rPr>
        <w:t xml:space="preserve">Information/</w:t>
      </w:r>
      <w:r>
        <w:rPr>
          <w:lang w:val="de-DE"/>
        </w:rPr>
        <w:t xml:space="preserve"> </w:t>
      </w:r>
      <w:r>
        <w:rPr>
          <w:lang w:val="de-DE"/>
        </w:rPr>
        <w:t xml:space="preserve">waren am 07.09.2026 vom Juli — nach zwei Monaten überholt, und es war niemandem aufgefallen. Genau so sieht die Wartungslast in der Praxis aus: nicht als Aufwand, den man einplant, sondern als Veralten, das niemand bemerkt.</w:t>
      </w:r>
    </w:p>
    <w:p>
      <w:pPr>
        <w:pStyle w:val="BodyText"/>
      </w:pPr>
      <w:r>
        <w:rPr>
          <w:lang w:val="de-DE"/>
        </w:rPr>
        <w:t xml:space="preserve">Bei einer Abrechnungsstelle ist das</w:t>
      </w:r>
      <w:r>
        <w:rPr>
          <w:lang w:val="de-DE"/>
        </w:rPr>
        <w:t xml:space="preserve"> </w:t>
      </w:r>
      <w:r>
        <w:rPr>
          <w:b/>
          <w:bCs/>
          <w:lang w:val="de-DE"/>
        </w:rPr>
        <w:t xml:space="preserve">im Preis enthalten</w:t>
      </w:r>
      <w:r>
        <w:rPr>
          <w:lang w:val="de-DE"/>
        </w:rPr>
        <w:t xml:space="preserve"> </w:t>
      </w:r>
      <w:r>
        <w:rPr>
          <w:lang w:val="de-DE"/>
        </w:rPr>
        <w:t xml:space="preserve">— sie muss dem Verfahren folgen, nicht die Leistungserbringerin. Das ist der eigentliche Gegenwert der drei Prozent, nicht der Briefversand.</w:t>
      </w:r>
    </w:p>
    <w:p>
      <w:pPr>
        <w:pStyle w:val="BodyText"/>
      </w:pPr>
      <w:r>
        <w:rPr>
          <w:b/>
          <w:bCs/>
          <w:lang w:val="de-DE"/>
        </w:rPr>
        <w:t xml:space="preserve">Was die Wartung klein hält</w:t>
      </w:r>
      <w:r>
        <w:rPr>
          <w:lang w:val="de-DE"/>
        </w:rPr>
        <w:t xml:space="preserve">, und deshalb vor dem Echtbetrieb gebaut gehört:</w:t>
      </w:r>
    </w:p>
    <w:p>
      <w:pPr>
        <w:pStyle w:val="Compact"/>
        <w:numPr>
          <w:ilvl w:val="0"/>
          <w:numId w:val="1004"/>
        </w:numPr>
      </w:pPr>
      <w:r>
        <w:rPr>
          <w:b/>
          <w:bCs/>
          <w:lang w:val="de-DE"/>
        </w:rPr>
        <w:t xml:space="preserve">Kostenträgerdatei einlesen statt Endpunkte pflegen</w:t>
      </w:r>
      <w:r>
        <w:rPr>
          <w:lang w:val="de-DE"/>
        </w:rPr>
        <w:t xml:space="preserve"> </w:t>
      </w:r>
      <w:r>
        <w:rPr>
          <w:lang w:val="de-DE"/>
        </w:rPr>
        <w:t xml:space="preserve">— aus vier Pflegeterminen im Jahr wird ein Dateiaustausch.</w:t>
      </w:r>
    </w:p>
    <w:p>
      <w:pPr>
        <w:pStyle w:val="Compact"/>
        <w:numPr>
          <w:ilvl w:val="0"/>
          <w:numId w:val="1004"/>
        </w:numPr>
      </w:pPr>
      <w:r>
        <w:rPr>
          <w:b/>
          <w:bCs/>
          <w:lang w:val="de-DE"/>
        </w:rPr>
        <w:t xml:space="preserve">Ablaufwarnung für das Zertifikat</w:t>
      </w:r>
      <w:r>
        <w:rPr>
          <w:lang w:val="de-DE"/>
        </w:rPr>
        <w:t xml:space="preserve"> </w:t>
      </w:r>
      <w:r>
        <w:rPr>
          <w:lang w:val="de-DE"/>
        </w:rPr>
        <w:t xml:space="preserve">— die Anwendung kennt das Datum, sie kann rechtzeitig daran erinnern.</w:t>
      </w:r>
    </w:p>
    <w:p>
      <w:pPr>
        <w:pStyle w:val="Compact"/>
        <w:numPr>
          <w:ilvl w:val="0"/>
          <w:numId w:val="1004"/>
        </w:numPr>
      </w:pPr>
      <w:r>
        <w:rPr>
          <w:b/>
          <w:bCs/>
          <w:lang w:val="de-DE"/>
        </w:rPr>
        <w:t xml:space="preserve">Versionsangabe in der Nachricht sichtbar machen</w:t>
      </w:r>
      <w:r>
        <w:rPr>
          <w:lang w:val="de-DE"/>
        </w:rPr>
        <w:t xml:space="preserve"> </w:t>
      </w:r>
      <w:r>
        <w:rPr>
          <w:lang w:val="de-DE"/>
        </w:rPr>
        <w:t xml:space="preserve">— der Nachrichtentyp trägt sie bereits (</w:t>
      </w:r>
      <w:r>
        <w:rPr>
          <w:rStyle w:val="VerbatimChar"/>
          <w:lang w:val="de-DE"/>
        </w:rPr>
        <w:t xml:space="preserve">SLGA:21:0:0</w:t>
      </w:r>
      <w:r>
        <w:rPr>
          <w:lang w:val="de-DE"/>
        </w:rPr>
        <w:t xml:space="preserve">); wer sieht, mit welcher Version er sendet, merkt einen Wechsel.</w:t>
      </w:r>
    </w:p>
    <w:p>
      <w:pPr>
        <w:pStyle w:val="FirstParagraph"/>
      </w:pPr>
      <w:r>
        <w:rPr>
          <w:lang w:val="de-DE"/>
        </w:rPr>
        <w:t xml:space="preserve">Ohne diese drei ist der eigene Weg jedes Jahr Handarbeit. Mit ihnen bleibt eine Aufgabe im Jahr: das Zertifikat erneuern.</w:t>
      </w:r>
    </w:p>
    <w:bookmarkEnd w:id="42"/>
    <w:bookmarkStart w:id="43" w:name="was-noch-zu-beschaffen-ist"/>
    <w:p>
      <w:pPr>
        <w:pStyle w:val="Heading2"/>
      </w:pPr>
      <w:r>
        <w:rPr>
          <w:lang w:val="de-DE"/>
        </w:rPr>
        <w:t xml:space="preserve">Was noch zu beschaffen ist</w:t>
      </w:r>
    </w:p>
    <w:p>
      <w:pPr>
        <w:pStyle w:val="FirstParagraph"/>
      </w:pPr>
      <w:r>
        <w:rPr>
          <w:lang w:val="de-DE"/>
        </w:rPr>
        <w:t xml:space="preserve">Die Liste ist kürzer geworden. Keiner dieser Punkte lässt sich programmieren:</w:t>
      </w:r>
    </w:p>
    <w:p>
      <w:pPr>
        <w:pStyle w:val="Compact"/>
        <w:numPr>
          <w:ilvl w:val="0"/>
          <w:numId w:val="1005"/>
        </w:numPr>
      </w:pPr>
      <w:r>
        <w:rPr>
          <w:lang w:val="de-DE"/>
        </w:rPr>
        <w:t xml:space="preserve">ein eigenes</w:t>
      </w:r>
      <w:r>
        <w:rPr>
          <w:lang w:val="de-DE"/>
        </w:rPr>
        <w:t xml:space="preserve"> </w:t>
      </w:r>
      <w:r>
        <w:rPr>
          <w:b/>
          <w:bCs/>
          <w:lang w:val="de-DE"/>
        </w:rPr>
        <w:t xml:space="preserve">Betriebsstätten-IK</w:t>
      </w:r>
      <w:r>
        <w:rPr>
          <w:lang w:val="de-DE"/>
        </w:rPr>
        <w:t xml:space="preserve"> </w:t>
      </w:r>
      <w:r>
        <w:rPr>
          <w:lang w:val="de-DE"/>
        </w:rPr>
        <w:t xml:space="preserve">(bei der ARGE·IK)</w:t>
      </w:r>
    </w:p>
    <w:p>
      <w:pPr>
        <w:pStyle w:val="Compact"/>
        <w:numPr>
          <w:ilvl w:val="0"/>
          <w:numId w:val="1005"/>
        </w:numPr>
      </w:pPr>
      <w:r>
        <w:rPr>
          <w:lang w:val="de-DE"/>
        </w:rPr>
        <w:t xml:space="preserve">ein</w:t>
      </w:r>
      <w:r>
        <w:rPr>
          <w:lang w:val="de-DE"/>
        </w:rPr>
        <w:t xml:space="preserve"> </w:t>
      </w:r>
      <w:r>
        <w:rPr>
          <w:b/>
          <w:bCs/>
          <w:lang w:val="de-DE"/>
        </w:rPr>
        <w:t xml:space="preserve">Zertifikat</w:t>
      </w:r>
      <w:r>
        <w:rPr>
          <w:lang w:val="de-DE"/>
        </w:rPr>
        <w:t xml:space="preserve"> </w:t>
      </w:r>
      <w:r>
        <w:rPr>
          <w:lang w:val="de-DE"/>
        </w:rPr>
        <w:t xml:space="preserve">des ITSG Trust Centers, siehe oben</w:t>
      </w:r>
    </w:p>
    <w:p>
      <w:pPr>
        <w:pStyle w:val="Compact"/>
        <w:numPr>
          <w:ilvl w:val="0"/>
          <w:numId w:val="1005"/>
        </w:numPr>
      </w:pPr>
      <w:r>
        <w:rPr>
          <w:lang w:val="de-DE"/>
        </w:rPr>
        <w:t xml:space="preserve">die</w:t>
      </w:r>
      <w:r>
        <w:rPr>
          <w:lang w:val="de-DE"/>
        </w:rPr>
        <w:t xml:space="preserve"> </w:t>
      </w:r>
      <w:r>
        <w:rPr>
          <w:b/>
          <w:bCs/>
          <w:lang w:val="de-DE"/>
        </w:rPr>
        <w:t xml:space="preserve">Anmeldung als Kommunikationspartner</w:t>
      </w:r>
      <w:r>
        <w:rPr>
          <w:lang w:val="de-DE"/>
        </w:rPr>
        <w:t xml:space="preserve"> </w:t>
      </w:r>
      <w:r>
        <w:rPr>
          <w:lang w:val="de-DE"/>
        </w:rPr>
        <w:t xml:space="preserve">bei der Datenannahmestelle — Prüfstufe 1 prüft sie ab</w:t>
      </w:r>
    </w:p>
    <w:p>
      <w:pPr>
        <w:pStyle w:val="Compact"/>
        <w:numPr>
          <w:ilvl w:val="0"/>
          <w:numId w:val="1005"/>
        </w:numPr>
      </w:pPr>
      <w:r>
        <w:rPr>
          <w:lang w:val="de-DE"/>
        </w:rPr>
        <w:t xml:space="preserve">die gültigen</w:t>
      </w:r>
      <w:r>
        <w:rPr>
          <w:lang w:val="de-DE"/>
        </w:rPr>
        <w:t xml:space="preserve"> </w:t>
      </w:r>
      <w:r>
        <w:rPr>
          <w:b/>
          <w:bCs/>
          <w:lang w:val="de-DE"/>
        </w:rPr>
        <w:t xml:space="preserve">Abrechnungspositionsnummern</w:t>
      </w:r>
      <w:r>
        <w:rPr>
          <w:lang w:val="de-DE"/>
        </w:rPr>
        <w:t xml:space="preserve"> </w:t>
      </w:r>
      <w:r>
        <w:rPr>
          <w:lang w:val="de-DE"/>
        </w:rPr>
        <w:t xml:space="preserve">aus dem bundeseinheitlichen Positionsnummernverzeichnis der Hebammenhilfe-Vergütungsvereinbarung und das</w:t>
      </w:r>
      <w:r>
        <w:rPr>
          <w:lang w:val="de-DE"/>
        </w:rPr>
        <w:t xml:space="preserve"> </w:t>
      </w:r>
      <w:r>
        <w:rPr>
          <w:b/>
          <w:bCs/>
          <w:lang w:val="de-DE"/>
        </w:rPr>
        <w:t xml:space="preserve">Tarifkennzeichen</w:t>
      </w:r>
      <w:r>
        <w:rPr>
          <w:lang w:val="de-DE"/>
        </w:rPr>
        <w:t xml:space="preserve"> </w:t>
      </w:r>
      <w:r>
        <w:rPr>
          <w:lang w:val="de-DE"/>
        </w:rPr>
        <w:t xml:space="preserve">aus dem Vertrag</w:t>
      </w:r>
    </w:p>
    <w:p>
      <w:pPr>
        <w:pStyle w:val="FirstParagraph"/>
      </w:pPr>
      <w:r>
        <w:rPr>
          <w:lang w:val="de-DE"/>
        </w:rPr>
        <w:t xml:space="preserve">Der letzte Punkt ist der einzige, der heute schon stört: die Vorbelegung führt eine neunstellige Positionsnummer, für Hebammenhilfe sind nach Anlage 3, Abschnitt 8.2.6 aber vier oder fünf Stellen vorgesehen.</w:t>
      </w:r>
      <w:r>
        <w:rPr>
          <w:lang w:val="de-DE"/>
        </w:rPr>
        <w:t xml:space="preserve"> </w:t>
      </w:r>
      <w:r>
        <w:rPr>
          <w:rStyle w:val="VerbatimChar"/>
          <w:lang w:val="de-DE"/>
        </w:rPr>
        <w:t xml:space="preserve">PositionsnummerRegel</w:t>
      </w:r>
      <w:r>
        <w:rPr>
          <w:lang w:val="de-DE"/>
        </w:rPr>
        <w:t xml:space="preserve"> </w:t>
      </w:r>
      <w:r>
        <w:rPr>
          <w:lang w:val="de-DE"/>
        </w:rPr>
        <w:t xml:space="preserve">warnt bei jedem Lauf, hält ihn aber nicht auf — eine Sperre ohne Ausgang wäre schlimmer, solange das Verzeichnis fehlt.</w:t>
      </w:r>
    </w:p>
    <w:bookmarkEnd w:id="43"/>
    <w:bookmarkStart w:id="44" w:name="pflichten-neben-der-übermittlung"/>
    <w:p>
      <w:pPr>
        <w:pStyle w:val="Heading2"/>
      </w:pPr>
      <w:r>
        <w:rPr>
          <w:lang w:val="de-DE"/>
        </w:rPr>
        <w:t xml:space="preserve">Pflichten neben der Übermittlung</w:t>
      </w:r>
    </w:p>
    <w:p>
      <w:pPr>
        <w:pStyle w:val="FirstParagraph"/>
      </w:pPr>
      <w:r>
        <w:rPr>
          <w:lang w:val="de-DE"/>
        </w:rPr>
        <w:t xml:space="preserve">Die Technische Anlage verlangt zweierlei, das nicht in der Datei steht:</w:t>
      </w:r>
    </w:p>
    <w:p>
      <w:pPr>
        <w:pStyle w:val="Compact"/>
        <w:numPr>
          <w:ilvl w:val="0"/>
          <w:numId w:val="1006"/>
        </w:numPr>
      </w:pPr>
      <w:r>
        <w:rPr>
          <w:lang w:val="de-DE"/>
        </w:rPr>
        <w:t xml:space="preserve">Über den Datenaustausch ist eine</w:t>
      </w:r>
      <w:r>
        <w:rPr>
          <w:lang w:val="de-DE"/>
        </w:rPr>
        <w:t xml:space="preserve"> </w:t>
      </w:r>
      <w:r>
        <w:rPr>
          <w:b/>
          <w:bCs/>
          <w:lang w:val="de-DE"/>
        </w:rPr>
        <w:t xml:space="preserve">Dokumentation</w:t>
      </w:r>
      <w:r>
        <w:rPr>
          <w:lang w:val="de-DE"/>
        </w:rPr>
        <w:t xml:space="preserve"> </w:t>
      </w:r>
      <w:r>
        <w:rPr>
          <w:lang w:val="de-DE"/>
        </w:rPr>
        <w:t xml:space="preserve">zu führen und</w:t>
      </w:r>
      <w:r>
        <w:rPr>
          <w:lang w:val="de-DE"/>
        </w:rPr>
        <w:t xml:space="preserve"> </w:t>
      </w:r>
      <w:r>
        <w:rPr>
          <w:b/>
          <w:bCs/>
          <w:lang w:val="de-DE"/>
        </w:rPr>
        <w:t xml:space="preserve">mindestens zwei Jahre</w:t>
      </w:r>
      <w:r>
        <w:rPr>
          <w:lang w:val="de-DE"/>
        </w:rPr>
        <w:t xml:space="preserve"> </w:t>
      </w:r>
      <w:r>
        <w:rPr>
          <w:lang w:val="de-DE"/>
        </w:rPr>
        <w:t xml:space="preserve">aufzubewahren. Anhang 1, Abschnitt 4.5 nennt die Mindestinhalte: physikalischer Dateiname, Erstellungsdatum, laufende Nummer, Kommunikationspartner, Beginn und Ende der Übermittlung, Dateigröße, Verarbeitungshinweise, Senden oder Empfangen, fehlerfrei oder fehlerhaft und im Fehlerfall der Fehlerstatus.</w:t>
      </w:r>
    </w:p>
    <w:p>
      <w:pPr>
        <w:pStyle w:val="Compact"/>
        <w:numPr>
          <w:ilvl w:val="0"/>
          <w:numId w:val="1006"/>
        </w:numPr>
      </w:pPr>
      <w:r>
        <w:rPr>
          <w:lang w:val="de-DE"/>
        </w:rPr>
        <w:t xml:space="preserve">Eine</w:t>
      </w:r>
      <w:r>
        <w:rPr>
          <w:lang w:val="de-DE"/>
        </w:rPr>
        <w:t xml:space="preserve"> </w:t>
      </w:r>
      <w:r>
        <w:rPr>
          <w:b/>
          <w:bCs/>
          <w:lang w:val="de-DE"/>
        </w:rPr>
        <w:t xml:space="preserve">Sicherungskopie</w:t>
      </w:r>
      <w:r>
        <w:rPr>
          <w:lang w:val="de-DE"/>
        </w:rPr>
        <w:t xml:space="preserve"> </w:t>
      </w:r>
      <w:r>
        <w:rPr>
          <w:lang w:val="de-DE"/>
        </w:rPr>
        <w:t xml:space="preserve">der Daten ist bis zur Bezahlung vorzuhalten, damit sich eine verlorene oder zurückgewiesene Lieferung rekonstruieren lässt.</w:t>
      </w:r>
    </w:p>
    <w:p>
      <w:pPr>
        <w:pStyle w:val="FirstParagraph"/>
      </w:pPr>
      <w:r>
        <w:rPr>
          <w:lang w:val="de-DE"/>
        </w:rPr>
        <w:t xml:space="preserve">Beides ist im Programm bisher nicht abgebildet und gehört zum Weg in den Echtbetrieb. Die geforderte Dokumentation ist dabei fast ein Nebenprodukt: die Angaben entstehen ohnehin beim Versand, sie werden nur nirgends festgehalten.</w:t>
      </w:r>
      <w:r>
        <w:rPr>
          <w:lang w:val="de-DE"/>
        </w:rPr>
        <w:t xml:space="preserve"> </w:t>
      </w:r>
      <w:r>
        <w:rPr>
          <w:lang w:val="de-DE"/>
        </w:rPr>
        <w:t xml:space="preserve"># Aufbau des Programms</w:t>
      </w:r>
    </w:p>
    <w:bookmarkEnd w:id="44"/>
    <w:bookmarkStart w:id="45" w:name="zwei-module"/>
    <w:p>
      <w:pPr>
        <w:pStyle w:val="Heading2"/>
      </w:pPr>
      <w:r>
        <w:rPr>
          <w:lang w:val="de-DE"/>
        </w:rPr>
        <w:t xml:space="preserve">Zwei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de-DE"/>
              </w:rPr>
              <w:t xml:space="preserve">Modul</w:t>
            </w:r>
          </w:p>
        </w:tc>
        <w:tc>
          <w:tcPr/>
          <w:p>
            <w:pPr>
              <w:pStyle w:val="Compact"/>
            </w:pPr>
            <w:r>
              <w:rPr>
                <w:lang w:val="de-DE"/>
              </w:rPr>
              <w:t xml:space="preserve">Inhalt</w:t>
            </w:r>
          </w:p>
        </w:tc>
      </w:tr>
      <w:tr>
        <w:tc>
          <w:tcPr/>
          <w:p>
            <w:pPr>
              <w:pStyle w:val="Compact"/>
            </w:pPr>
            <w:r>
              <w:rPr>
                <w:rStyle w:val="VerbatimChar"/>
                <w:lang w:val="de-DE"/>
              </w:rPr>
              <w:t xml:space="preserve">gkv-core</w:t>
            </w:r>
          </w:p>
        </w:tc>
        <w:tc>
          <w:tcPr/>
          <w:p>
            <w:pPr>
              <w:pStyle w:val="Compact"/>
            </w:pPr>
            <w:r>
              <w:rPr>
                <w:lang w:val="de-DE"/>
              </w:rPr>
              <w:t xml:space="preserve">Domäne, DTA-Erzeugung, Validierung, Versand, Persistenz — ohne JavaFX</w:t>
            </w:r>
          </w:p>
        </w:tc>
      </w:tr>
      <w:tr>
        <w:tc>
          <w:tcPr/>
          <w:p>
            <w:pPr>
              <w:pStyle w:val="Compact"/>
            </w:pPr>
            <w:r>
              <w:rPr>
                <w:rStyle w:val="VerbatimChar"/>
                <w:lang w:val="de-DE"/>
              </w:rPr>
              <w:t xml:space="preserve">gkv-ui</w:t>
            </w:r>
          </w:p>
        </w:tc>
        <w:tc>
          <w:tcPr/>
          <w:p>
            <w:pPr>
              <w:pStyle w:val="Compact"/>
            </w:pPr>
            <w:r>
              <w:rPr>
                <w:lang w:val="de-DE"/>
              </w:rPr>
              <w:t xml:space="preserve">ausschließlich die JavaFX-Oberfläche</w:t>
            </w:r>
          </w:p>
        </w:tc>
      </w:tr>
    </w:tbl>
    <w:p>
      <w:pPr>
        <w:pStyle w:val="BodyText"/>
      </w:pPr>
      <w:r>
        <w:rPr>
          <w:lang w:val="de-DE"/>
        </w:rPr>
        <w:t xml:space="preserve">Die Trennung ist im Build verankert: eine Enforcer-Regel lässt das Übersetzen fehlschlagen, sobald eine JavaFX-Abhängigkeit in den Kern gelangt. Nur ein oberflächenfreier Kern lässt sich ohne laufende Anwendung testen, und daran hängt die automatisierte Prüfung der gesamten Fachlogik.</w:t>
      </w:r>
    </w:p>
    <w:bookmarkEnd w:id="45"/>
    <w:bookmarkStart w:id="49" w:name="fachliches-modell"/>
    <w:p>
      <w:pPr>
        <w:pStyle w:val="Heading2"/>
      </w:pPr>
      <w:r>
        <w:rPr>
          <w:lang w:val="de-DE"/>
        </w:rPr>
        <w:t xml:space="preserve">Fachliches Modell</w:t>
      </w:r>
    </w:p>
    <w:p>
      <w:pPr>
        <w:pStyle w:val="CaptionedFigure"/>
      </w:pPr>
      <w:r>
        <w:drawing>
          <wp:inline>
            <wp:extent cx="5334000" cy="2984770"/>
            <wp:effectExtent b="0" l="0" r="0" t="0"/>
            <wp:docPr descr="Fachliches Modell" title="" id="47" name="Picture"/>
            <a:graphic>
              <a:graphicData uri="http://schemas.openxmlformats.org/drawingml/2006/picture">
                <pic:pic>
                  <pic:nvPicPr>
                    <pic:cNvPr descr="GKVTransmitter_Domaene.png" id="48" name="Picture"/>
                    <pic:cNvPicPr>
                      <a:picLocks noChangeArrowheads="1" noChangeAspect="1"/>
                    </pic:cNvPicPr>
                  </pic:nvPicPr>
                  <pic:blipFill>
                    <a:blip r:embed="rId46"/>
                    <a:stretch>
                      <a:fillRect/>
                    </a:stretch>
                  </pic:blipFill>
                  <pic:spPr bwMode="auto">
                    <a:xfrm>
                      <a:off x="0" y="0"/>
                      <a:ext cx="5334000" cy="2984770"/>
                    </a:xfrm>
                    <a:prstGeom prst="rect">
                      <a:avLst/>
                    </a:prstGeom>
                    <a:noFill/>
                    <a:ln w="9525">
                      <a:noFill/>
                      <a:headEnd/>
                      <a:tailEnd/>
                    </a:ln>
                  </pic:spPr>
                </pic:pic>
              </a:graphicData>
            </a:graphic>
          </wp:inline>
        </w:drawing>
      </w:r>
    </w:p>
    <w:p>
      <w:pPr>
        <w:pStyle w:val="ImageCaption"/>
      </w:pPr>
      <w:r>
        <w:rPr>
          <w:lang w:val="de-DE"/>
        </w:rPr>
        <w:t xml:space="preserve">Fachliches Modell</w:t>
      </w:r>
    </w:p>
    <w:p>
      <w:pPr>
        <w:pStyle w:val="BodyText"/>
      </w:pPr>
      <w:r>
        <w:rPr>
          <w:rStyle w:val="VerbatimChar"/>
          <w:lang w:val="de-DE"/>
        </w:rPr>
        <w:t xml:space="preserve">Person</w:t>
      </w:r>
      <w:r>
        <w:rPr>
          <w:lang w:val="de-DE"/>
        </w:rPr>
        <w:t xml:space="preserve"> </w:t>
      </w:r>
      <w:r>
        <w:rPr>
          <w:lang w:val="de-DE"/>
        </w:rPr>
        <w:t xml:space="preserve">ist die gemeinsame Oberklasse von</w:t>
      </w:r>
      <w:r>
        <w:rPr>
          <w:lang w:val="de-DE"/>
        </w:rPr>
        <w:t xml:space="preserve"> </w:t>
      </w:r>
      <w:r>
        <w:rPr>
          <w:rStyle w:val="VerbatimChar"/>
          <w:lang w:val="de-DE"/>
        </w:rPr>
        <w:t xml:space="preserve">Patient</w:t>
      </w:r>
      <w:r>
        <w:rPr>
          <w:lang w:val="de-DE"/>
        </w:rPr>
        <w:t xml:space="preserve"> </w:t>
      </w:r>
      <w:r>
        <w:rPr>
          <w:lang w:val="de-DE"/>
        </w:rPr>
        <w:t xml:space="preserve">und</w:t>
      </w:r>
      <w:r>
        <w:rPr>
          <w:lang w:val="de-DE"/>
        </w:rPr>
        <w:t xml:space="preserve"> </w:t>
      </w:r>
      <w:r>
        <w:rPr>
          <w:rStyle w:val="VerbatimChar"/>
          <w:lang w:val="de-DE"/>
        </w:rPr>
        <w:t xml:space="preserve">ServiceProvider</w:t>
      </w:r>
      <w:r>
        <w:rPr>
          <w:lang w:val="de-DE"/>
        </w:rPr>
        <w:t xml:space="preserve">. Eine</w:t>
      </w:r>
      <w:r>
        <w:rPr>
          <w:lang w:val="de-DE"/>
        </w:rPr>
        <w:t xml:space="preserve"> </w:t>
      </w:r>
      <w:r>
        <w:rPr>
          <w:rStyle w:val="VerbatimChar"/>
          <w:lang w:val="de-DE"/>
        </w:rPr>
        <w:t xml:space="preserve">PersonGroup</w:t>
      </w:r>
      <w:r>
        <w:rPr>
          <w:lang w:val="de-DE"/>
        </w:rPr>
        <w:t xml:space="preserve"> </w:t>
      </w:r>
      <w:r>
        <w:rPr>
          <w:lang w:val="de-DE"/>
        </w:rPr>
        <w:t xml:space="preserve">fasst beide zusammen. Eine</w:t>
      </w:r>
      <w:r>
        <w:rPr>
          <w:lang w:val="de-DE"/>
        </w:rPr>
        <w:t xml:space="preserve"> </w:t>
      </w:r>
      <w:r>
        <w:rPr>
          <w:rStyle w:val="VerbatimChar"/>
          <w:lang w:val="de-DE"/>
        </w:rPr>
        <w:t xml:space="preserve">Abrechnung</w:t>
      </w:r>
      <w:r>
        <w:rPr>
          <w:lang w:val="de-DE"/>
        </w:rPr>
        <w:t xml:space="preserve"> </w:t>
      </w:r>
      <w:r>
        <w:rPr>
          <w:lang w:val="de-DE"/>
        </w:rPr>
        <w:t xml:space="preserve">verbindet Patientin, Leistungserbringer und Blaupause mit der Terminanzahl und ist die Vorlage für die DTA-Nachricht.</w:t>
      </w:r>
    </w:p>
    <w:bookmarkEnd w:id="49"/>
    <w:bookmarkStart w:id="53" w:name="erzeugung-prüfung-und-versand"/>
    <w:p>
      <w:pPr>
        <w:pStyle w:val="Heading2"/>
      </w:pPr>
      <w:r>
        <w:rPr>
          <w:lang w:val="de-DE"/>
        </w:rPr>
        <w:t xml:space="preserve">Erzeugung, Prüfung und Versand</w:t>
      </w:r>
    </w:p>
    <w:p>
      <w:pPr>
        <w:pStyle w:val="CaptionedFigure"/>
      </w:pPr>
      <w:r>
        <w:drawing>
          <wp:inline>
            <wp:extent cx="5334000" cy="1794495"/>
            <wp:effectExtent b="0" l="0" r="0" t="0"/>
            <wp:docPr descr="DTA-Verarbeitung und Versand" title="" id="51" name="Picture"/>
            <a:graphic>
              <a:graphicData uri="http://schemas.openxmlformats.org/drawingml/2006/picture">
                <pic:pic>
                  <pic:nvPicPr>
                    <pic:cNvPr descr="GKVTransmitter_DTA_und_Versand.png" id="52" name="Picture"/>
                    <pic:cNvPicPr>
                      <a:picLocks noChangeArrowheads="1" noChangeAspect="1"/>
                    </pic:cNvPicPr>
                  </pic:nvPicPr>
                  <pic:blipFill>
                    <a:blip r:embed="rId50"/>
                    <a:stretch>
                      <a:fillRect/>
                    </a:stretch>
                  </pic:blipFill>
                  <pic:spPr bwMode="auto">
                    <a:xfrm>
                      <a:off x="0" y="0"/>
                      <a:ext cx="5334000" cy="1794495"/>
                    </a:xfrm>
                    <a:prstGeom prst="rect">
                      <a:avLst/>
                    </a:prstGeom>
                    <a:noFill/>
                    <a:ln w="9525">
                      <a:noFill/>
                      <a:headEnd/>
                      <a:tailEnd/>
                    </a:ln>
                  </pic:spPr>
                </pic:pic>
              </a:graphicData>
            </a:graphic>
          </wp:inline>
        </w:drawing>
      </w:r>
    </w:p>
    <w:p>
      <w:pPr>
        <w:pStyle w:val="ImageCaption"/>
      </w:pPr>
      <w:r>
        <w:rPr>
          <w:lang w:val="de-DE"/>
        </w:rPr>
        <w:t xml:space="preserve">DTA-Verarbeitung und Versand</w:t>
      </w:r>
    </w:p>
    <w:bookmarkEnd w:id="53"/>
    <w:bookmarkStart w:id="57" w:name="oberfläche-und-datenhaltung"/>
    <w:p>
      <w:pPr>
        <w:pStyle w:val="Heading2"/>
      </w:pPr>
      <w:r>
        <w:rPr>
          <w:lang w:val="de-DE"/>
        </w:rPr>
        <w:t xml:space="preserve">Oberfläche und Datenhaltung</w:t>
      </w:r>
    </w:p>
    <w:p>
      <w:pPr>
        <w:pStyle w:val="CaptionedFigure"/>
      </w:pPr>
      <w:r>
        <w:drawing>
          <wp:inline>
            <wp:extent cx="5334000" cy="3169928"/>
            <wp:effectExtent b="0" l="0" r="0" t="0"/>
            <wp:docPr descr="Oberfläche und Datenzugriff" title="" id="55" name="Picture"/>
            <a:graphic>
              <a:graphicData uri="http://schemas.openxmlformats.org/drawingml/2006/picture">
                <pic:pic>
                  <pic:nvPicPr>
                    <pic:cNvPr descr="GKVTransmitter_Praesentation_und_Persistenz.png" id="56" name="Picture"/>
                    <pic:cNvPicPr>
                      <a:picLocks noChangeArrowheads="1" noChangeAspect="1"/>
                    </pic:cNvPicPr>
                  </pic:nvPicPr>
                  <pic:blipFill>
                    <a:blip r:embed="rId54"/>
                    <a:stretch>
                      <a:fillRect/>
                    </a:stretch>
                  </pic:blipFill>
                  <pic:spPr bwMode="auto">
                    <a:xfrm>
                      <a:off x="0" y="0"/>
                      <a:ext cx="5334000" cy="3169928"/>
                    </a:xfrm>
                    <a:prstGeom prst="rect">
                      <a:avLst/>
                    </a:prstGeom>
                    <a:noFill/>
                    <a:ln w="9525">
                      <a:noFill/>
                      <a:headEnd/>
                      <a:tailEnd/>
                    </a:ln>
                  </pic:spPr>
                </pic:pic>
              </a:graphicData>
            </a:graphic>
          </wp:inline>
        </w:drawing>
      </w:r>
    </w:p>
    <w:p>
      <w:pPr>
        <w:pStyle w:val="ImageCaption"/>
      </w:pPr>
      <w:r>
        <w:rPr>
          <w:lang w:val="de-DE"/>
        </w:rPr>
        <w:t xml:space="preserve">Oberfläche und Datenzugriff</w:t>
      </w:r>
    </w:p>
    <w:p>
      <w:pPr>
        <w:pStyle w:val="BodyText"/>
      </w:pPr>
      <w:r>
        <w:rPr>
          <w:lang w:val="de-DE"/>
        </w:rPr>
        <w:t xml:space="preserve">Die Oberfläche ist in Masken geschnitten: eine je Aufgabe.</w:t>
      </w:r>
      <w:r>
        <w:rPr>
          <w:lang w:val="de-DE"/>
        </w:rPr>
        <w:t xml:space="preserve"> </w:t>
      </w:r>
      <w:r>
        <w:rPr>
          <w:rStyle w:val="VerbatimChar"/>
          <w:lang w:val="de-DE"/>
        </w:rPr>
        <w:t xml:space="preserve">AbrechnungsMaske</w:t>
      </w:r>
      <w:r>
        <w:rPr>
          <w:lang w:val="de-DE"/>
        </w:rPr>
        <w:t xml:space="preserve"> </w:t>
      </w:r>
      <w:r>
        <w:rPr>
          <w:lang w:val="de-DE"/>
        </w:rPr>
        <w:t xml:space="preserve">stellt eine Abrechnung zusammen,</w:t>
      </w:r>
      <w:r>
        <w:rPr>
          <w:lang w:val="de-DE"/>
        </w:rPr>
        <w:t xml:space="preserve"> </w:t>
      </w:r>
      <w:r>
        <w:rPr>
          <w:rStyle w:val="VerbatimChar"/>
          <w:lang w:val="de-DE"/>
        </w:rPr>
        <w:t xml:space="preserve">GruppenMaske</w:t>
      </w:r>
      <w:r>
        <w:rPr>
          <w:lang w:val="de-DE"/>
        </w:rPr>
        <w:t xml:space="preserve"> </w:t>
      </w:r>
      <w:r>
        <w:rPr>
          <w:lang w:val="de-DE"/>
        </w:rPr>
        <w:t xml:space="preserve">pflegt die Gruppen,</w:t>
      </w:r>
      <w:r>
        <w:rPr>
          <w:lang w:val="de-DE"/>
        </w:rPr>
        <w:t xml:space="preserve"> </w:t>
      </w:r>
      <w:r>
        <w:rPr>
          <w:rStyle w:val="VerbatimChar"/>
          <w:lang w:val="de-DE"/>
        </w:rPr>
        <w:t xml:space="preserve">PersonenMaske</w:t>
      </w:r>
      <w:r>
        <w:rPr>
          <w:lang w:val="de-DE"/>
        </w:rPr>
        <w:t xml:space="preserve"> </w:t>
      </w:r>
      <w:r>
        <w:rPr>
          <w:lang w:val="de-DE"/>
        </w:rPr>
        <w:t xml:space="preserve">die Teilnehmer und Dienstleister,</w:t>
      </w:r>
      <w:r>
        <w:rPr>
          <w:lang w:val="de-DE"/>
        </w:rPr>
        <w:t xml:space="preserve"> </w:t>
      </w:r>
      <w:r>
        <w:rPr>
          <w:rStyle w:val="VerbatimChar"/>
          <w:lang w:val="de-DE"/>
        </w:rPr>
        <w:t xml:space="preserve">Feldbau</w:t>
      </w:r>
      <w:r>
        <w:rPr>
          <w:lang w:val="de-DE"/>
        </w:rPr>
        <w:t xml:space="preserve"> </w:t>
      </w:r>
      <w:r>
        <w:rPr>
          <w:lang w:val="de-DE"/>
        </w:rPr>
        <w:t xml:space="preserve">erzeugt und prüft die Eingabefelder.</w:t>
      </w:r>
      <w:r>
        <w:rPr>
          <w:lang w:val="de-DE"/>
        </w:rPr>
        <w:t xml:space="preserve"> </w:t>
      </w:r>
      <w:r>
        <w:rPr>
          <w:rStyle w:val="VerbatimChar"/>
          <w:lang w:val="de-DE"/>
        </w:rPr>
        <w:t xml:space="preserve">Hauptfenster</w:t>
      </w:r>
      <w:r>
        <w:rPr>
          <w:lang w:val="de-DE"/>
        </w:rPr>
        <w:t xml:space="preserve"> </w:t>
      </w:r>
      <w:r>
        <w:rPr>
          <w:lang w:val="de-DE"/>
        </w:rPr>
        <w:t xml:space="preserve">trägt Seitenleiste, Kopfzeile und Statuszeile und weist jeder Maske ihren Platz zu.</w:t>
      </w:r>
    </w:p>
    <w:p>
      <w:pPr>
        <w:pStyle w:val="BodyText"/>
      </w:pPr>
      <w:r>
        <w:rPr>
          <w:lang w:val="de-DE"/>
        </w:rPr>
        <w:t xml:space="preserve">Jede Maske bekommt von außen, was sie braucht — Daten, Meldewege, den Platz, an dem sie erscheint. Deshalb lässt sich jede einzeln prüfen, ohne Datenbank und ohne dass etwas auf dem Bildschirm erscheinen müsste.</w:t>
      </w:r>
    </w:p>
    <w:p>
      <w:pPr>
        <w:pStyle w:val="BodyText"/>
      </w:pPr>
      <w:r>
        <w:rPr>
          <w:b/>
          <w:bCs/>
          <w:lang w:val="de-DE"/>
        </w:rPr>
        <w:t xml:space="preserve">Im laufenden Betrieb öffnet die Anwendung kein Fenster.</w:t>
      </w:r>
      <w:r>
        <w:rPr>
          <w:lang w:val="de-DE"/>
        </w:rPr>
        <w:t xml:space="preserve"> </w:t>
      </w:r>
      <w:r>
        <w:rPr>
          <w:lang w:val="de-DE"/>
        </w:rPr>
        <w:t xml:space="preserve">Meldungen erscheinen in der Ecke oben rechts und gehen nach wenigen Sekunden von selbst; was schiefgegangen ist und was eine Antwort verlangt, bleibt stehen, bis es zur Kenntnis genommen wurde. Auch die Rückfrage vor dem Löschen und der Prüfbericht einer abgewiesenen Abrechnung erscheinen dort — Letzterer als Liste, die sich Punkt für Punkt abarbeiten lässt.</w:t>
      </w:r>
    </w:p>
    <w:p>
      <w:pPr>
        <w:pStyle w:val="BodyText"/>
      </w:pPr>
      <w:r>
        <w:rPr>
          <w:lang w:val="de-DE"/>
        </w:rPr>
        <w:t xml:space="preserve">Unter jedem Eingabefeld steht, was hineingehört, und darunter Platz für eine Beanstandung. Das</w:t>
      </w:r>
      <w:r>
        <w:rPr>
          <w:lang w:val="de-DE"/>
        </w:rPr>
        <w:t xml:space="preserve"> </w:t>
      </w:r>
      <w:r>
        <w:rPr>
          <w:b/>
          <w:bCs/>
          <w:lang w:val="de-DE"/>
        </w:rPr>
        <w:t xml:space="preserve">Institutionskennzeichen wird schon hier gegen seine Prüfziffer geprüft</w:t>
      </w:r>
      <w:r>
        <w:rPr>
          <w:lang w:val="de-DE"/>
        </w:rPr>
        <w:t xml:space="preserve">: ein falsches IK lässt die Kasse sonst die gesamte Lieferung abweisen, und das fiele erst Tage später auf.</w:t>
      </w:r>
    </w:p>
    <w:p>
      <w:pPr>
        <w:pStyle w:val="BodyText"/>
      </w:pPr>
      <w:r>
        <w:rPr>
          <w:rStyle w:val="VerbatimChar"/>
          <w:lang w:val="de-DE"/>
        </w:rPr>
        <w:t xml:space="preserve">DataRepository</w:t>
      </w:r>
      <w:r>
        <w:rPr>
          <w:lang w:val="de-DE"/>
        </w:rPr>
        <w:t xml:space="preserve"> </w:t>
      </w:r>
      <w:r>
        <w:rPr>
          <w:lang w:val="de-DE"/>
        </w:rPr>
        <w:t xml:space="preserve">ist der Vertrag,</w:t>
      </w:r>
      <w:r>
        <w:rPr>
          <w:lang w:val="de-DE"/>
        </w:rPr>
        <w:t xml:space="preserve"> </w:t>
      </w:r>
      <w:r>
        <w:rPr>
          <w:rStyle w:val="VerbatimChar"/>
          <w:lang w:val="de-DE"/>
        </w:rPr>
        <w:t xml:space="preserve">HibernateSqllite</w:t>
      </w:r>
      <w:r>
        <w:rPr>
          <w:lang w:val="de-DE"/>
        </w:rPr>
        <w:t xml:space="preserve"> </w:t>
      </w:r>
      <w:r>
        <w:rPr>
          <w:lang w:val="de-DE"/>
        </w:rPr>
        <w:t xml:space="preserve">die Umsetzung. Die Oberfläche kennt nur den Vertrag — die Datenhaltung wäre austauschbar, ohne die Oberfläche zu berühren.</w:t>
      </w:r>
    </w:p>
    <w:bookmarkEnd w:id="57"/>
    <w:bookmarkStart w:id="58" w:name="erweiterungspunkte"/>
    <w:p>
      <w:pPr>
        <w:pStyle w:val="Heading2"/>
      </w:pPr>
      <w:r>
        <w:rPr>
          <w:lang w:val="de-DE"/>
        </w:rPr>
        <w:t xml:space="preserve">Erweiterungspunkte</w:t>
      </w:r>
    </w:p>
    <w:p>
      <w:pPr>
        <w:pStyle w:val="FirstParagraph"/>
      </w:pPr>
      <w:r>
        <w:rPr>
          <w:lang w:val="de-DE"/>
        </w:rPr>
        <w:t xml:space="preserve">An fünf Stellen ist ein Vertrag bewusst von seiner Umsetzung getrennt, damit sich das Programm erweitern lässt, ohne Bestehendes anzufassen: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Vertrag</w:t>
            </w:r>
          </w:p>
        </w:tc>
        <w:tc>
          <w:tcPr/>
          <w:p>
            <w:pPr>
              <w:pStyle w:val="Compact"/>
            </w:pPr>
            <w:r>
              <w:rPr>
                <w:lang w:val="de-DE"/>
              </w:rPr>
              <w:t xml:space="preserve">Heutige Umsetzung</w:t>
            </w:r>
          </w:p>
        </w:tc>
        <w:tc>
          <w:tcPr/>
          <w:p>
            <w:pPr>
              <w:pStyle w:val="Compact"/>
            </w:pPr>
            <w:r>
              <w:rPr>
                <w:lang w:val="de-DE"/>
              </w:rPr>
              <w:t xml:space="preserve">Erweiterbar um</w:t>
            </w:r>
          </w:p>
        </w:tc>
      </w:tr>
      <w:tr>
        <w:tc>
          <w:tcPr/>
          <w:p>
            <w:pPr>
              <w:pStyle w:val="Compact"/>
            </w:pPr>
            <w:r>
              <w:rPr>
                <w:rStyle w:val="VerbatimChar"/>
                <w:lang w:val="de-DE"/>
              </w:rPr>
              <w:t xml:space="preserve">DataRepository</w:t>
            </w:r>
          </w:p>
        </w:tc>
        <w:tc>
          <w:tcPr/>
          <w:p>
            <w:pPr>
              <w:pStyle w:val="Compact"/>
            </w:pPr>
            <w:r>
              <w:rPr>
                <w:rStyle w:val="VerbatimChar"/>
                <w:lang w:val="de-DE"/>
              </w:rPr>
              <w:t xml:space="preserve">HibernateSqllite</w:t>
            </w:r>
          </w:p>
        </w:tc>
        <w:tc>
          <w:tcPr/>
          <w:p>
            <w:pPr>
              <w:pStyle w:val="Compact"/>
            </w:pPr>
            <w:r>
              <w:rPr>
                <w:lang w:val="de-DE"/>
              </w:rPr>
              <w:t xml:space="preserve">eine andere Datenhaltung</w:t>
            </w:r>
          </w:p>
        </w:tc>
      </w:tr>
      <w:tr>
        <w:tc>
          <w:tcPr/>
          <w:p>
            <w:pPr>
              <w:pStyle w:val="Compact"/>
            </w:pPr>
            <w:r>
              <w:rPr>
                <w:rStyle w:val="VerbatimChar"/>
                <w:lang w:val="de-DE"/>
              </w:rPr>
              <w:t xml:space="preserve">BillingOfficeTransport</w:t>
            </w:r>
          </w:p>
        </w:tc>
        <w:tc>
          <w:tcPr/>
          <w:p>
            <w:pPr>
              <w:pStyle w:val="Compact"/>
            </w:pPr>
            <w:r>
              <w:rPr>
                <w:lang w:val="de-DE"/>
              </w:rPr>
              <w:t xml:space="preserve">Datei-Zustellung, simulierte Kasse</w:t>
            </w:r>
          </w:p>
        </w:tc>
        <w:tc>
          <w:tcPr/>
          <w:p>
            <w:pPr>
              <w:pStyle w:val="Compact"/>
            </w:pPr>
            <w:r>
              <w:rPr>
                <w:lang w:val="de-DE"/>
              </w:rPr>
              <w:t xml:space="preserve">einen echten Übermittlungsweg</w:t>
            </w:r>
          </w:p>
        </w:tc>
      </w:tr>
      <w:tr>
        <w:tc>
          <w:tcPr/>
          <w:p>
            <w:pPr>
              <w:pStyle w:val="Compact"/>
            </w:pPr>
            <w:r>
              <w:rPr>
                <w:rStyle w:val="VerbatimChar"/>
                <w:lang w:val="de-DE"/>
              </w:rPr>
              <w:t xml:space="preserve">ValidationRule</w:t>
            </w:r>
          </w:p>
        </w:tc>
        <w:tc>
          <w:tcPr/>
          <w:p>
            <w:pPr>
              <w:pStyle w:val="Compact"/>
            </w:pPr>
            <w:r>
              <w:rPr>
                <w:lang w:val="de-DE"/>
              </w:rPr>
              <w:t xml:space="preserve">sieben mitgelieferte Regeln</w:t>
            </w:r>
          </w:p>
        </w:tc>
        <w:tc>
          <w:tcPr/>
          <w:p>
            <w:pPr>
              <w:pStyle w:val="Compact"/>
            </w:pPr>
            <w:r>
              <w:rPr>
                <w:lang w:val="de-DE"/>
              </w:rPr>
              <w:t xml:space="preserve">weitere fachliche Prüfungen</w:t>
            </w:r>
          </w:p>
        </w:tc>
      </w:tr>
      <w:tr>
        <w:tc>
          <w:tcPr/>
          <w:p>
            <w:pPr>
              <w:pStyle w:val="Compact"/>
            </w:pPr>
            <w:r>
              <w:rPr>
                <w:rStyle w:val="VerbatimChar"/>
                <w:lang w:val="de-DE"/>
              </w:rPr>
              <w:t xml:space="preserve">Meldungen</w:t>
            </w:r>
          </w:p>
        </w:tc>
        <w:tc>
          <w:tcPr/>
          <w:p>
            <w:pPr>
              <w:pStyle w:val="Compact"/>
            </w:pPr>
            <w:r>
              <w:rPr>
                <w:lang w:val="de-DE"/>
              </w:rPr>
              <w:t xml:space="preserve">die Meldungsecke im Fenster</w:t>
            </w:r>
          </w:p>
        </w:tc>
        <w:tc>
          <w:tcPr/>
          <w:p>
            <w:pPr>
              <w:pStyle w:val="Compact"/>
            </w:pPr>
            <w:r>
              <w:rPr>
                <w:lang w:val="de-DE"/>
              </w:rPr>
              <w:t xml:space="preserve">eine andere Art zu melden, etwa ein Protokoll</w:t>
            </w:r>
          </w:p>
        </w:tc>
      </w:tr>
      <w:tr>
        <w:tc>
          <w:tcPr/>
          <w:p>
            <w:pPr>
              <w:pStyle w:val="Compact"/>
            </w:pPr>
            <w:r>
              <w:rPr>
                <w:rStyle w:val="VerbatimChar"/>
                <w:lang w:val="de-DE"/>
              </w:rPr>
              <w:t xml:space="preserve">Maskenrahmen</w:t>
            </w:r>
          </w:p>
        </w:tc>
        <w:tc>
          <w:tcPr/>
          <w:p>
            <w:pPr>
              <w:pStyle w:val="Compact"/>
            </w:pPr>
            <w:r>
              <w:rPr>
                <w:lang w:val="de-DE"/>
              </w:rPr>
              <w:t xml:space="preserve">die Mitte des Hauptfensters</w:t>
            </w:r>
          </w:p>
        </w:tc>
        <w:tc>
          <w:tcPr/>
          <w:p>
            <w:pPr>
              <w:pStyle w:val="Compact"/>
            </w:pPr>
            <w:r>
              <w:rPr>
                <w:lang w:val="de-DE"/>
              </w:rPr>
              <w:t xml:space="preserve">eine andere Anordnung der Masken</w:t>
            </w:r>
          </w:p>
        </w:tc>
      </w:tr>
    </w:tbl>
    <w:bookmarkEnd w:id="58"/>
    <w:bookmarkEnd w:id="59"/>
    <w:bookmarkStart w:id="62" w:name="konfiguration"/>
    <w:p>
      <w:pPr>
        <w:pStyle w:val="Heading1"/>
      </w:pPr>
      <w:r>
        <w:rPr>
          <w:lang w:val="de-DE"/>
        </w:rPr>
        <w:t xml:space="preserve">Konfiguration</w:t>
      </w:r>
    </w:p>
    <w:bookmarkStart w:id="60" w:name="einstellungen-in-der-anwendung"/>
    <w:p>
      <w:pPr>
        <w:pStyle w:val="Heading2"/>
      </w:pPr>
      <w:r>
        <w:rPr>
          <w:lang w:val="de-DE"/>
        </w:rPr>
        <w:t xml:space="preserve">Einstellungen in der Anwendung</w:t>
      </w:r>
    </w:p>
    <w:p>
      <w:pPr>
        <w:pStyle w:val="FirstParagraph"/>
      </w:pPr>
      <w:r>
        <w:rPr>
          <w:lang w:val="de-DE"/>
        </w:rPr>
        <w:t xml:space="preserve">Was sich im Bereich „Einstellungen” wählen lässt, steht in der Tabelle</w:t>
      </w:r>
      <w:r>
        <w:rPr>
          <w:lang w:val="de-DE"/>
        </w:rPr>
        <w:t xml:space="preserve"> </w:t>
      </w:r>
      <w:r>
        <w:rPr>
          <w:rStyle w:val="VerbatimChar"/>
          <w:lang w:val="de-DE"/>
        </w:rPr>
        <w:t xml:space="preserve">einstellung</w:t>
      </w:r>
      <w:r>
        <w:rPr>
          <w:lang w:val="de-DE"/>
        </w:rPr>
        <w:t xml:space="preserve"> </w:t>
      </w:r>
      <w:r>
        <w:rPr>
          <w:lang w:val="de-DE"/>
        </w:rPr>
        <w:t xml:space="preserve">der Datenbank — also im Ablageort der Daten und</w:t>
      </w:r>
      <w:r>
        <w:rPr>
          <w:lang w:val="de-DE"/>
        </w:rPr>
        <w:t xml:space="preserve"> </w:t>
      </w:r>
      <w:r>
        <w:rPr>
          <w:b/>
          <w:bCs/>
          <w:lang w:val="de-DE"/>
        </w:rPr>
        <w:t xml:space="preserve">nicht im Programmordner</w:t>
      </w:r>
      <w:r>
        <w:rPr>
          <w:lang w:val="de-DE"/>
        </w:rPr>
        <w:t xml:space="preserve">. Wer die Datenbank sichert oder auf einen anderen Rechner mitnimmt, nimmt die Einstellungen mit.</w:t>
      </w:r>
    </w:p>
    <w:p>
      <w:pPr>
        <w:pStyle w:val="BodyText"/>
      </w:pPr>
      <w:r>
        <w:rPr>
          <w:lang w:val="de-DE"/>
        </w:rPr>
        <w:t xml:space="preserve">Einen Tag lang war es eine eigene Datei</w:t>
      </w:r>
      <w:r>
        <w:rPr>
          <w:lang w:val="de-DE"/>
        </w:rPr>
        <w:t xml:space="preserve"> </w:t>
      </w:r>
      <w:r>
        <w:rPr>
          <w:rStyle w:val="VerbatimChar"/>
          <w:lang w:val="de-DE"/>
        </w:rPr>
        <w:t xml:space="preserve">einstellungen.json</w:t>
      </w:r>
      <w:r>
        <w:rPr>
          <w:lang w:val="de-DE"/>
        </w:rPr>
        <w:t xml:space="preserve"> </w:t>
      </w:r>
      <w:r>
        <w:rPr>
          <w:lang w:val="de-DE"/>
        </w:rPr>
        <w:t xml:space="preserve">neben der Datenbank. Sie hat sich nicht gehalten: sie lag im selben Ordner, wurde von derselben Sicherung erfasst und folgte demselben</w:t>
      </w:r>
      <w:r>
        <w:rPr>
          <w:lang w:val="de-DE"/>
        </w:rPr>
        <w:t xml:space="preserve"> </w:t>
      </w:r>
      <w:r>
        <w:rPr>
          <w:rStyle w:val="VerbatimChar"/>
          <w:lang w:val="de-DE"/>
        </w:rPr>
        <w:t xml:space="preserve">gkv.home</w:t>
      </w:r>
      <w:r>
        <w:rPr>
          <w:lang w:val="de-DE"/>
        </w:rPr>
        <w:t xml:space="preserve"> </w:t>
      </w:r>
      <w:r>
        <w:rPr>
          <w:lang w:val="de-DE"/>
        </w:rPr>
        <w:t xml:space="preserve">— sie konnte nichts, was die Datenbank nicht auch kann, brachte aber einen zweiten Ablageweg mit eigenem Lese-, Schreib- und Nebendateifehler mit.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de-DE"/>
              </w:rPr>
              <w:t xml:space="preserve">Schlüssel</w:t>
            </w:r>
          </w:p>
        </w:tc>
        <w:tc>
          <w:tcPr/>
          <w:p>
            <w:pPr>
              <w:pStyle w:val="Compact"/>
            </w:pPr>
            <w:r>
              <w:rPr>
                <w:lang w:val="de-DE"/>
              </w:rPr>
              <w:t xml:space="preserve">Werte</w:t>
            </w:r>
          </w:p>
        </w:tc>
        <w:tc>
          <w:tcPr/>
          <w:p>
            <w:pPr>
              <w:pStyle w:val="Compact"/>
            </w:pPr>
            <w:r>
              <w:rPr>
                <w:lang w:val="de-DE"/>
              </w:rPr>
              <w:t xml:space="preserve">Vorgabe</w:t>
            </w:r>
          </w:p>
        </w:tc>
        <w:tc>
          <w:tcPr/>
          <w:p>
            <w:pPr>
              <w:pStyle w:val="Compact"/>
            </w:pPr>
            <w:r>
              <w:rPr>
                <w:lang w:val="de-DE"/>
              </w:rPr>
              <w:t xml:space="preserve">Bedeutung</w:t>
            </w:r>
          </w:p>
        </w:tc>
      </w:tr>
      <w:tr>
        <w:tc>
          <w:tcPr/>
          <w:p>
            <w:pPr>
              <w:pStyle w:val="Compact"/>
            </w:pPr>
            <w:r>
              <w:rPr>
                <w:rStyle w:val="VerbatimChar"/>
                <w:lang w:val="de-DE"/>
              </w:rPr>
              <w:t xml:space="preserve">darstellung</w:t>
            </w:r>
          </w:p>
        </w:tc>
        <w:tc>
          <w:tcPr/>
          <w:p>
            <w:pPr>
              <w:pStyle w:val="Compact"/>
            </w:pPr>
            <w:r>
              <w:rPr>
                <w:rStyle w:val="VerbatimChar"/>
                <w:lang w:val="de-DE"/>
              </w:rPr>
              <w:t xml:space="preserve">hell</w:t>
            </w:r>
            <w:r>
              <w:rPr>
                <w:lang w:val="de-DE"/>
              </w:rPr>
              <w:t xml:space="preserve">,</w:t>
            </w:r>
            <w:r>
              <w:rPr>
                <w:lang w:val="de-DE"/>
              </w:rPr>
              <w:t xml:space="preserve"> </w:t>
            </w:r>
            <w:r>
              <w:rPr>
                <w:rStyle w:val="VerbatimChar"/>
                <w:lang w:val="de-DE"/>
              </w:rPr>
              <w:t xml:space="preserve">dunkel</w:t>
            </w:r>
          </w:p>
        </w:tc>
        <w:tc>
          <w:tcPr/>
          <w:p>
            <w:pPr>
              <w:pStyle w:val="Compact"/>
            </w:pPr>
            <w:r>
              <w:rPr>
                <w:rStyle w:val="VerbatimChar"/>
                <w:lang w:val="de-DE"/>
              </w:rPr>
              <w:t xml:space="preserve">hell</w:t>
            </w:r>
          </w:p>
        </w:tc>
        <w:tc>
          <w:tcPr/>
          <w:p>
            <w:pPr>
              <w:pStyle w:val="Compact"/>
            </w:pPr>
            <w:r>
              <w:rPr>
                <w:lang w:val="de-DE"/>
              </w:rPr>
              <w:t xml:space="preserve">helle oder dunkle Oberfläche</w:t>
            </w:r>
          </w:p>
        </w:tc>
      </w:tr>
      <w:tr>
        <w:tc>
          <w:tcPr/>
          <w:p>
            <w:pPr>
              <w:pStyle w:val="Compact"/>
            </w:pPr>
            <w:r>
              <w:rPr>
                <w:rStyle w:val="VerbatimChar"/>
                <w:lang w:val="de-DE"/>
              </w:rPr>
              <w:t xml:space="preserve">uebermittlungsart</w:t>
            </w:r>
          </w:p>
        </w:tc>
        <w:tc>
          <w:tcPr/>
          <w:p>
            <w:pPr>
              <w:pStyle w:val="Compact"/>
            </w:pPr>
            <w:r>
              <w:rPr>
                <w:rStyle w:val="VerbatimChar"/>
                <w:lang w:val="de-DE"/>
              </w:rPr>
              <w:t xml:space="preserve">test</w:t>
            </w:r>
            <w:r>
              <w:rPr>
                <w:lang w:val="de-DE"/>
              </w:rPr>
              <w:t xml:space="preserve">,</w:t>
            </w:r>
            <w:r>
              <w:rPr>
                <w:lang w:val="de-DE"/>
              </w:rPr>
              <w:t xml:space="preserve"> </w:t>
            </w:r>
            <w:r>
              <w:rPr>
                <w:rStyle w:val="VerbatimChar"/>
                <w:lang w:val="de-DE"/>
              </w:rPr>
              <w:t xml:space="preserve">erprobung</w:t>
            </w:r>
            <w:r>
              <w:rPr>
                <w:lang w:val="de-DE"/>
              </w:rPr>
              <w:t xml:space="preserve">,</w:t>
            </w:r>
            <w:r>
              <w:rPr>
                <w:lang w:val="de-DE"/>
              </w:rPr>
              <w:t xml:space="preserve"> </w:t>
            </w:r>
            <w:r>
              <w:rPr>
                <w:rStyle w:val="VerbatimChar"/>
                <w:lang w:val="de-DE"/>
              </w:rPr>
              <w:t xml:space="preserve">echt</w:t>
            </w:r>
          </w:p>
        </w:tc>
        <w:tc>
          <w:tcPr/>
          <w:p>
            <w:pPr>
              <w:pStyle w:val="Compact"/>
            </w:pPr>
            <w:r>
              <w:rPr>
                <w:rStyle w:val="VerbatimChar"/>
                <w:lang w:val="de-DE"/>
              </w:rPr>
              <w:t xml:space="preserve">erprobung</w:t>
            </w:r>
          </w:p>
        </w:tc>
        <w:tc>
          <w:tcPr/>
          <w:p>
            <w:pPr>
              <w:pStyle w:val="Compact"/>
            </w:pPr>
            <w:r>
              <w:rPr>
                <w:lang w:val="de-DE"/>
              </w:rPr>
              <w:t xml:space="preserve">wofür sich erzeugte Dateien ausgeben</w:t>
            </w:r>
          </w:p>
        </w:tc>
      </w:tr>
    </w:tbl>
    <w:p>
      <w:pPr>
        <w:pStyle w:val="BodyText"/>
      </w:pPr>
      <w:r>
        <w:rPr>
          <w:lang w:val="de-DE"/>
        </w:rPr>
        <w:t xml:space="preserve">Jede Änderung wirkt sofort und wird sofort geschrieben. Ist die Datei beschädigt oder nicht lesbar, gelten die Vorgaben und die Anwendung startet trotzdem — eine Farbwahl ist nichts, wofür ein Programm nicht aufgehen darf.</w:t>
      </w:r>
    </w:p>
    <w:p>
      <w:pPr>
        <w:pStyle w:val="BodyText"/>
      </w:pPr>
      <w:r>
        <w:rPr>
          <w:b/>
          <w:bCs/>
          <w:lang w:val="de-DE"/>
        </w:rPr>
        <w:t xml:space="preserve">Zugangsdaten und Schlüssel gehören nicht in diese Datei.</w:t>
      </w:r>
      <w:r>
        <w:rPr>
          <w:lang w:val="de-DE"/>
        </w:rPr>
        <w:t xml:space="preserve"> </w:t>
      </w:r>
      <w:r>
        <w:rPr>
          <w:lang w:val="de-DE"/>
        </w:rPr>
        <w:t xml:space="preserve">Sie liegt im Klartext im Benutzerprofil. Sobald ein echter Übermittlungsweg Zugangsdaten braucht, gehören diese in den Anmeldeinformationsspeicher des Betriebssystems.</w:t>
      </w:r>
    </w:p>
    <w:bookmarkEnd w:id="60"/>
    <w:bookmarkStart w:id="61" w:name="beim-start"/>
    <w:p>
      <w:pPr>
        <w:pStyle w:val="Heading2"/>
      </w:pPr>
      <w:r>
        <w:rPr>
          <w:lang w:val="de-DE"/>
        </w:rPr>
        <w:t xml:space="preserve">Beim Start</w:t>
      </w:r>
    </w:p>
    <w:p>
      <w:pPr>
        <w:pStyle w:val="FirstParagraph"/>
      </w:pPr>
      <w:r>
        <w:rPr>
          <w:lang w:val="de-DE"/>
        </w:rPr>
        <w:t xml:space="preserve">Alle folgenden Angaben sind optional; ohne Angabe gelten die Vorgabewerte.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de-DE"/>
              </w:rPr>
              <w:t xml:space="preserve">Systemeigenschaft</w:t>
            </w:r>
          </w:p>
        </w:tc>
        <w:tc>
          <w:tcPr/>
          <w:p>
            <w:pPr>
              <w:pStyle w:val="Compact"/>
            </w:pPr>
            <w:r>
              <w:rPr>
                <w:lang w:val="de-DE"/>
              </w:rPr>
              <w:t xml:space="preserve">Umgebungsvariable</w:t>
            </w:r>
          </w:p>
        </w:tc>
        <w:tc>
          <w:tcPr/>
          <w:p>
            <w:pPr>
              <w:pStyle w:val="Compact"/>
            </w:pPr>
            <w:r>
              <w:rPr>
                <w:lang w:val="de-DE"/>
              </w:rPr>
              <w:t xml:space="preserve">Vorgabe</w:t>
            </w:r>
          </w:p>
        </w:tc>
        <w:tc>
          <w:tcPr/>
          <w:p>
            <w:pPr>
              <w:pStyle w:val="Compact"/>
            </w:pPr>
            <w:r>
              <w:rPr>
                <w:lang w:val="de-DE"/>
              </w:rPr>
              <w:t xml:space="preserve">Bedeutung</w:t>
            </w:r>
          </w:p>
        </w:tc>
      </w:tr>
      <w:tr>
        <w:tc>
          <w:tcPr/>
          <w:p>
            <w:pPr>
              <w:pStyle w:val="Compact"/>
            </w:pPr>
            <w:r>
              <w:rPr>
                <w:rStyle w:val="VerbatimChar"/>
                <w:lang w:val="de-DE"/>
              </w:rPr>
              <w:t xml:space="preserve">gkv.home</w:t>
            </w:r>
          </w:p>
        </w:tc>
        <w:tc>
          <w:tcPr/>
          <w:p>
            <w:pPr>
              <w:pStyle w:val="Compact"/>
            </w:pPr>
            <w:r>
              <w:rPr>
                <w:rStyle w:val="VerbatimChar"/>
                <w:lang w:val="de-DE"/>
              </w:rPr>
              <w:t xml:space="preserve">GKV_HOME</w:t>
            </w:r>
          </w:p>
        </w:tc>
        <w:tc>
          <w:tcPr/>
          <w:p>
            <w:pPr>
              <w:pStyle w:val="Compact"/>
            </w:pPr>
            <w:r>
              <w:rPr>
                <w:lang w:val="de-DE"/>
              </w:rPr>
              <w:t xml:space="preserve">Benutzerprofil</w:t>
            </w:r>
          </w:p>
        </w:tc>
        <w:tc>
          <w:tcPr/>
          <w:p>
            <w:pPr>
              <w:pStyle w:val="Compact"/>
            </w:pPr>
            <w:r>
              <w:rPr>
                <w:lang w:val="de-DE"/>
              </w:rPr>
              <w:t xml:space="preserve">Ablageort aller Daten</w:t>
            </w:r>
          </w:p>
        </w:tc>
      </w:tr>
      <w:tr>
        <w:tc>
          <w:tcPr/>
          <w:p>
            <w:pPr>
              <w:pStyle w:val="Compact"/>
            </w:pPr>
            <w:r>
              <w:rPr>
                <w:rStyle w:val="VerbatimChar"/>
                <w:lang w:val="de-DE"/>
              </w:rPr>
              <w:t xml:space="preserve">gkv.db.path</w:t>
            </w:r>
          </w:p>
        </w:tc>
        <w:tc>
          <w:tcPr/>
          <w:p>
            <w:pPr>
              <w:pStyle w:val="Compact"/>
            </w:pPr>
            <w:r>
              <w:rPr>
                <w:rStyle w:val="VerbatimChar"/>
                <w:lang w:val="de-DE"/>
              </w:rPr>
              <w:t xml:space="preserve">GKV_DB_PATH</w:t>
            </w:r>
          </w:p>
        </w:tc>
        <w:tc>
          <w:tcPr/>
          <w:p>
            <w:pPr>
              <w:pStyle w:val="Compact"/>
            </w:pPr>
            <w:r>
              <w:rPr>
                <w:rStyle w:val="VerbatimChar"/>
                <w:lang w:val="de-DE"/>
              </w:rPr>
              <w:t xml:space="preserve">database.db</w:t>
            </w:r>
            <w:r>
              <w:rPr>
                <w:lang w:val="de-DE"/>
              </w:rPr>
              <w:t xml:space="preserve"> </w:t>
            </w:r>
            <w:r>
              <w:rPr>
                <w:lang w:val="de-DE"/>
              </w:rPr>
              <w:t xml:space="preserve">im Ablageort</w:t>
            </w:r>
          </w:p>
        </w:tc>
        <w:tc>
          <w:tcPr/>
          <w:p>
            <w:pPr>
              <w:pStyle w:val="Compact"/>
            </w:pPr>
            <w:r>
              <w:rPr>
                <w:lang w:val="de-DE"/>
              </w:rPr>
              <w:t xml:space="preserve">Ort der Datenbankdatei</w:t>
            </w:r>
          </w:p>
        </w:tc>
      </w:tr>
      <w:tr>
        <w:tc>
          <w:tcPr/>
          <w:p>
            <w:pPr>
              <w:pStyle w:val="Compact"/>
            </w:pPr>
            <w:r>
              <w:rPr>
                <w:rStyle w:val="VerbatimChar"/>
                <w:lang w:val="de-DE"/>
              </w:rPr>
              <w:t xml:space="preserve">gkv.db.schema</w:t>
            </w:r>
          </w:p>
        </w:tc>
        <w:tc>
          <w:tcPr/>
          <w:p>
            <w:pPr>
              <w:pStyle w:val="Compact"/>
            </w:pPr>
            <w:r>
              <w:rPr>
                <w:rStyle w:val="VerbatimChar"/>
                <w:lang w:val="de-DE"/>
              </w:rPr>
              <w:t xml:space="preserve">GKV_DB_SCHEMA</w:t>
            </w:r>
          </w:p>
        </w:tc>
        <w:tc>
          <w:tcPr/>
          <w:p>
            <w:pPr>
              <w:pStyle w:val="Compact"/>
            </w:pPr>
            <w:r>
              <w:rPr>
                <w:rStyle w:val="VerbatimChar"/>
                <w:lang w:val="de-DE"/>
              </w:rPr>
              <w:t xml:space="preserve">update</w:t>
            </w:r>
          </w:p>
        </w:tc>
        <w:tc>
          <w:tcPr/>
          <w:p>
            <w:pPr>
              <w:pStyle w:val="Compact"/>
            </w:pPr>
            <w:r>
              <w:rPr>
                <w:lang w:val="de-DE"/>
              </w:rPr>
              <w:t xml:space="preserve">Umgang mit dem Datenbankschema</w:t>
            </w:r>
          </w:p>
        </w:tc>
      </w:tr>
      <w:tr>
        <w:tc>
          <w:tcPr/>
          <w:p>
            <w:pPr>
              <w:pStyle w:val="Compact"/>
            </w:pPr>
            <w:r>
              <w:rPr>
                <w:rStyle w:val="VerbatimChar"/>
                <w:lang w:val="de-DE"/>
              </w:rPr>
              <w:t xml:space="preserve">gkv.testdaten</w:t>
            </w:r>
          </w:p>
        </w:tc>
        <w:tc>
          <w:tcPr/>
          <w:p>
            <w:pPr>
              <w:pStyle w:val="Compact"/>
            </w:pPr>
            <w:r>
              <w:rPr>
                <w:lang w:val="de-DE"/>
              </w:rPr>
              <w:t xml:space="preserve">—</w:t>
            </w:r>
          </w:p>
        </w:tc>
        <w:tc>
          <w:tcPr/>
          <w:p>
            <w:pPr>
              <w:pStyle w:val="Compact"/>
            </w:pPr>
            <w:r>
              <w:rPr>
                <w:rStyle w:val="VerbatimChar"/>
                <w:lang w:val="de-DE"/>
              </w:rPr>
              <w:t xml:space="preserve">false</w:t>
            </w:r>
          </w:p>
        </w:tc>
        <w:tc>
          <w:tcPr/>
          <w:p>
            <w:pPr>
              <w:pStyle w:val="Compact"/>
            </w:pPr>
            <w:r>
              <w:rPr>
                <w:lang w:val="de-DE"/>
              </w:rPr>
              <w:t xml:space="preserve">Testdaten beim Start anlegen</w:t>
            </w:r>
          </w:p>
        </w:tc>
      </w:tr>
    </w:tbl>
    <w:p>
      <w:pPr>
        <w:pStyle w:val="BlockText"/>
      </w:pPr>
      <w:r>
        <w:rPr>
          <w:b/>
          <w:bCs/>
          <w:lang w:val="de-DE"/>
        </w:rPr>
        <w:t xml:space="preserve">Achtung:</w:t>
      </w:r>
      <w:r>
        <w:rPr>
          <w:lang w:val="de-DE"/>
        </w:rPr>
        <w:t xml:space="preserve"> </w:t>
      </w:r>
      <w:r>
        <w:rPr>
          <w:rStyle w:val="VerbatimChar"/>
          <w:lang w:val="de-DE"/>
        </w:rPr>
        <w:t xml:space="preserve">gkv.db.schema=create</w:t>
      </w:r>
      <w:r>
        <w:rPr>
          <w:lang w:val="de-DE"/>
        </w:rPr>
        <w:t xml:space="preserve"> </w:t>
      </w:r>
      <w:r>
        <w:rPr>
          <w:lang w:val="de-DE"/>
        </w:rPr>
        <w:t xml:space="preserve">legt das Schema neu an und</w:t>
      </w:r>
      <w:r>
        <w:rPr>
          <w:lang w:val="de-DE"/>
        </w:rPr>
        <w:t xml:space="preserve"> </w:t>
      </w:r>
      <w:r>
        <w:rPr>
          <w:b/>
          <w:bCs/>
          <w:lang w:val="de-DE"/>
        </w:rPr>
        <w:t xml:space="preserve">verwirft dabei sämtliche gespeicherten Daten</w:t>
      </w:r>
      <w:r>
        <w:rPr>
          <w:lang w:val="de-DE"/>
        </w:rPr>
        <w:t xml:space="preserve">. Die Vorgabe</w:t>
      </w:r>
      <w:r>
        <w:rPr>
          <w:lang w:val="de-DE"/>
        </w:rPr>
        <w:t xml:space="preserve"> </w:t>
      </w:r>
      <w:r>
        <w:rPr>
          <w:rStyle w:val="VerbatimChar"/>
          <w:lang w:val="de-DE"/>
        </w:rPr>
        <w:t xml:space="preserve">update</w:t>
      </w:r>
      <w:r>
        <w:rPr>
          <w:lang w:val="de-DE"/>
        </w:rPr>
        <w:t xml:space="preserve"> </w:t>
      </w:r>
      <w:r>
        <w:rPr>
          <w:lang w:val="de-DE"/>
        </w:rPr>
        <w:t xml:space="preserve">ergänzt fehlende Tabellen und Spalten und lässt Vorhandenes stehen.</w:t>
      </w:r>
    </w:p>
    <w:bookmarkEnd w:id="61"/>
    <w:bookmarkEnd w:id="62"/>
    <w:bookmarkStart w:id="67" w:name="entwicklung"/>
    <w:p>
      <w:pPr>
        <w:pStyle w:val="Heading1"/>
      </w:pPr>
      <w:r>
        <w:rPr>
          <w:lang w:val="de-DE"/>
        </w:rPr>
        <w:t xml:space="preserve">Entwicklung</w:t>
      </w:r>
    </w:p>
    <w:bookmarkStart w:id="63" w:name="bauen-und-testen"/>
    <w:p>
      <w:pPr>
        <w:pStyle w:val="Heading2"/>
      </w:pPr>
      <w:r>
        <w:rPr>
          <w:lang w:val="de-DE"/>
        </w:rPr>
        <w:t xml:space="preserve">Bauen und testen</w:t>
      </w:r>
    </w:p>
    <w:p>
      <w:pPr>
        <w:pStyle w:val="SourceCode"/>
      </w:pPr>
      <w:r>
        <w:rPr>
          <w:rStyle w:val="VerbatimChar"/>
          <w:lang w:val="de-DE"/>
        </w:rPr>
        <w:t xml:space="preserve">mvn clean test                     # übersetzen und alle Tests</w:t>
      </w:r>
      <w:r>
        <w:br/>
      </w:r>
      <w:r>
        <w:rPr>
          <w:rStyle w:val="VerbatimChar"/>
          <w:lang w:val="de-DE"/>
        </w:rPr>
        <w:t xml:space="preserve">mvn install -DskipTests            # Kern ins lokale Repository legen</w:t>
      </w:r>
      <w:r>
        <w:br/>
      </w:r>
      <w:r>
        <w:rPr>
          <w:rStyle w:val="VerbatimChar"/>
          <w:lang w:val="de-DE"/>
        </w:rPr>
        <w:t xml:space="preserve">mvn -pl gkv-ui javafx:run          # Anwendung starten</w:t>
      </w:r>
    </w:p>
    <w:p>
      <w:pPr>
        <w:pStyle w:val="FirstParagraph"/>
      </w:pPr>
      <w:r>
        <w:rPr>
          <w:rStyle w:val="VerbatimChar"/>
          <w:lang w:val="de-DE"/>
        </w:rPr>
        <w:t xml:space="preserve">-pl gkv-ui</w:t>
      </w:r>
      <w:r>
        <w:rPr>
          <w:lang w:val="de-DE"/>
        </w:rPr>
        <w:t xml:space="preserve"> </w:t>
      </w:r>
      <w:r>
        <w:rPr>
          <w:lang w:val="de-DE"/>
        </w:rPr>
        <w:t xml:space="preserve">baut</w:t>
      </w:r>
      <w:r>
        <w:rPr>
          <w:lang w:val="de-DE"/>
        </w:rPr>
        <w:t xml:space="preserve"> </w:t>
      </w:r>
      <w:r>
        <w:rPr>
          <w:rStyle w:val="VerbatimChar"/>
          <w:lang w:val="de-DE"/>
        </w:rPr>
        <w:t xml:space="preserve">gkv-core</w:t>
      </w:r>
      <w:r>
        <w:rPr>
          <w:lang w:val="de-DE"/>
        </w:rPr>
        <w:t xml:space="preserve"> </w:t>
      </w:r>
      <w:r>
        <w:rPr>
          <w:lang w:val="de-DE"/>
        </w:rPr>
        <w:t xml:space="preserve">nicht mit; vor dem ersten Start und nach jeder Änderung am Kern muss deshalb</w:t>
      </w:r>
      <w:r>
        <w:rPr>
          <w:lang w:val="de-DE"/>
        </w:rPr>
        <w:t xml:space="preserve"> </w:t>
      </w:r>
      <w:r>
        <w:rPr>
          <w:rStyle w:val="VerbatimChar"/>
          <w:lang w:val="de-DE"/>
        </w:rPr>
        <w:t xml:space="preserve">mvn install</w:t>
      </w:r>
      <w:r>
        <w:rPr>
          <w:lang w:val="de-DE"/>
        </w:rPr>
        <w:t xml:space="preserve"> </w:t>
      </w:r>
      <w:r>
        <w:rPr>
          <w:lang w:val="de-DE"/>
        </w:rPr>
        <w:t xml:space="preserve">gelaufen sein.</w:t>
      </w:r>
    </w:p>
    <w:bookmarkEnd w:id="63"/>
    <w:bookmarkStart w:id="64" w:name="auslieferungspaket-erzeugen"/>
    <w:p>
      <w:pPr>
        <w:pStyle w:val="Heading2"/>
      </w:pPr>
      <w:r>
        <w:rPr>
          <w:lang w:val="de-DE"/>
        </w:rPr>
        <w:t xml:space="preserve">Auslieferungspaket erzeugen</w:t>
      </w:r>
    </w:p>
    <w:p>
      <w:pPr>
        <w:pStyle w:val="SourceCode"/>
      </w:pPr>
      <w:r>
        <w:rPr>
          <w:rStyle w:val="VerbatimChar"/>
          <w:lang w:val="de-DE"/>
        </w:rPr>
        <w:t xml:space="preserve">mvn -Ppaket clean package</w:t>
      </w:r>
    </w:p>
    <w:p>
      <w:pPr>
        <w:pStyle w:val="FirstParagraph"/>
      </w:pPr>
      <w:r>
        <w:rPr>
          <w:lang w:val="de-DE"/>
        </w:rPr>
        <w:t xml:space="preserve">Ergebnis ist</w:t>
      </w:r>
      <w:r>
        <w:rPr>
          <w:lang w:val="de-DE"/>
        </w:rPr>
        <w:t xml:space="preserve"> </w:t>
      </w:r>
      <w:r>
        <w:rPr>
          <w:rStyle w:val="VerbatimChar"/>
          <w:lang w:val="de-DE"/>
        </w:rPr>
        <w:t xml:space="preserve">gkv-ui/target/paket/GKV-Abrechnung/</w:t>
      </w:r>
      <w:r>
        <w:rPr>
          <w:lang w:val="de-DE"/>
        </w:rPr>
        <w:t xml:space="preserve"> </w:t>
      </w:r>
      <w:r>
        <w:rPr>
          <w:lang w:val="de-DE"/>
        </w:rPr>
        <w:t xml:space="preserve">— ein Ordner mit Startprogramm und mitgelieferter Java-Laufzeit, rund 166 MB.</w:t>
      </w:r>
    </w:p>
    <w:p>
      <w:pPr>
        <w:pStyle w:val="BodyText"/>
      </w:pPr>
      <w:r>
        <w:rPr>
          <w:rStyle w:val="VerbatimChar"/>
          <w:lang w:val="de-DE"/>
        </w:rPr>
        <w:t xml:space="preserve">jpackage</w:t>
      </w:r>
      <w:r>
        <w:rPr>
          <w:lang w:val="de-DE"/>
        </w:rPr>
        <w:t xml:space="preserve"> </w:t>
      </w:r>
      <w:r>
        <w:rPr>
          <w:lang w:val="de-DE"/>
        </w:rPr>
        <w:t xml:space="preserve">erzeugt immer für das System, auf dem es läuft. Ein Windows-Paket entsteht also nur unter Windows.</w:t>
      </w:r>
    </w:p>
    <w:bookmarkEnd w:id="64"/>
    <w:bookmarkStart w:id="65" w:name="debuggen"/>
    <w:p>
      <w:pPr>
        <w:pStyle w:val="Heading2"/>
      </w:pPr>
      <w:r>
        <w:rPr>
          <w:lang w:val="de-DE"/>
        </w:rPr>
        <w:t xml:space="preserve">Debuggen</w:t>
      </w:r>
    </w:p>
    <w:p>
      <w:pPr>
        <w:pStyle w:val="SourceCode"/>
      </w:pPr>
      <w:r>
        <w:rPr>
          <w:rStyle w:val="VerbatimChar"/>
          <w:lang w:val="de-DE"/>
        </w:rPr>
        <w:t xml:space="preserve">mvn -Ppaket -pl gkv-ui javafx:run   # normal starten</w:t>
      </w:r>
      <w:r>
        <w:br/>
      </w:r>
      <w:r>
        <w:rPr>
          <w:rStyle w:val="VerbatimChar"/>
          <w:lang w:val="de-DE"/>
        </w:rPr>
        <w:t xml:space="preserve">mvn -Pdebug -pl gkv-ui javafx:run   # auf Debugger warten (Port 5005)</w:t>
      </w:r>
    </w:p>
    <w:bookmarkEnd w:id="65"/>
    <w:bookmarkStart w:id="66" w:name="statische-prüfung"/>
    <w:p>
      <w:pPr>
        <w:pStyle w:val="Heading2"/>
      </w:pPr>
      <w:r>
        <w:rPr>
          <w:lang w:val="de-DE"/>
        </w:rPr>
        <w:t xml:space="preserve">Statische Prüfung</w:t>
      </w:r>
    </w:p>
    <w:p>
      <w:pPr>
        <w:pStyle w:val="SourceCode"/>
      </w:pPr>
      <w:r>
        <w:rPr>
          <w:rStyle w:val="VerbatimChar"/>
          <w:lang w:val="de-DE"/>
        </w:rPr>
        <w:t xml:space="preserve">mvn checkstyle:check</w:t>
      </w:r>
      <w:r>
        <w:br/>
      </w:r>
      <w:r>
        <w:rPr>
          <w:rStyle w:val="VerbatimChar"/>
          <w:lang w:val="de-DE"/>
        </w:rPr>
        <w:t xml:space="preserve">mvn pmd:check</w:t>
      </w:r>
    </w:p>
    <w:p>
      <w:pPr>
        <w:pStyle w:val="FirstParagraph"/>
      </w:pPr>
      <w:r>
        <w:rPr>
          <w:lang w:val="de-DE"/>
        </w:rPr>
        <w:t xml:space="preserve">Beide melden, blockieren aber nicht.</w:t>
      </w:r>
    </w:p>
    <w:bookmarkEnd w:id="66"/>
    <w:bookmarkEnd w:id="67"/>
    <w:bookmarkStart w:id="72" w:name="fachliche-grundlagen"/>
    <w:p>
      <w:pPr>
        <w:pStyle w:val="Heading1"/>
      </w:pPr>
      <w:r>
        <w:rPr>
          <w:lang w:val="de-DE"/>
        </w:rPr>
        <w:t xml:space="preserve">Fachliche Grundlagen</w:t>
      </w:r>
    </w:p>
    <w:bookmarkStart w:id="68" w:name="aufbau-einer-lieferung"/>
    <w:p>
      <w:pPr>
        <w:pStyle w:val="Heading2"/>
      </w:pPr>
      <w:r>
        <w:rPr>
          <w:lang w:val="de-DE"/>
        </w:rPr>
        <w:t xml:space="preserve">Aufbau einer Lieferung</w:t>
      </w:r>
    </w:p>
    <w:p>
      <w:pPr>
        <w:pStyle w:val="SourceCode"/>
      </w:pPr>
      <w:r>
        <w:rPr>
          <w:rStyle w:val="VerbatimChar"/>
          <w:lang w:val="de-DE"/>
        </w:rPr>
        <w:t xml:space="preserve">UNB                          Kopf der Übertragung</w:t>
      </w:r>
      <w:r>
        <w:br/>
      </w:r>
      <w:r>
        <w:rPr>
          <w:rStyle w:val="VerbatimChar"/>
          <w:lang w:val="de-DE"/>
        </w:rPr>
        <w:t xml:space="preserve">├── UNH  (SLGA)              Summen und Begleitdaten</w:t>
      </w:r>
      <w:r>
        <w:br/>
      </w:r>
      <w:r>
        <w:rPr>
          <w:rStyle w:val="VerbatimChar"/>
          <w:lang w:val="de-DE"/>
        </w:rPr>
        <w:t xml:space="preserve">│   ├── FKT, REC, UST</w:t>
      </w:r>
      <w:r>
        <w:br/>
      </w:r>
      <w:r>
        <w:rPr>
          <w:rStyle w:val="VerbatimChar"/>
          <w:lang w:val="de-DE"/>
        </w:rPr>
        <w:t xml:space="preserve">│   ├── GES, GES</w:t>
      </w:r>
      <w:r>
        <w:br/>
      </w:r>
      <w:r>
        <w:rPr>
          <w:rStyle w:val="VerbatimChar"/>
          <w:lang w:val="de-DE"/>
        </w:rPr>
        <w:t xml:space="preserve">│   ├── NAM</w:t>
      </w:r>
      <w:r>
        <w:br/>
      </w:r>
      <w:r>
        <w:rPr>
          <w:rStyle w:val="VerbatimChar"/>
          <w:lang w:val="de-DE"/>
        </w:rPr>
        <w:t xml:space="preserve">│   └── UNT</w:t>
      </w:r>
      <w:r>
        <w:br/>
      </w:r>
      <w:r>
        <w:rPr>
          <w:rStyle w:val="VerbatimChar"/>
          <w:lang w:val="de-DE"/>
        </w:rPr>
        <w:t xml:space="preserve">├── UNH  (SLLA)              Fall- und Leistungsdaten</w:t>
      </w:r>
      <w:r>
        <w:br/>
      </w:r>
      <w:r>
        <w:rPr>
          <w:rStyle w:val="VerbatimChar"/>
          <w:lang w:val="de-DE"/>
        </w:rPr>
        <w:t xml:space="preserve">│   ├── FKT, REC</w:t>
      </w:r>
      <w:r>
        <w:br/>
      </w:r>
      <w:r>
        <w:rPr>
          <w:rStyle w:val="VerbatimChar"/>
          <w:lang w:val="de-DE"/>
        </w:rPr>
        <w:t xml:space="preserve">│   ├── INV, NAD</w:t>
      </w:r>
      <w:r>
        <w:br/>
      </w:r>
      <w:r>
        <w:rPr>
          <w:rStyle w:val="VerbatimChar"/>
          <w:lang w:val="de-DE"/>
        </w:rPr>
        <w:t xml:space="preserve">│   ├── ENF</w:t>
      </w:r>
      <w:r>
        <w:br/>
      </w:r>
      <w:r>
        <w:rPr>
          <w:rStyle w:val="VerbatimChar"/>
          <w:lang w:val="de-DE"/>
        </w:rPr>
        <w:t xml:space="preserve">│   ├── BES</w:t>
      </w:r>
      <w:r>
        <w:br/>
      </w:r>
      <w:r>
        <w:rPr>
          <w:rStyle w:val="VerbatimChar"/>
          <w:lang w:val="de-DE"/>
        </w:rPr>
        <w:t xml:space="preserve">│   └── UNT</w:t>
      </w:r>
      <w:r>
        <w:br/>
      </w:r>
      <w:r>
        <w:rPr>
          <w:rStyle w:val="VerbatimChar"/>
          <w:lang w:val="de-DE"/>
        </w:rPr>
        <w:t xml:space="preserve">└── UNZ                      Abschluss der Übertragung</w:t>
      </w:r>
    </w:p>
    <w:p>
      <w:pPr>
        <w:pStyle w:val="FirstParagraph"/>
      </w:pPr>
      <w:r>
        <w:rPr>
          <w:lang w:val="de-DE"/>
        </w:rPr>
        <w:t xml:space="preserve">Ein Segment besteht aus einem dreibuchstabigen Bezeichner und den Datenelementen, getrennt durch</w:t>
      </w:r>
      <w:r>
        <w:rPr>
          <w:lang w:val="de-DE"/>
        </w:rPr>
        <w:t xml:space="preserve"> </w:t>
      </w:r>
      <w:r>
        <w:rPr>
          <w:rStyle w:val="VerbatimChar"/>
          <w:lang w:val="de-DE"/>
        </w:rPr>
        <w:t xml:space="preserve">+</w:t>
      </w:r>
      <w:r>
        <w:rPr>
          <w:lang w:val="de-DE"/>
        </w:rPr>
        <w:t xml:space="preserve"> </w:t>
      </w:r>
      <w:r>
        <w:rPr>
          <w:lang w:val="de-DE"/>
        </w:rPr>
        <w:t xml:space="preserve">und abgeschlossen mit</w:t>
      </w:r>
      <w:r>
        <w:rPr>
          <w:lang w:val="de-DE"/>
        </w:rPr>
        <w:t xml:space="preserve"> </w:t>
      </w:r>
      <w:r>
        <w:rPr>
          <w:rStyle w:val="VerbatimChar"/>
          <w:lang w:val="de-DE"/>
        </w:rPr>
        <w:t xml:space="preserve">'</w:t>
      </w:r>
      <w:r>
        <w:rPr>
          <w:lang w:val="de-DE"/>
        </w:rPr>
        <w:t xml:space="preserve">. Ein</w:t>
      </w:r>
      <w:r>
        <w:rPr>
          <w:lang w:val="de-DE"/>
        </w:rPr>
        <w:t xml:space="preserve"> </w:t>
      </w:r>
      <w:r>
        <w:rPr>
          <w:rStyle w:val="VerbatimChar"/>
          <w:lang w:val="de-DE"/>
        </w:rPr>
        <w:t xml:space="preserve">:</w:t>
      </w:r>
      <w:r>
        <w:rPr>
          <w:lang w:val="de-DE"/>
        </w:rPr>
        <w:t xml:space="preserve"> </w:t>
      </w:r>
      <w:r>
        <w:rPr>
          <w:lang w:val="de-DE"/>
        </w:rPr>
        <w:t xml:space="preserve">trennt Komponenten innerhalb eines Datenelements.</w:t>
      </w:r>
    </w:p>
    <w:bookmarkEnd w:id="68"/>
    <w:bookmarkStart w:id="69" w:name="formate"/>
    <w:p>
      <w:pPr>
        <w:pStyle w:val="Heading2"/>
      </w:pPr>
      <w:r>
        <w:rPr>
          <w:lang w:val="de-DE"/>
        </w:rPr>
        <w:t xml:space="preserve">Formate</w:t>
      </w:r>
    </w:p>
    <w:p>
      <w:pPr>
        <w:pStyle w:val="Compact"/>
        <w:numPr>
          <w:ilvl w:val="0"/>
          <w:numId w:val="1007"/>
        </w:numPr>
      </w:pPr>
      <w:r>
        <w:rPr>
          <w:b/>
          <w:bCs/>
          <w:lang w:val="de-DE"/>
        </w:rPr>
        <w:t xml:space="preserve">Datum:</w:t>
      </w:r>
      <w:r>
        <w:rPr>
          <w:lang w:val="de-DE"/>
        </w:rPr>
        <w:t xml:space="preserve"> </w:t>
      </w:r>
      <w:r>
        <w:rPr>
          <w:rStyle w:val="VerbatimChar"/>
          <w:lang w:val="de-DE"/>
        </w:rPr>
        <w:t xml:space="preserve">JJJJMMTT</w:t>
      </w:r>
      <w:r>
        <w:rPr>
          <w:lang w:val="de-DE"/>
        </w:rPr>
        <w:t xml:space="preserve">, also</w:t>
      </w:r>
      <w:r>
        <w:rPr>
          <w:lang w:val="de-DE"/>
        </w:rPr>
        <w:t xml:space="preserve"> </w:t>
      </w:r>
      <w:r>
        <w:rPr>
          <w:rStyle w:val="VerbatimChar"/>
          <w:lang w:val="de-DE"/>
        </w:rPr>
        <w:t xml:space="preserve">20240301</w:t>
      </w:r>
    </w:p>
    <w:p>
      <w:pPr>
        <w:pStyle w:val="Compact"/>
        <w:numPr>
          <w:ilvl w:val="0"/>
          <w:numId w:val="1007"/>
        </w:numPr>
      </w:pPr>
      <w:r>
        <w:rPr>
          <w:b/>
          <w:bCs/>
          <w:lang w:val="de-DE"/>
        </w:rPr>
        <w:t xml:space="preserve">Beträge und Mengen:</w:t>
      </w:r>
      <w:r>
        <w:rPr>
          <w:lang w:val="de-DE"/>
        </w:rPr>
        <w:t xml:space="preserve"> </w:t>
      </w:r>
      <w:r>
        <w:rPr>
          <w:lang w:val="de-DE"/>
        </w:rPr>
        <w:t xml:space="preserve">Komma als Dezimaltrennzeichen, stets zwei Nachkommastellen:</w:t>
      </w:r>
      <w:r>
        <w:rPr>
          <w:lang w:val="de-DE"/>
        </w:rPr>
        <w:t xml:space="preserve"> </w:t>
      </w:r>
      <w:r>
        <w:rPr>
          <w:rStyle w:val="VerbatimChar"/>
          <w:lang w:val="de-DE"/>
        </w:rPr>
        <w:t xml:space="preserve">08,00</w:t>
      </w:r>
      <w:r>
        <w:rPr>
          <w:lang w:val="de-DE"/>
        </w:rPr>
        <w:t xml:space="preserve">,</w:t>
      </w:r>
      <w:r>
        <w:rPr>
          <w:lang w:val="de-DE"/>
        </w:rPr>
        <w:t xml:space="preserve"> </w:t>
      </w:r>
      <w:r>
        <w:rPr>
          <w:rStyle w:val="VerbatimChar"/>
          <w:lang w:val="de-DE"/>
        </w:rPr>
        <w:t xml:space="preserve">15000,00</w:t>
      </w:r>
    </w:p>
    <w:p>
      <w:pPr>
        <w:pStyle w:val="Compact"/>
        <w:numPr>
          <w:ilvl w:val="0"/>
          <w:numId w:val="1007"/>
        </w:numPr>
      </w:pPr>
      <w:r>
        <w:rPr>
          <w:lang w:val="de-DE"/>
        </w:rPr>
        <w:t xml:space="preserve">Ein leeres Datenelement wird durch zwei aufeinanderfolgende</w:t>
      </w:r>
      <w:r>
        <w:rPr>
          <w:lang w:val="de-DE"/>
        </w:rPr>
        <w:t xml:space="preserve"> </w:t>
      </w:r>
      <w:r>
        <w:rPr>
          <w:rStyle w:val="VerbatimChar"/>
          <w:lang w:val="de-DE"/>
        </w:rPr>
        <w:t xml:space="preserve">+</w:t>
      </w:r>
      <w:r>
        <w:rPr>
          <w:lang w:val="de-DE"/>
        </w:rPr>
        <w:t xml:space="preserve"> </w:t>
      </w:r>
      <w:r>
        <w:rPr>
          <w:lang w:val="de-DE"/>
        </w:rPr>
        <w:t xml:space="preserve">dargestellt und darf nicht weggelassen werden</w:t>
      </w:r>
    </w:p>
    <w:bookmarkEnd w:id="69"/>
    <w:bookmarkStart w:id="70" w:name="summen"/>
    <w:p>
      <w:pPr>
        <w:pStyle w:val="Heading2"/>
      </w:pPr>
      <w:r>
        <w:rPr>
          <w:lang w:val="de-DE"/>
        </w:rPr>
        <w:t xml:space="preserve">Summen</w:t>
      </w:r>
    </w:p>
    <w:p>
      <w:pPr>
        <w:pStyle w:val="SourceCode"/>
      </w:pPr>
      <w:r>
        <w:rPr>
          <w:rStyle w:val="VerbatimChar"/>
          <w:lang w:val="de-DE"/>
        </w:rPr>
        <w:t xml:space="preserve">BES     = Menge × Einzelbetrag        je Abrechnungsfall</w:t>
      </w:r>
      <w:r>
        <w:br/>
      </w:r>
      <w:r>
        <w:rPr>
          <w:rStyle w:val="VerbatimChar"/>
          <w:lang w:val="de-DE"/>
        </w:rPr>
        <w:t xml:space="preserve">GES 00  = Summe aller BES             Gesamtsumme aller Status</w:t>
      </w:r>
      <w:r>
        <w:br/>
      </w:r>
      <w:r>
        <w:rPr>
          <w:rStyle w:val="VerbatimChar"/>
          <w:lang w:val="de-DE"/>
        </w:rPr>
        <w:t xml:space="preserve">GES 99  = gemäß Prüfvorgabe           oft gleich GES 00</w:t>
      </w:r>
    </w:p>
    <w:p>
      <w:pPr>
        <w:pStyle w:val="FirstParagraph"/>
      </w:pPr>
      <w:r>
        <w:rPr>
          <w:lang w:val="de-DE"/>
        </w:rPr>
        <w:t xml:space="preserve">Eine Abweichung bei</w:t>
      </w:r>
      <w:r>
        <w:rPr>
          <w:lang w:val="de-DE"/>
        </w:rPr>
        <w:t xml:space="preserve"> </w:t>
      </w:r>
      <w:r>
        <w:rPr>
          <w:rStyle w:val="VerbatimChar"/>
          <w:lang w:val="de-DE"/>
        </w:rPr>
        <w:t xml:space="preserve">GES 00</w:t>
      </w:r>
      <w:r>
        <w:rPr>
          <w:lang w:val="de-DE"/>
        </w:rPr>
        <w:t xml:space="preserve"> </w:t>
      </w:r>
      <w:r>
        <w:rPr>
          <w:lang w:val="de-DE"/>
        </w:rPr>
        <w:t xml:space="preserve">ist ein Fehler; eine bei</w:t>
      </w:r>
      <w:r>
        <w:rPr>
          <w:lang w:val="de-DE"/>
        </w:rPr>
        <w:t xml:space="preserve"> </w:t>
      </w:r>
      <w:r>
        <w:rPr>
          <w:rStyle w:val="VerbatimChar"/>
          <w:lang w:val="de-DE"/>
        </w:rPr>
        <w:t xml:space="preserve">GES 99</w:t>
      </w:r>
      <w:r>
        <w:rPr>
          <w:lang w:val="de-DE"/>
        </w:rPr>
        <w:t xml:space="preserve"> </w:t>
      </w:r>
      <w:r>
        <w:rPr>
          <w:lang w:val="de-DE"/>
        </w:rPr>
        <w:t xml:space="preserve">kann der Prüfvorgabe der Kasse entsprechen.</w:t>
      </w:r>
    </w:p>
    <w:bookmarkEnd w:id="70"/>
    <w:bookmarkStart w:id="71" w:name="weiterführende-unterlagen"/>
    <w:p>
      <w:pPr>
        <w:pStyle w:val="Heading2"/>
      </w:pPr>
      <w:r>
        <w:rPr>
          <w:lang w:val="de-DE"/>
        </w:rPr>
        <w:t xml:space="preserve">Weiterführende Unterlagen</w:t>
      </w:r>
    </w:p>
    <w:p>
      <w:pPr>
        <w:pStyle w:val="FirstParagraph"/>
      </w:pPr>
      <w:r>
        <w:rPr>
          <w:lang w:val="de-DE"/>
        </w:rPr>
        <w:t xml:space="preserve">Im Ordner</w:t>
      </w:r>
      <w:r>
        <w:rPr>
          <w:lang w:val="de-DE"/>
        </w:rPr>
        <w:t xml:space="preserve"> </w:t>
      </w:r>
      <w:r>
        <w:rPr>
          <w:rStyle w:val="VerbatimChar"/>
          <w:lang w:val="de-DE"/>
        </w:rPr>
        <w:t xml:space="preserve">Information</w:t>
      </w:r>
      <w:r>
        <w:rPr>
          <w:lang w:val="de-DE"/>
        </w:rPr>
        <w:t xml:space="preserve"> </w:t>
      </w:r>
      <w:r>
        <w:rPr>
          <w:lang w:val="de-DE"/>
        </w:rPr>
        <w:t xml:space="preserve">liegen:</w:t>
      </w:r>
    </w:p>
    <w:p>
      <w:pPr>
        <w:pStyle w:val="Compact"/>
        <w:numPr>
          <w:ilvl w:val="0"/>
          <w:numId w:val="1008"/>
        </w:numPr>
      </w:pPr>
      <w:r>
        <w:rPr>
          <w:rStyle w:val="VerbatimChar"/>
          <w:lang w:val="de-DE"/>
        </w:rPr>
        <w:t xml:space="preserve">Anlage_1_TP5_V21_20260115.pdf</w:t>
      </w:r>
      <w:r>
        <w:rPr>
          <w:lang w:val="de-DE"/>
        </w:rPr>
        <w:t xml:space="preserve"> </w:t>
      </w:r>
      <w:r>
        <w:rPr>
          <w:lang w:val="de-DE"/>
        </w:rPr>
        <w:t xml:space="preserve">und</w:t>
      </w:r>
      <w:r>
        <w:rPr>
          <w:lang w:val="de-DE"/>
        </w:rPr>
        <w:t xml:space="preserve"> </w:t>
      </w:r>
      <w:r>
        <w:rPr>
          <w:rStyle w:val="VerbatimChar"/>
          <w:lang w:val="de-DE"/>
        </w:rPr>
        <w:t xml:space="preserve">Anlage_3_TP5_V22_20260218.pdf</w:t>
      </w:r>
      <w:r>
        <w:rPr>
          <w:lang w:val="de-DE"/>
        </w:rPr>
        <w:t xml:space="preserve"> </w:t>
      </w:r>
      <w:r>
        <w:rPr>
          <w:lang w:val="de-DE"/>
        </w:rPr>
        <w:t xml:space="preserve">— die verbindlichen Vorgaben</w:t>
      </w:r>
    </w:p>
    <w:p>
      <w:pPr>
        <w:pStyle w:val="Compact"/>
        <w:numPr>
          <w:ilvl w:val="0"/>
          <w:numId w:val="1008"/>
        </w:numPr>
      </w:pPr>
      <w:r>
        <w:rPr>
          <w:rStyle w:val="VerbatimChar"/>
          <w:lang w:val="de-DE"/>
        </w:rPr>
        <w:t xml:space="preserve">Abrechnung_Checkliste_kurz.md</w:t>
      </w:r>
      <w:r>
        <w:rPr>
          <w:lang w:val="de-DE"/>
        </w:rPr>
        <w:t xml:space="preserve"> </w:t>
      </w:r>
      <w:r>
        <w:rPr>
          <w:lang w:val="de-DE"/>
        </w:rPr>
        <w:t xml:space="preserve">— Prüfliste vor dem Export</w:t>
      </w:r>
    </w:p>
    <w:p>
      <w:pPr>
        <w:pStyle w:val="Compact"/>
        <w:numPr>
          <w:ilvl w:val="0"/>
          <w:numId w:val="1008"/>
        </w:numPr>
      </w:pPr>
      <w:r>
        <w:rPr>
          <w:rStyle w:val="VerbatimChar"/>
          <w:lang w:val="de-DE"/>
        </w:rPr>
        <w:t xml:space="preserve">Abrechnung_Datenerklaerung.md</w:t>
      </w:r>
      <w:r>
        <w:rPr>
          <w:lang w:val="de-DE"/>
        </w:rPr>
        <w:t xml:space="preserve"> </w:t>
      </w:r>
      <w:r>
        <w:rPr>
          <w:lang w:val="de-DE"/>
        </w:rPr>
        <w:t xml:space="preserve">— Felderklärung anhand der Referenznachricht</w:t>
      </w:r>
    </w:p>
    <w:p>
      <w:pPr>
        <w:pStyle w:val="Compact"/>
        <w:numPr>
          <w:ilvl w:val="0"/>
          <w:numId w:val="1008"/>
        </w:numPr>
      </w:pPr>
      <w:r>
        <w:rPr>
          <w:rStyle w:val="VerbatimChar"/>
          <w:lang w:val="de-DE"/>
        </w:rPr>
        <w:t xml:space="preserve">codes/</w:t>
      </w:r>
      <w:r>
        <w:rPr>
          <w:lang w:val="de-DE"/>
        </w:rPr>
        <w:t xml:space="preserve"> </w:t>
      </w:r>
      <w:r>
        <w:rPr>
          <w:lang w:val="de-DE"/>
        </w:rPr>
        <w:t xml:space="preserve">— die Codelisten des Verfahrens</w:t>
      </w:r>
    </w:p>
    <w:p>
      <w:pPr>
        <w:pStyle w:val="Compact"/>
        <w:numPr>
          <w:ilvl w:val="0"/>
          <w:numId w:val="1008"/>
        </w:numPr>
      </w:pPr>
      <w:r>
        <w:rPr>
          <w:rStyle w:val="VerbatimChar"/>
          <w:lang w:val="de-DE"/>
        </w:rPr>
        <w:t xml:space="preserve">Valide.DTA</w:t>
      </w:r>
      <w:r>
        <w:rPr>
          <w:lang w:val="de-DE"/>
        </w:rPr>
        <w:t xml:space="preserve"> </w:t>
      </w:r>
      <w:r>
        <w:rPr>
          <w:lang w:val="de-DE"/>
        </w:rPr>
        <w:t xml:space="preserve">— eine gültige Referenznachricht, die im Projekt als Messlatte dient</w:t>
      </w:r>
    </w:p>
    <w:bookmarkEnd w:id="71"/>
    <w:bookmarkEnd w:id="72"/>
    <w:bookmarkStart w:id="73" w:name="grenzen"/>
    <w:p>
      <w:pPr>
        <w:pStyle w:val="Heading1"/>
      </w:pPr>
      <w:r>
        <w:rPr>
          <w:lang w:val="de-DE"/>
        </w:rPr>
        <w:t xml:space="preserve">Grenzen</w:t>
      </w:r>
    </w:p>
    <w:p>
      <w:pPr>
        <w:pStyle w:val="FirstParagraph"/>
      </w:pPr>
      <w:r>
        <w:rPr>
          <w:lang w:val="de-DE"/>
        </w:rPr>
        <w:t xml:space="preserve">Was das Programm heute</w:t>
      </w:r>
      <w:r>
        <w:rPr>
          <w:lang w:val="de-DE"/>
        </w:rPr>
        <w:t xml:space="preserve"> </w:t>
      </w:r>
      <w:r>
        <w:rPr>
          <w:b/>
          <w:bCs/>
          <w:lang w:val="de-DE"/>
        </w:rPr>
        <w:t xml:space="preserve">nicht</w:t>
      </w:r>
      <w:r>
        <w:rPr>
          <w:lang w:val="de-DE"/>
        </w:rPr>
        <w:t xml:space="preserve"> </w:t>
      </w:r>
      <w:r>
        <w:rPr>
          <w:lang w:val="de-DE"/>
        </w:rPr>
        <w:t xml:space="preserve">leistet:</w:t>
      </w:r>
    </w:p>
    <w:p>
      <w:pPr>
        <w:pStyle w:val="Compact"/>
        <w:numPr>
          <w:ilvl w:val="0"/>
          <w:numId w:val="1009"/>
        </w:numPr>
      </w:pPr>
      <w:r>
        <w:rPr>
          <w:lang w:val="de-DE"/>
        </w:rPr>
        <w:t xml:space="preserve">Der Versand ist dateibasiert. Ein signierter und verschlüsselter Übermittlungsweg an reale Annahmestellen ist nicht umgesetzt. Dafür wären Zertifikate einer anerkannten Stelle, Zugangsdaten und ein eigenes Betriebsstätten-IK erforderlich. Siehe „Der Weg zur Kasse”.</w:t>
      </w:r>
    </w:p>
    <w:p>
      <w:pPr>
        <w:pStyle w:val="Compact"/>
        <w:numPr>
          <w:ilvl w:val="0"/>
          <w:numId w:val="1009"/>
        </w:numPr>
      </w:pPr>
      <w:r>
        <w:rPr>
          <w:lang w:val="de-DE"/>
        </w:rPr>
        <w:t xml:space="preserve">Die</w:t>
      </w:r>
      <w:r>
        <w:rPr>
          <w:lang w:val="de-DE"/>
        </w:rPr>
        <w:t xml:space="preserve"> </w:t>
      </w:r>
      <w:r>
        <w:rPr>
          <w:b/>
          <w:bCs/>
          <w:lang w:val="de-DE"/>
        </w:rPr>
        <w:t xml:space="preserve">Auftragsdatei</w:t>
      </w:r>
      <w:r>
        <w:rPr>
          <w:lang w:val="de-DE"/>
        </w:rPr>
        <w:t xml:space="preserve">, die zu jeder Nutzdatendatei gehört, wird nicht erzeugt.</w:t>
      </w:r>
    </w:p>
    <w:p>
      <w:pPr>
        <w:pStyle w:val="Compact"/>
        <w:numPr>
          <w:ilvl w:val="0"/>
          <w:numId w:val="1009"/>
        </w:numPr>
      </w:pPr>
      <w:r>
        <w:rPr>
          <w:lang w:val="de-DE"/>
        </w:rPr>
        <w:t xml:space="preserve">Die Zuordnung erfolgt zur einzelnen Krankenkasse; vorgesehen ist die Zuordnung zur</w:t>
      </w:r>
      <w:r>
        <w:rPr>
          <w:lang w:val="de-DE"/>
        </w:rPr>
        <w:t xml:space="preserve"> </w:t>
      </w:r>
      <w:r>
        <w:rPr>
          <w:b/>
          <w:bCs/>
          <w:lang w:val="de-DE"/>
        </w:rPr>
        <w:t xml:space="preserve">Datenannahmestelle je Kassenart</w:t>
      </w:r>
      <w:r>
        <w:rPr>
          <w:lang w:val="de-DE"/>
        </w:rPr>
        <w:t xml:space="preserve">.</w:t>
      </w:r>
    </w:p>
    <w:p>
      <w:pPr>
        <w:pStyle w:val="Compact"/>
        <w:numPr>
          <w:ilvl w:val="0"/>
          <w:numId w:val="1009"/>
        </w:numPr>
      </w:pPr>
      <w:r>
        <w:rPr>
          <w:lang w:val="de-DE"/>
        </w:rPr>
        <w:t xml:space="preserve">Die vorgeschriebene</w:t>
      </w:r>
      <w:r>
        <w:rPr>
          <w:lang w:val="de-DE"/>
        </w:rPr>
        <w:t xml:space="preserve"> </w:t>
      </w:r>
      <w:r>
        <w:rPr>
          <w:b/>
          <w:bCs/>
          <w:lang w:val="de-DE"/>
        </w:rPr>
        <w:t xml:space="preserve">Dokumentation des Datenaustauschs</w:t>
      </w:r>
      <w:r>
        <w:rPr>
          <w:lang w:val="de-DE"/>
        </w:rPr>
        <w:t xml:space="preserve"> </w:t>
      </w:r>
      <w:r>
        <w:rPr>
          <w:lang w:val="de-DE"/>
        </w:rPr>
        <w:t xml:space="preserve">(zwei Jahre) und die</w:t>
      </w:r>
      <w:r>
        <w:rPr>
          <w:lang w:val="de-DE"/>
        </w:rPr>
        <w:t xml:space="preserve"> </w:t>
      </w:r>
      <w:r>
        <w:rPr>
          <w:b/>
          <w:bCs/>
          <w:lang w:val="de-DE"/>
        </w:rPr>
        <w:t xml:space="preserve">Sicherungskopie bis zur Bezahlung</w:t>
      </w:r>
      <w:r>
        <w:rPr>
          <w:lang w:val="de-DE"/>
        </w:rPr>
        <w:t xml:space="preserve"> </w:t>
      </w:r>
      <w:r>
        <w:rPr>
          <w:lang w:val="de-DE"/>
        </w:rPr>
        <w:t xml:space="preserve">sind nicht abgebildet.</w:t>
      </w:r>
    </w:p>
    <w:p>
      <w:pPr>
        <w:pStyle w:val="Compact"/>
        <w:numPr>
          <w:ilvl w:val="0"/>
          <w:numId w:val="1009"/>
        </w:numPr>
      </w:pPr>
      <w:r>
        <w:rPr>
          <w:lang w:val="de-DE"/>
        </w:rPr>
        <w:t xml:space="preserve">Die Daten liegen</w:t>
      </w:r>
      <w:r>
        <w:rPr>
          <w:lang w:val="de-DE"/>
        </w:rPr>
        <w:t xml:space="preserve"> </w:t>
      </w:r>
      <w:r>
        <w:rPr>
          <w:b/>
          <w:bCs/>
          <w:lang w:val="de-DE"/>
        </w:rPr>
        <w:t xml:space="preserve">unverschlüsselt</w:t>
      </w:r>
      <w:r>
        <w:rPr>
          <w:lang w:val="de-DE"/>
        </w:rPr>
        <w:t xml:space="preserve"> </w:t>
      </w:r>
      <w:r>
        <w:rPr>
          <w:lang w:val="de-DE"/>
        </w:rPr>
        <w:t xml:space="preserve">im Benutzerprofil. Es gibt keine Anmeldung und kein Protokoll darüber, wer was geändert hat.</w:t>
      </w:r>
    </w:p>
    <w:p>
      <w:pPr>
        <w:pStyle w:val="Compact"/>
        <w:numPr>
          <w:ilvl w:val="0"/>
          <w:numId w:val="1009"/>
        </w:numPr>
      </w:pPr>
      <w:r>
        <w:rPr>
          <w:lang w:val="de-DE"/>
        </w:rPr>
        <w:t xml:space="preserve">Positionsnummern, Tarifkennzeichen und Abrechnungscodes werden auf Form, nicht aber auf fachliche Zulässigkeit geprüft. Das setzt den jeweiligen Vertrag und Anlage 3 voraus.</w:t>
      </w:r>
    </w:p>
    <w:p>
      <w:pPr>
        <w:pStyle w:val="Compact"/>
        <w:numPr>
          <w:ilvl w:val="0"/>
          <w:numId w:val="1009"/>
        </w:numPr>
      </w:pPr>
      <w:r>
        <w:rPr>
          <w:lang w:val="de-DE"/>
        </w:rPr>
        <w:t xml:space="preserve">Es gibt keine Stornierung und keine Nachberechnung.</w:t>
      </w:r>
    </w:p>
    <w:p>
      <w:pPr>
        <w:pStyle w:val="Compact"/>
        <w:numPr>
          <w:ilvl w:val="0"/>
          <w:numId w:val="1009"/>
        </w:numPr>
      </w:pPr>
      <w:r>
        <w:rPr>
          <w:lang w:val="de-DE"/>
        </w:rPr>
        <w:t xml:space="preserve">Der Umsatzsteuersatz ist mit 19 fest hinterlegt.</w:t>
      </w:r>
    </w:p>
    <w:p>
      <w:pPr>
        <w:pStyle w:val="Compact"/>
        <w:numPr>
          <w:ilvl w:val="0"/>
          <w:numId w:val="1009"/>
        </w:numPr>
      </w:pPr>
      <w:r>
        <w:rPr>
          <w:lang w:val="de-DE"/>
        </w:rPr>
        <w:t xml:space="preserve">Abgedeckt ist der Leistungsbereich SGS H mit Abrechnungscode</w:t>
      </w:r>
      <w:r>
        <w:rPr>
          <w:lang w:val="de-DE"/>
        </w:rPr>
        <w:t xml:space="preserve"> </w:t>
      </w:r>
      <w:r>
        <w:rPr>
          <w:rStyle w:val="VerbatimChar"/>
          <w:lang w:val="de-DE"/>
        </w:rPr>
        <w:t xml:space="preserve">61</w:t>
      </w:r>
      <w:r>
        <w:rPr>
          <w:lang w:val="de-DE"/>
        </w:rPr>
        <w:t xml:space="preserve">.</w:t>
      </w:r>
    </w:p>
    <w:p>
      <w:pPr>
        <w:pStyle w:val="Compact"/>
        <w:numPr>
          <w:ilvl w:val="0"/>
          <w:numId w:val="1009"/>
        </w:numPr>
      </w:pPr>
      <w:r>
        <w:rPr>
          <w:lang w:val="de-DE"/>
        </w:rPr>
        <w:t xml:space="preserve">Die Anwendung ist auf einen Benutzer und einen Rechner ausgelegt. Ein gemeinsamer Zugriff mehrerer Arbeitsplätze auf dieselbe Datenbank ist nicht vorgesehen.</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16" Target="media/rId16.png" /><Relationship Type="http://schemas.openxmlformats.org/officeDocument/2006/relationships/hyperlink" Id="rId34" Target="https://www.gkv-datenaustausch.de/leistungserbringer/sonstige_leistungserbringer/kostentraegerdateien_sle/kostentraegerdateien.jsp" TargetMode="External" /><Relationship Type="http://schemas.openxmlformats.org/officeDocument/2006/relationships/hyperlink" Id="rId31" Target="https://www.gkv-datenaustausch.de/leistungserbringer/sonstige_leistungserbringer/sonstige_leistungserbringer.jsp" TargetMode="External" /><Relationship Type="http://schemas.openxmlformats.org/officeDocument/2006/relationships/hyperlink" Id="rId32" Target="https://www.gkv-datenaustausch.de/technische_standards_1/technische_standards.jsp" TargetMode="External" /><Relationship Type="http://schemas.openxmlformats.org/officeDocument/2006/relationships/hyperlink" Id="rId40" Target="https://www.itsg.de/produkte/trust-center/zertifikat-beantragen/" TargetMode="External" /></Relationships>
</file>

<file path=word/_rels/footnotes.xml.rels><?xml version="1.0" encoding="UTF-8"?><Relationships xmlns="http://schemas.openxmlformats.org/package/2006/relationships"><Relationship Type="http://schemas.openxmlformats.org/officeDocument/2006/relationships/hyperlink" Id="rId34" Target="https://www.gkv-datenaustausch.de/leistungserbringer/sonstige_leistungserbringer/kostentraegerdateien_sle/kostentraegerdateien.jsp" TargetMode="External" /><Relationship Type="http://schemas.openxmlformats.org/officeDocument/2006/relationships/hyperlink" Id="rId31" Target="https://www.gkv-datenaustausch.de/leistungserbringer/sonstige_leistungserbringer/sonstige_leistungserbringer.jsp" TargetMode="External" /><Relationship Type="http://schemas.openxmlformats.org/officeDocument/2006/relationships/hyperlink" Id="rId32" Target="https://www.gkv-datenaustausch.de/technische_standards_1/technische_standards.jsp" TargetMode="External" /><Relationship Type="http://schemas.openxmlformats.org/officeDocument/2006/relationships/hyperlink" Id="rId40" Target="https://www.itsg.de/produkte/trust-center/zertifikat-beantrag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GKV-Abrechnung</dc:title>
  <dc:creator/>
  <dc:language>de-DE</dc:language>
  <cp:keywords/>
  <dcterms:created xsi:type="dcterms:W3CDTF">2026-09-07T17:31:17Z</dcterms:created>
  <dcterms:modified xsi:type="dcterms:W3CDTF">2026-09-07T17:31:17Z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Abrechnung mit gesetzlichen Krankenkassen — Dokumentation</vt:lpwstr>
  </property>
  <property fmtid="{D5CDD505-2E9C-101B-9397-08002B2CF9AE}" pid="3" name="toc">
    <vt:lpwstr>True</vt:lpwstr>
  </property>
  <property fmtid="{D5CDD505-2E9C-101B-9397-08002B2CF9AE}" pid="4" name="toc-depth">
    <vt:lpwstr>2</vt:lpwstr>
  </property>
  <property fmtid="{D5CDD505-2E9C-101B-9397-08002B2CF9AE}" pid="5" name="toc-title">
    <vt:lpwstr>Inhaltsverzeichnis</vt:lpwstr>
  </property>
</Properties>
</file>