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Projektdokumentation</w:t>
      </w:r>
    </w:p>
    <w:p>
      <w:pPr>
        <w:pStyle w:val="Subtitle"/>
      </w:pPr>
      <w:r>
        <w:rPr>
          <w:lang w:val="de"/>
        </w:rPr>
        <w:t xml:space="preserve">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teil-01-vision"/>
    <w:p>
      <w:pPr>
        <w:pStyle w:val="Heading1"/>
      </w:pPr>
      <w:r>
        <w:rPr>
          <w:lang w:val="de"/>
        </w:rPr>
        <w:t xml:space="preserve">Teil 01 — Vision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Wer als Freiberuflerin Leistungen für gesetzlich Versicherte erbringt, rechnet</w:t>
      </w:r>
      <w:r>
        <w:rPr>
          <w:lang w:val="de"/>
        </w:rPr>
        <w:t xml:space="preserve"> </w:t>
      </w:r>
      <w:r>
        <w:rPr>
          <w:lang w:val="de"/>
        </w:rPr>
        <w:t xml:space="preserve">sie nicht mit den Versicherten ab,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deren Krankenkasse</w:t>
      </w:r>
      <w:r>
        <w:rPr>
          <w:lang w:val="de"/>
        </w:rPr>
        <w:t xml:space="preserve">. Das gilt</w:t>
      </w:r>
      <w:r>
        <w:rPr>
          <w:lang w:val="de"/>
        </w:rPr>
        <w:t xml:space="preserve"> </w:t>
      </w:r>
      <w:r>
        <w:rPr>
          <w:lang w:val="de"/>
        </w:rPr>
        <w:t xml:space="preserve">für Hebammenhilfe ebenso wie für Heilmittel oder Rehabilitationssport — die</w:t>
      </w:r>
      <w:r>
        <w:rPr>
          <w:lang w:val="de"/>
        </w:rPr>
        <w:t xml:space="preserve"> </w:t>
      </w:r>
      <w:r>
        <w:rPr>
          <w:lang w:val="de"/>
        </w:rPr>
        <w:t xml:space="preserve">Leistungen unterscheiden sich, das Verfahren dahinter kaum.</w:t>
      </w:r>
    </w:p>
    <w:p>
      <w:pPr>
        <w:pStyle w:val="BodyText"/>
      </w:pPr>
      <w:r>
        <w:rPr>
          <w:lang w:val="de"/>
        </w:rPr>
        <w:t xml:space="preserve">Der konkrete Anlass dieses Projekts sind Kurse einer freiberuflich tätigen</w:t>
      </w:r>
      <w:r>
        <w:rPr>
          <w:lang w:val="de"/>
        </w:rPr>
        <w:t xml:space="preserve"> </w:t>
      </w:r>
      <w:r>
        <w:rPr>
          <w:lang w:val="de"/>
        </w:rPr>
        <w:t xml:space="preserve">Hebamme: Geburtsvorbereitung, Rückbildung, Beratung in Gruppen. Er ist der erste</w:t>
      </w:r>
      <w:r>
        <w:rPr>
          <w:lang w:val="de"/>
        </w:rPr>
        <w:t xml:space="preserve"> </w:t>
      </w:r>
      <w:r>
        <w:rPr>
          <w:lang w:val="de"/>
        </w:rPr>
        <w:t xml:space="preserve">Fall, nicht der einzige denkbare.</w:t>
      </w:r>
    </w:p>
    <w:p>
      <w:pPr>
        <w:pStyle w:val="BodyText"/>
      </w:pPr>
      <w:r>
        <w:rPr>
          <w:lang w:val="de"/>
        </w:rPr>
        <w:t xml:space="preserve">Abgerechnet wird nicht mit einer Rechnung. Die Kassen nehmen dafür weder Briefe</w:t>
      </w:r>
      <w:r>
        <w:rPr>
          <w:lang w:val="de"/>
        </w:rPr>
        <w:t xml:space="preserve"> </w:t>
      </w:r>
      <w:r>
        <w:rPr>
          <w:lang w:val="de"/>
        </w:rPr>
        <w:t xml:space="preserve">noch PDF-Dateien entgegen, sondern eine strukturierte Datenlieferung in einem</w:t>
      </w:r>
      <w:r>
        <w:rPr>
          <w:lang w:val="de"/>
        </w:rPr>
        <w:t xml:space="preserve"> </w:t>
      </w:r>
      <w:r>
        <w:rPr>
          <w:lang w:val="de"/>
        </w:rPr>
        <w:t xml:space="preserve">festgelegten Format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bis auf das einzelne Zeichen vorgegeben.</w:t>
      </w:r>
    </w:p>
    <w:p>
      <w:pPr>
        <w:pStyle w:val="BodyText"/>
      </w:pPr>
      <w:r>
        <w:rPr>
          <w:lang w:val="de"/>
        </w:rPr>
        <w:t xml:space="preserve">Für eine einzelne Leistungserbringerin gibt es dafür 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bedeutet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 eine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Dienstleister übernimmt Erstellung, Übermittlung und das Nachhalten der Zahlungen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Anteil des abgerechneten Betrags, üblich sind wenige Prozent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Selbst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Programm erzeugt die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Einarbeitung in das Verfahren</w:t>
            </w:r>
          </w:p>
        </w:tc>
      </w:tr>
    </w:tbl>
    <w:p>
      <w:pPr>
        <w:pStyle w:val="BodyText"/>
      </w:pPr>
      <w:r>
        <w:rPr>
          <w:lang w:val="de"/>
        </w:rPr>
        <w:t xml:space="preserve">Die Daten, aus denen eine Abrechnung besteht, liegen ohnehin vor: wer hat wann</w:t>
      </w:r>
      <w:r>
        <w:rPr>
          <w:lang w:val="de"/>
        </w:rPr>
        <w:t xml:space="preserve"> </w:t>
      </w:r>
      <w:r>
        <w:rPr>
          <w:lang w:val="de"/>
        </w:rPr>
        <w:t xml:space="preserve">welche Leistung erhalten, in welchem Umfang,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liegen nur in Listen und Köpfen statt in einer Datei.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Festlegen, was das Programm können soll — und ebenso wichtig, was nicht.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Entscheiden, wie weit es tragen soll: ein Programm für einen Kursanbieter oder</w:t>
      </w:r>
      <w:r>
        <w:rPr>
          <w:lang w:val="de"/>
        </w:rPr>
        <w:t xml:space="preserve"> </w:t>
      </w:r>
      <w:r>
        <w:rPr>
          <w:lang w:val="de"/>
        </w:rPr>
        <w:t xml:space="preserve">eines für die Abrechnung mit gesetzlichen Kassen überhaupt.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zusammenhängen, was von ihnen dauerhaft festgehalten werden muss.</w:t>
      </w:r>
    </w:p>
    <w:bookmarkEnd w:id="10"/>
    <w:bookmarkStart w:id="15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— ein Programm, das eine Datei erzeugt — ist richtig</w:t>
      </w:r>
      <w:r>
        <w:rPr>
          <w:lang w:val="de"/>
        </w:rPr>
        <w:t xml:space="preserve"> </w:t>
      </w:r>
      <w:r>
        <w:rPr>
          <w:lang w:val="de"/>
        </w:rPr>
        <w:t xml:space="preserve">und zu kurz gedacht. Eine Datei zu erzeugen ist der leichte Teil. Der schwere</w:t>
      </w:r>
      <w:r>
        <w:rPr>
          <w:lang w:val="de"/>
        </w:rPr>
        <w:t xml:space="preserve"> </w:t>
      </w:r>
      <w:r>
        <w:rPr>
          <w:lang w:val="de"/>
        </w:rPr>
        <w:t xml:space="preserve">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Eine Abrechnung, die formal fehlerfrei aussieht und einen falschen Schlüsselwert</w:t>
      </w:r>
      <w:r>
        <w:rPr>
          <w:lang w:val="de"/>
        </w:rPr>
        <w:t xml:space="preserve"> </w:t>
      </w:r>
      <w:r>
        <w:rPr>
          <w:lang w:val="de"/>
        </w:rPr>
        <w:t xml:space="preserve">enthält, wird angenommen, verarbeitet und zurückgewiesen — oft Wochen später.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Fehler in 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die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</w:t>
      </w:r>
      <w:r>
        <w:rPr>
          <w:lang w:val="de"/>
        </w:rPr>
        <w:t xml:space="preserve"> </w:t>
      </w:r>
      <w:r>
        <w:rPr>
          <w:lang w:val="de"/>
        </w:rPr>
        <w:t xml:space="preserve">— 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1"/>
    <w:bookmarkStart w:id="12" w:name="wie-weit-soll-es-tragen"/>
    <w:p>
      <w:pPr>
        <w:pStyle w:val="Heading3"/>
      </w:pPr>
      <w:r>
        <w:rPr>
          <w:lang w:val="de"/>
        </w:rPr>
        <w:t xml:space="preserve">Wie weit soll es tragen</w:t>
      </w:r>
    </w:p>
    <w:p>
      <w:pPr>
        <w:pStyle w:val="FirstParagraph"/>
      </w:pPr>
      <w:r>
        <w:rPr>
          <w:lang w:val="de"/>
        </w:rPr>
        <w:t xml:space="preserve">Man könnte das Programm auf Hebammenkurse zuschneiden. Das wäre die kleinere</w:t>
      </w:r>
      <w:r>
        <w:rPr>
          <w:lang w:val="de"/>
        </w:rPr>
        <w:t xml:space="preserve"> </w:t>
      </w:r>
      <w:r>
        <w:rPr>
          <w:lang w:val="de"/>
        </w:rPr>
        <w:t xml:space="preserve">Aufgabe und für den ersten Fall vollkommen ausreichend.</w:t>
      </w:r>
    </w:p>
    <w:p>
      <w:pPr>
        <w:pStyle w:val="BodyText"/>
      </w:pPr>
      <w:r>
        <w:rPr>
          <w:lang w:val="de"/>
        </w:rPr>
        <w:t xml:space="preserve">Dagegen spricht ein Blick auf das Verfahren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fast alles daran ist nicht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leistungsspezifisch.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Bleibt über die Leistungsbereiche gleich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Wechselt je Leistungsbereich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Aufbau der Nachricht — Rahmen, Rechnungs-, Versicherten-, Leistungs- und Summenteile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Sammelgruppenschlüssel im Nachrichtenkopf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Beteiligten und ihre Institutionskennzeichen samt Prüfziffer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Abrechnungscode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Prüfung, Zählerführung, Summenbildung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Positionsnummern und Tarifkennzeichen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Lieferung, Zustellweg, Einordnung der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Vertrag, aus dem sich die zulässigen Werte ergeben</w:t>
            </w:r>
          </w:p>
        </w:tc>
      </w:tr>
    </w:tbl>
    <w:p>
      <w:pPr>
        <w:pStyle w:val="BodyText"/>
      </w:pPr>
      <w:r>
        <w:rPr>
          <w:lang w:val="de"/>
        </w:rPr>
        <w:t xml:space="preserve">Die rechte Spalte ist kurz, und sie besteht ausschließlich aus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Werten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Abläufen. Ein zweiter Leistungsbereich verlangt also Einträge, keinen Umbau</w:t>
      </w:r>
      <w:r>
        <w:rPr>
          <w:lang w:val="de"/>
        </w:rPr>
        <w:t xml:space="preserve"> </w:t>
      </w:r>
      <w:r>
        <w:rPr>
          <w:lang w:val="de"/>
        </w:rPr>
        <w:t xml:space="preserve">— vorausgesetzt, das Modell trennt beides von Anfang an.</w:t>
      </w:r>
    </w:p>
    <w:p>
      <w:pPr>
        <w:pStyle w:val="BodyText"/>
      </w:pPr>
      <w:r>
        <w:rPr>
          <w:lang w:val="de"/>
        </w:rPr>
        <w:t xml:space="preserve">Genau das kostet in der Vision fast nichts und später sehr viel: ein Begriff,</w:t>
      </w:r>
      <w:r>
        <w:rPr>
          <w:lang w:val="de"/>
        </w:rPr>
        <w:t xml:space="preserve"> </w:t>
      </w:r>
      <w:r>
        <w:rPr>
          <w:lang w:val="de"/>
        </w:rPr>
        <w:t xml:space="preserve">der von Beginn an „Leistungsfall” heißt statt „Kurs”, trägt eine</w:t>
      </w:r>
      <w:r>
        <w:rPr>
          <w:lang w:val="de"/>
        </w:rPr>
        <w:t xml:space="preserve"> </w:t>
      </w:r>
      <w:r>
        <w:rPr>
          <w:lang w:val="de"/>
        </w:rPr>
        <w:t xml:space="preserve">Behandlungsserie mit, ohne dass jemand ihn umbenennen muss.</w:t>
      </w:r>
    </w:p>
    <w:bookmarkEnd w:id="12"/>
    <w:bookmarkStart w:id="13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der Arbeit.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Umstand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für das Programm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richtet etwas 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darf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nichts zusätzlich installiert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werden müssen — keine Datenbank, keine Laufzeitumgebung, kein Serverdienst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Gesundheitsdaten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bleiben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auf dem Rechner der Anwenderin</w:t>
            </w:r>
            <w:r>
              <w:rPr>
                <w:lang w:val="de"/>
              </w:rPr>
              <w:t xml:space="preserve">, nicht im Netz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hilft, wenn etwas klemmt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sagt,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was zu tun ist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nicht, was schiefging. „Feld 4 ungültig” hilft niemandem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Abends, nebenher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erfassten Daten zur fertigen Datei muss kurz sein</w:t>
            </w:r>
          </w:p>
        </w:tc>
      </w:tr>
    </w:tbl>
    <w:bookmarkEnd w:id="13"/>
    <w:bookmarkStart w:id="14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So wichtig wie die andere Liste — ein Projekt ohne Grenzen wird nie fertig.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Kurs- und Terminverwaltung,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mitgelieferter Katalog gültiger Positionsnummern je 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ergeben sich aus dem Vertrag. Das Programm hält den Rahmen bereit, die Werte trägt ein, wer den Vertrag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ebenfalls der Vertrag, nicht ein Programm</w:t>
            </w:r>
          </w:p>
        </w:tc>
      </w:tr>
    </w:tbl>
    <w:bookmarkEnd w:id="14"/>
    <w:bookmarkEnd w:id="15"/>
    <w:bookmarkStart w:id="17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Leistungsdaten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 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  <w:r>
        <w:rPr>
          <w:lang w:val="de"/>
        </w:rPr>
        <w:t xml:space="preserve"> </w:t>
      </w:r>
      <w:r>
        <w:rPr>
          <w:lang w:val="de"/>
        </w:rPr>
        <w:t xml:space="preserve">Der Aufbau folgt dem Verfahren, nicht einem einzelnen</w:t>
      </w:r>
      <w:r>
        <w:rPr>
          <w:lang w:val="de"/>
        </w:rPr>
        <w:t xml:space="preserve"> </w:t>
      </w:r>
      <w:r>
        <w:rPr>
          <w:lang w:val="de"/>
        </w:rPr>
        <w:t xml:space="preserve">Leistungsbereich; der erste bediente ist die Hebammenhilfe.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Kernfähigkeit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dahintersteckt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versicherte Personen mit ihren Versicherungsangaben, die Leistungserbringerin selbst, Leistungsfälle als Zusammenfassung — ein Kurs, eine Behandlungsserie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Leistungen beschreiben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eine Einheit kostet, unter welcher Position sie abgerechnet wird — einmal festgelegt, mehrfach verwendet. Hier sitzt das Bereichsspezifische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Leistungsfall, Beschreibung und Anzahl der Einheiten entsteht die Nachricht im vorgeschriebenen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Aufbau, Zähler, Summen, Pflichtangaben — ein Fehler hält den gesamten Lauf 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Zustellen und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an den richtigen Empfänger, und die Antwort verständlich machen</w:t>
            </w:r>
          </w:p>
        </w:tc>
      </w:tr>
    </w:tbl>
    <w:bookmarkStart w:id="16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Nummer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 — das wäre erheblich weniger Arbeit. Dagegen steht der Preis</w:t>
      </w:r>
      <w:r>
        <w:rPr>
          <w:lang w:val="de"/>
        </w:rPr>
        <w:t xml:space="preserve"> </w:t>
      </w:r>
      <w:r>
        <w:rPr>
          <w:lang w:val="de"/>
        </w:rPr>
        <w:t xml:space="preserve">einer Beanstandung: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Wo der Fehler auffällt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eigenen Programm,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dreißig Sekunden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Kasse, Wochen später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vollständiger Wiederholungsdurchlauf</w:t>
            </w:r>
          </w:p>
        </w:tc>
      </w:tr>
    </w:tbl>
    <w:p>
      <w:pPr>
        <w:pStyle w:val="BodyText"/>
      </w:pP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6"/>
    <w:bookmarkEnd w:id="17"/>
    <w:bookmarkStart w:id="28" w:name="ergebnis"/>
    <w:p>
      <w:pPr>
        <w:pStyle w:val="Heading2"/>
      </w:pPr>
      <w:r>
        <w:rPr>
          <w:lang w:val="de"/>
        </w:rPr>
        <w:t xml:space="preserve">Ergebnis</w:t>
      </w:r>
    </w:p>
    <w:bookmarkStart w:id="18" w:name="das-zielbild"/>
    <w:p>
      <w:pPr>
        <w:pStyle w:val="Heading3"/>
      </w:pPr>
      <w:r>
        <w:rPr>
          <w:lang w:val="de"/>
        </w:rPr>
        <w:t xml:space="preserve">Das Zielbild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dort geschieht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liegen ohnehin vor — in Listen und Köpfen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Programm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erzeugt daraus die Abrechnungsdatei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und prüft sie, bevor sie das Haus verlässt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Krankenkasse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zahlt oder beanstandet</w:t>
            </w:r>
          </w:p>
        </w:tc>
      </w:tr>
    </w:tbl>
    <w:bookmarkEnd w:id="18"/>
    <w:bookmarkStart w:id="22" w:name="die-begriffe-und-ihre-beziehungen"/>
    <w:p>
      <w:pPr>
        <w:pStyle w:val="Heading3"/>
      </w:pPr>
      <w:r>
        <w:rPr>
          <w:lang w:val="de"/>
        </w:rPr>
        <w:t xml:space="preserve">Die Begriffe und ihre Beziehungen</w:t>
      </w:r>
    </w:p>
    <w:p>
      <w:pPr>
        <w:pStyle w:val="FirstParagraph"/>
      </w:pPr>
      <w:r>
        <w:rPr>
          <w:lang w:val="de"/>
        </w:rPr>
        <w:t xml:space="preserve">Bevor entschieden werden kann, wie etwas gebaut wird, muss feststehen,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wovon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überhaupt die Rede ist</w:t>
      </w:r>
      <w:r>
        <w:rPr>
          <w:lang w:val="de"/>
        </w:rPr>
        <w:t xml:space="preserve"> </w:t>
      </w:r>
      <w:r>
        <w:rPr>
          <w:lang w:val="de"/>
        </w:rPr>
        <w:t xml:space="preserve">— noch nicht als Klassen eines Programms, sondern als</w:t>
      </w:r>
      <w:r>
        <w:rPr>
          <w:lang w:val="de"/>
        </w:rPr>
        <w:t xml:space="preserve"> </w:t>
      </w:r>
      <w:r>
        <w:rPr>
          <w:lang w:val="de"/>
        </w:rPr>
        <w:t xml:space="preserve">Landkarte des Gegenstands.</w:t>
      </w:r>
    </w:p>
    <w:p>
      <w:pPr>
        <w:pStyle w:val="CaptionedFigure"/>
      </w:pPr>
      <w:r>
        <w:drawing>
          <wp:inline>
            <wp:extent cx="5334000" cy="4318958"/>
            <wp:effectExtent b="0" l="0" r="0" t="0"/>
            <wp:docPr descr="Fachliches Übersichtsmodell" title="" id="20" name="Picture"/>
            <a:graphic>
              <a:graphicData uri="http://schemas.openxmlformats.org/drawingml/2006/picture">
                <pic:pic>
                  <pic:nvPicPr>
                    <pic:cNvPr descr="../GKVTransmitter_Vision_Fachmodel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Übersichtsmodell</w:t>
      </w:r>
    </w:p>
    <w:p>
      <w:pPr>
        <w:pStyle w:val="BodyText"/>
      </w:pPr>
      <w:r>
        <w:rPr>
          <w:lang w:val="de"/>
        </w:rPr>
        <w:t xml:space="preserve">Die Begriffe sind bewusst so gewählt, dass sie den ersten Anwendungsfall</w:t>
      </w:r>
      <w:r>
        <w:rPr>
          <w:lang w:val="de"/>
        </w:rPr>
        <w:t xml:space="preserve"> </w:t>
      </w:r>
      <w:r>
        <w:rPr>
          <w:lang w:val="de"/>
        </w:rPr>
        <w:t xml:space="preserve">überdauern: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Leistungsfall</w:t>
      </w:r>
      <w:r>
        <w:rPr>
          <w:lang w:val="de"/>
        </w:rPr>
        <w:t xml:space="preserve"> </w:t>
      </w:r>
      <w:r>
        <w:rPr>
          <w:lang w:val="de"/>
        </w:rPr>
        <w:t xml:space="preserve">statt Kurs,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versicherte Person</w:t>
      </w:r>
      <w:r>
        <w:rPr>
          <w:lang w:val="de"/>
        </w:rPr>
        <w:t xml:space="preserve"> </w:t>
      </w:r>
      <w:r>
        <w:rPr>
          <w:lang w:val="de"/>
        </w:rPr>
        <w:t xml:space="preserve">statt</w:t>
      </w:r>
      <w:r>
        <w:rPr>
          <w:lang w:val="de"/>
        </w:rPr>
        <w:t xml:space="preserve"> </w:t>
      </w:r>
      <w:r>
        <w:rPr>
          <w:lang w:val="de"/>
        </w:rPr>
        <w:t xml:space="preserve">Teilnehmerin,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Leistungsnachweis</w:t>
      </w:r>
      <w:r>
        <w:rPr>
          <w:lang w:val="de"/>
        </w:rPr>
        <w:t xml:space="preserve"> </w:t>
      </w:r>
      <w:r>
        <w:rPr>
          <w:lang w:val="de"/>
        </w:rPr>
        <w:t xml:space="preserve">statt Anwesenheit. Drei Beobachtungen aus</w:t>
      </w:r>
      <w:r>
        <w:rPr>
          <w:lang w:val="de"/>
        </w:rPr>
        <w:t xml:space="preserve"> </w:t>
      </w:r>
      <w:r>
        <w:rPr>
          <w:lang w:val="de"/>
        </w:rPr>
        <w:t xml:space="preserve">dem Bild prägen alles Weitere: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Beobachtung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versicherte Person ist nicht die Zahlende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zwischen Leistung und Geld steht die 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 ihr hängt ein zweiter Satz Angaben: Versichertennummer, Status, Kasse. Mit der Leistung hat er nichts zu tun, ohne ihn geht trotzdem 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Lieferung ist eine eigene Sache</w:t>
            </w:r>
            <w:r>
              <w:rPr>
                <w:lang w:val="de"/>
              </w:rPr>
              <w:t xml:space="preserve">, kein bloßer Versandvorgang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Sie bündelt mehrere Abrechnungen an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einen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Empfänger und führt eine laufende Nummer, die sich nie wiederholen darf. Was eine Nummer führt und einen Zustand hat, gehört ins 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Zwischen Erzeugen und Versenden steht ein Tor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Prüfbericht ist kein Nebenprodukt, sondern die Bedingung dafür, dass die Lieferung hinausgeht. Er hängt deshalb an der Lieferung und nicht neben ihr</w:t>
            </w:r>
          </w:p>
        </w:tc>
      </w:tr>
    </w:tbl>
    <w:p>
      <w:pPr>
        <w:pStyle w:val="BodyText"/>
      </w:pPr>
      <w:r>
        <w:rPr>
          <w:lang w:val="de"/>
        </w:rPr>
        <w:t xml:space="preserve">Auffällig ist außerdem: Die Lieferung geht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, sondern</w:t>
      </w:r>
      <w:r>
        <w:rPr>
          <w:lang w:val="de"/>
        </w:rPr>
        <w:t xml:space="preserve"> </w:t>
      </w:r>
      <w:r>
        <w:rPr>
          <w:lang w:val="de"/>
        </w:rPr>
        <w:t xml:space="preserve">an eine Datenannahmestelle. Wie sich diese Unterscheidung auswirkt, war zu</w:t>
      </w:r>
      <w:r>
        <w:rPr>
          <w:lang w:val="de"/>
        </w:rPr>
        <w:t xml:space="preserve"> </w:t>
      </w:r>
      <w:r>
        <w:rPr>
          <w:lang w:val="de"/>
        </w:rPr>
        <w:t xml:space="preserve">diesem Zeitpunkt nicht absehbar — sie wird in Teil 04 zum Problem.</w:t>
      </w:r>
    </w:p>
    <w:bookmarkEnd w:id="22"/>
    <w:bookmarkStart w:id="26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Aus denselben Begriffen ergibt sich ein erster Entwurf der Datenhaltung. Er ist</w:t>
      </w:r>
      <w:r>
        <w:rPr>
          <w:lang w:val="de"/>
        </w:rPr>
        <w:t xml:space="preserve"> </w:t>
      </w:r>
      <w:r>
        <w:rPr>
          <w:lang w:val="de"/>
        </w:rPr>
        <w:t xml:space="preserve">bewusst noch fachlich gehalten: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Schlüssel sind hier Gedanken,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Spalten.</w:t>
      </w:r>
    </w:p>
    <w:p>
      <w:pPr>
        <w:pStyle w:val="CaptionedFigure"/>
      </w:pPr>
      <w:r>
        <w:drawing>
          <wp:inline>
            <wp:extent cx="5334000" cy="5728387"/>
            <wp:effectExtent b="0" l="0" r="0" t="0"/>
            <wp:docPr descr="Erstes Datenmodell" title="" id="24" name="Picture"/>
            <a:graphic>
              <a:graphicData uri="http://schemas.openxmlformats.org/drawingml/2006/picture">
                <pic:pic>
                  <pic:nvPicPr>
                    <pic:cNvPr descr="../GKVTransmitter_Vision_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8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Die Dreiteilung ist die eigentliche Aussage des Bildes: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werden gepflegt, ändern sich selten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Bewegungsdaten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Betrieb, wachsen mit jedem Lauf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einmal eingerichtet — gehören trotzdem in die Ablage und nicht in eine Datei daneben</w:t>
            </w:r>
          </w:p>
        </w:tc>
      </w:tr>
    </w:tbl>
    <w:p>
      <w:pPr>
        <w:pStyle w:val="BodyText"/>
      </w:pPr>
      <w:r>
        <w:rPr>
          <w:lang w:val="de"/>
        </w:rPr>
        <w:t xml:space="preserve">Vier Festlegungen fallen hier bereits, jede mit einem Grund, der später gebraucht</w:t>
      </w:r>
      <w:r>
        <w:rPr>
          <w:lang w:val="de"/>
        </w:rPr>
        <w:t xml:space="preserve"> </w:t>
      </w:r>
      <w:r>
        <w:rPr>
          <w:lang w:val="de"/>
        </w:rPr>
        <w:t xml:space="preserve">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genau einer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Lieferung</w:t>
            </w:r>
            <w:r>
              <w:rPr>
                <w:lang w:val="de"/>
              </w:rPr>
              <w:t xml:space="preserve">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Zähler, Summen und Rahmen betreffen die Lieferung als Ganzes und hätten an keiner einzelnen Abrechnung einen Platz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Zähler bekommt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Ablage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eines Werts im Arbeitsspeicher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Nummer, die nach dem Neustart von vorn zählt, erzeugt eine doppelte Datenaustauschreferenz — ein Zurückweisungsgrund, der sich nicht mehr aus der Datei heraus reparieren 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Einstellungen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Schlüssel-Wert-Vorrat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fester Spalten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Einstellung soll keine Änderung am Datenmodell verlangen</w:t>
            </w:r>
          </w:p>
        </w:tc>
      </w:tr>
    </w:tbl>
    <w:p>
      <w:pPr>
        <w:pStyle w:val="BodyText"/>
      </w:pPr>
      <w:r>
        <w:rPr>
          <w:lang w:val="de"/>
        </w:rPr>
        <w:t xml:space="preserve">Alles Bereichsspezifische sammelt sich in einer einzigen Entität,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Leistungsbeschreibung</w:t>
      </w:r>
      <w:r>
        <w:rPr>
          <w:lang w:val="de"/>
        </w:rPr>
        <w:t xml:space="preserve">. Das ist keine Schönheit, sondern der Preis dafür, dass</w:t>
      </w:r>
      <w:r>
        <w:rPr>
          <w:lang w:val="de"/>
        </w:rPr>
        <w:t xml:space="preserve"> </w:t>
      </w:r>
      <w:r>
        <w:rPr>
          <w:lang w:val="de"/>
        </w:rPr>
        <w:t xml:space="preserve">ein weiterer Leistungsbereich später ein Eintrag bleibt und kein Umbau wird.</w:t>
      </w:r>
    </w:p>
    <w:bookmarkEnd w:id="26"/>
    <w:bookmarkStart w:id="27" w:name="woran-sich-erfolg-messen-lässt"/>
    <w:p>
      <w:pPr>
        <w:pStyle w:val="Heading3"/>
      </w:pPr>
      <w:r>
        <w:rPr>
          <w:lang w:val="de"/>
        </w:rPr>
        <w:t xml:space="preserve">Woran sich Erfolg messen lässt</w:t>
      </w:r>
    </w:p>
    <w:p>
      <w:pPr>
        <w:pStyle w:val="FirstParagraph"/>
      </w:pPr>
      <w:r>
        <w:rPr>
          <w:lang w:val="de"/>
        </w:rPr>
        <w:t xml:space="preserve">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Leistungsdaten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weiterer Leistungsbereich kommt ohne Änderung am Aufbau hinzu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Probe darauf, ob die Verallgemeinerung getragen hat</w:t>
            </w:r>
          </w:p>
        </w:tc>
      </w:tr>
    </w:tbl>
    <w:bookmarkEnd w:id="27"/>
    <w:bookmarkEnd w:id="28"/>
    <w:bookmarkStart w:id="29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Welche Leistungsbereiche tatsächlich bedient werden.</w:t>
      </w:r>
      <w:r>
        <w:rPr>
          <w:lang w:val="de"/>
        </w:rPr>
        <w:t xml:space="preserve"> </w:t>
      </w:r>
      <w:r>
        <w:rPr>
          <w:lang w:val="de"/>
        </w:rPr>
        <w:t xml:space="preserve">Die Vision hält den</w:t>
      </w:r>
      <w:r>
        <w:rPr>
          <w:lang w:val="de"/>
        </w:rPr>
        <w:t xml:space="preserve"> </w:t>
      </w:r>
      <w:r>
        <w:rPr>
          <w:lang w:val="de"/>
        </w:rPr>
        <w:t xml:space="preserve">Rahmen offen; welche Werte darin gültig sind, ergibt sich aus Verträgen, die</w:t>
      </w:r>
      <w:r>
        <w:rPr>
          <w:lang w:val="de"/>
        </w:rPr>
        <w:t xml:space="preserve"> </w:t>
      </w:r>
      <w:r>
        <w:rPr>
          <w:lang w:val="de"/>
        </w:rPr>
        <w:t xml:space="preserve">nicht vorliegen. Teil 03 grenzt das ein.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Die Umsetzung folgt in den Teilen 06 und 07. Dass die beiden Bilder dort nicht</w:t>
      </w:r>
      <w:r>
        <w:rPr>
          <w:lang w:val="de"/>
        </w:rPr>
        <w:t xml:space="preserve"> </w:t>
      </w:r>
      <w:r>
        <w:rPr>
          <w:lang w:val="de"/>
        </w:rPr>
        <w:t xml:space="preserve">mehr gleich aussehen 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interessante Stelle.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Projektdokumentation</dc:title>
  <dc:creator/>
  <dc:language>de</dc:language>
  <cp:keywords/>
  <dcterms:created xsi:type="dcterms:W3CDTF">2026-09-09T17:28:59Z</dcterms:created>
  <dcterms:modified xsi:type="dcterms:W3CDTF">2026-09-09T17:28:59Z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Von der Vision bis zum Abschluss</vt:lpwstr>
  </property>
  <property fmtid="{D5CDD505-2E9C-101B-9397-08002B2CF9AE}" pid="3" name="toc-title">
    <vt:lpwstr>Inhaltsverzeichnis</vt:lpwstr>
  </property>
</Properties>
</file>