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90"/>
          <w:szCs w:val="90"/>
        </w:rPr>
      </w:pPr>
      <w:r w:rsidDel="00000000" w:rsidR="00000000" w:rsidRPr="00000000">
        <w:rPr>
          <w:sz w:val="90"/>
          <w:szCs w:val="90"/>
          <w:rtl w:val="0"/>
        </w:rPr>
        <w:t xml:space="preserve">Музикални инструменти - 2 клас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color w:val="666666"/>
          <w:sz w:val="48"/>
          <w:szCs w:val="48"/>
          <w:rtl w:val="0"/>
        </w:rPr>
        <w:t xml:space="preserve">Проект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color w:val="666666"/>
          <w:sz w:val="48"/>
          <w:szCs w:val="48"/>
          <w:rtl w:val="0"/>
        </w:rPr>
        <w:t xml:space="preserve">по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color w:val="666666"/>
          <w:sz w:val="48"/>
          <w:szCs w:val="48"/>
          <w:rtl w:val="0"/>
        </w:rPr>
        <w:t xml:space="preserve">Проектиране, разработка и оценка на образователен софтуер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color w:val="666666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Изготвили:                                                                         Проверил:....................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Габриела Лухова, 81081                                                  /ас. Т. Зафирова-Малчева/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Гюлджан Максудова, 81031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Обучителен проблем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8"/>
          <w:szCs w:val="28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Обучението на деца в началния курс е сложна задача поради много фактори, като един от основните е задържането вниманието на децата върху учебния материал. Работата с малки ученици трябва да бъде максимално интерактивна, дори в някои случи ако е възможно - и под формата на игра. Компютрите и технологиите като цяло в днешно време успяват да хванат вниманието на децата, а освен това предлагат и различни инструменти (приложения) в помощ на учителите. Ето защо използването им в класната стая, дава добри резултати в подготовката на учениците.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Софтуерът, който нашият екип е разработиl, има за цел да улесни работата на учителя по музика и да направи този предмет максимално интересен на учениците.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Обучителният проблем, който може да бъде разрешен, чрез наличието на този софтуер е обучението по музика и по-специално музикални инструменти за децата от 2 клас в училище. Децата в тази възраст лесно се разсейват и все още не могат гладко да четат и да разбират смисъла на прочетеното. Затова предмет като музиката, който е по-забавен и интересен може да бъде поднесен по по-интерактивен начин, за да се повиши разбирането и запомнянето на материала. От друга страна изучаването на музикалните инструменти е трудна задача ако децата нямат възможност да чуят начина, по който инструментите звучат. Това трудно може да се постигне в класната стая ако не е наличен подходящ софтуер, който обединява името, външният вид и звукът на инструмента, поднесени по интересен за учениците начин.</w:t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spacing w:line="276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Темата на софтуера е “Музкални инструменти - 2 клас”, което включва запознаване на учениците по интерактивен начин чрез картинки и звуци с основните музикални инструменти, което повишава нивото на разбиране и запомняне в часовете по музика. Софтуерът включва и част с упражнения, където учениците ще могат да затвърдят знанията си и да участват активно в обучението.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на задачата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Целта на софтуера на тема “Музикални инструменти - 2 клас” е да запознае учениците от 2-ри клас с основните представители на 4-те вида музикални инструменти. След работа с него, децата ще могат да разпознават музикалните инструменти както по визия, така и по слух. До каква степен всяко дете е усвоило представената информация, бива проверявано чрез тест.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Изисквания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76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Меню с категории за различните видове музикални инструменти.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Кратка информация, снимка и звукозапис за всеки отделен инструмент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Свежи цветове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Интерактивен дизайн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Story Boarding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Началната страница на проекта дава линкове към четирите основни типа инструменти, като за всеки тип може да се кликне върху него и да се получи повече информация – както обща информация за конкретния тип, така и за няколко негови представителя. Освен това има и бутони, водещи към тестове за всеки отделен тип инструменти.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152400</wp:posOffset>
            </wp:positionV>
            <wp:extent cx="5731200" cy="3416300"/>
            <wp:effectExtent b="25400" l="25400" r="25400" t="25400"/>
            <wp:wrapSquare wrapText="bothSides" distB="114300" distT="114300" distL="114300" distR="114300"/>
            <wp:docPr descr="Screenshot from 2017-06-03 14:46:38.png" id="4" name="image10.png"/>
            <a:graphic>
              <a:graphicData uri="http://schemas.openxmlformats.org/drawingml/2006/picture">
                <pic:pic>
                  <pic:nvPicPr>
                    <pic:cNvPr descr="Screenshot from 2017-06-03 14:46:38.png"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3657600</wp:posOffset>
            </wp:positionV>
            <wp:extent cx="5731200" cy="3403600"/>
            <wp:effectExtent b="25400" l="25400" r="25400" t="25400"/>
            <wp:wrapSquare wrapText="bothSides" distB="114300" distT="114300" distL="114300" distR="114300"/>
            <wp:docPr descr="Screenshot from 2017-06-03 14:47:00.png" id="2" name="image7.png"/>
            <a:graphic>
              <a:graphicData uri="http://schemas.openxmlformats.org/drawingml/2006/picture">
                <pic:pic>
                  <pic:nvPicPr>
                    <pic:cNvPr descr="Screenshot from 2017-06-03 14:47:00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731200" cy="3454400"/>
            <wp:effectExtent b="25400" l="25400" r="25400" t="25400"/>
            <wp:wrapSquare wrapText="bothSides" distB="114300" distT="114300" distL="114300" distR="114300"/>
            <wp:docPr descr="Screenshot from 2017-06-03 17:58:03.png" id="5" name="image12.png"/>
            <a:graphic>
              <a:graphicData uri="http://schemas.openxmlformats.org/drawingml/2006/picture">
                <pic:pic>
                  <pic:nvPicPr>
                    <pic:cNvPr descr="Screenshot from 2017-06-03 17:58:03.png"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Оценка на софтуера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Кратък преглед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Системни изисквания</w:t>
      </w:r>
      <w:r w:rsidDel="00000000" w:rsidR="00000000" w:rsidRPr="00000000">
        <w:rPr>
          <w:rtl w:val="0"/>
        </w:rPr>
        <w:t xml:space="preserve">: Интернет браузър</w:t>
        <w:br w:type="textWrapping"/>
      </w:r>
      <w:r w:rsidDel="00000000" w:rsidR="00000000" w:rsidRPr="00000000">
        <w:rPr>
          <w:b w:val="1"/>
          <w:rtl w:val="0"/>
        </w:rPr>
        <w:t xml:space="preserve">Потребителска група</w:t>
      </w:r>
      <w:r w:rsidDel="00000000" w:rsidR="00000000" w:rsidRPr="00000000">
        <w:rPr>
          <w:rtl w:val="0"/>
        </w:rPr>
        <w:t xml:space="preserve">: Ученици от 2 клас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Съдържание: </w:t>
      </w:r>
      <w:r w:rsidDel="00000000" w:rsidR="00000000" w:rsidRPr="00000000">
        <w:rPr>
          <w:rtl w:val="0"/>
        </w:rPr>
        <w:t xml:space="preserve">Кратко, съобразено с възрастта на потребителската група. Достатъчно снимки и звукозаписи на музикалните инструменти, за да задържат вниманието и интереса на децата.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Леснота на използване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hanging="30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57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1620"/>
        <w:tblGridChange w:id="0">
          <w:tblGrid>
            <w:gridCol w:w="4110"/>
            <w:gridCol w:w="162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155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Точки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Необходимите умения са в компетенциите на обучаемите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Реакция на бутоните и клавишите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Адекватна реакция при грешка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Лесна инсталация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Надеждност и обратна връзка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59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1680"/>
        <w:tblGridChange w:id="0">
          <w:tblGrid>
            <w:gridCol w:w="4245"/>
            <w:gridCol w:w="1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Точки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Потребителите знаят при извършване на грешка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Съобразен с възрастовите</w:t>
              <w:br w:type="textWrapping"/>
              <w:t xml:space="preserve">особености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 натискане на клавиш програмата реагира само с едно действие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Съдържание и образователност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64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980"/>
        <w:tblGridChange w:id="0">
          <w:tblGrid>
            <w:gridCol w:w="4500"/>
            <w:gridCol w:w="19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Точки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Образователна стойност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Задоволително количество на</w:t>
              <w:br w:type="textWrapping"/>
              <w:t xml:space="preserve">информацията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Подходящо за потребителите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Точна и вярна информация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Наличие на помощни материали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Непосредствена обратна връзка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Функционалност и интерфейс</w: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62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785"/>
        <w:tblGridChange w:id="0">
          <w:tblGrid>
            <w:gridCol w:w="4500"/>
            <w:gridCol w:w="17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Точки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Звукът може да се регулира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Възможност за отпечатване и</w:t>
              <w:br w:type="textWrapping"/>
              <w:t xml:space="preserve">съхраняване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Възможност за преглед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Бърза, ясна и очевидна реакция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Дизайн и представяне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64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965"/>
        <w:tblGridChange w:id="0">
          <w:tblGrid>
            <w:gridCol w:w="4500"/>
            <w:gridCol w:w="19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Точки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Организирана структура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Интуитивен интерфейс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Подходяща графика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Адекватен звук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Кратък текст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Документация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63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1845"/>
        <w:tblGridChange w:id="0">
          <w:tblGrid>
            <w:gridCol w:w="4500"/>
            <w:gridCol w:w="18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Критерий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Точки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Налична документация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Уместна документация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Лесна за използване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Крайна оценка: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Ръководство за потребителя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Софтуерът не изисква инсталация. Необходими са само интернет и браузър, за да може да се ползва. Началната страница дава достъп до четирите основни типа инструменти.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742950</wp:posOffset>
            </wp:positionV>
            <wp:extent cx="5731200" cy="2933700"/>
            <wp:effectExtent b="0" l="0" r="0" t="0"/>
            <wp:wrapSquare wrapText="bothSides" distB="114300" distT="114300" distL="114300" distR="114300"/>
            <wp:docPr descr="1.PNG" id="1" name="image2.png"/>
            <a:graphic>
              <a:graphicData uri="http://schemas.openxmlformats.org/drawingml/2006/picture">
                <pic:pic>
                  <pic:nvPicPr>
                    <pic:cNvPr descr="1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Кликвайки върху </w:t>
      </w:r>
      <w:r w:rsidDel="00000000" w:rsidR="00000000" w:rsidRPr="00000000">
        <w:rPr>
          <w:i w:val="1"/>
          <w:sz w:val="24"/>
          <w:szCs w:val="24"/>
          <w:rtl w:val="0"/>
        </w:rPr>
        <w:t xml:space="preserve">Научете повече</w:t>
      </w:r>
      <w:r w:rsidDel="00000000" w:rsidR="00000000" w:rsidRPr="00000000">
        <w:rPr>
          <w:sz w:val="24"/>
          <w:szCs w:val="24"/>
          <w:rtl w:val="0"/>
        </w:rPr>
        <w:t xml:space="preserve">, под който и да е от типовете инструменти, се отваря страница с информация за конкретния тип инструменти и основните им представители.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Чрез бутона </w:t>
      </w:r>
      <w:r w:rsidDel="00000000" w:rsidR="00000000" w:rsidRPr="00000000">
        <w:rPr>
          <w:i w:val="1"/>
          <w:sz w:val="24"/>
          <w:szCs w:val="24"/>
          <w:rtl w:val="0"/>
        </w:rPr>
        <w:t xml:space="preserve">Упражни знанията си</w:t>
      </w:r>
      <w:r w:rsidDel="00000000" w:rsidR="00000000" w:rsidRPr="00000000">
        <w:rPr>
          <w:sz w:val="24"/>
          <w:szCs w:val="24"/>
          <w:rtl w:val="0"/>
        </w:rPr>
        <w:t xml:space="preserve">, се отваря тест, чрез който децата могат да проверят знанията си.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-57149</wp:posOffset>
            </wp:positionH>
            <wp:positionV relativeFrom="paragraph">
              <wp:posOffset>9525</wp:posOffset>
            </wp:positionV>
            <wp:extent cx="5731200" cy="3848100"/>
            <wp:effectExtent b="0" l="0" r="0" t="0"/>
            <wp:wrapSquare wrapText="bothSides" distB="114300" distT="114300" distL="114300" distR="114300"/>
            <wp:docPr descr="2.PNG" id="3" name="image8.png"/>
            <a:graphic>
              <a:graphicData uri="http://schemas.openxmlformats.org/drawingml/2006/picture">
                <pic:pic>
                  <pic:nvPicPr>
                    <pic:cNvPr descr="2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85725</wp:posOffset>
            </wp:positionH>
            <wp:positionV relativeFrom="paragraph">
              <wp:posOffset>9525</wp:posOffset>
            </wp:positionV>
            <wp:extent cx="5731200" cy="4902200"/>
            <wp:effectExtent b="0" l="0" r="0" t="0"/>
            <wp:wrapSquare wrapText="bothSides" distB="114300" distT="114300" distL="114300" distR="114300"/>
            <wp:docPr descr="3.PNG" id="7" name="image14.png"/>
            <a:graphic>
              <a:graphicData uri="http://schemas.openxmlformats.org/drawingml/2006/picture">
                <pic:pic>
                  <pic:nvPicPr>
                    <pic:cNvPr descr="3.PNG" id="0" name="image14.png"/>
                    <pic:cNvPicPr preferRelativeResize="0"/>
                  </pic:nvPicPr>
                  <pic:blipFill>
                    <a:blip r:embed="rId10"/>
                    <a:srcRect b="970" l="0" r="0" t="-97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да завършат теста си, децата трябва да дадат отговор на всички въпроси.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257175</wp:posOffset>
            </wp:positionV>
            <wp:extent cx="5731200" cy="4889500"/>
            <wp:effectExtent b="0" l="0" r="0" t="0"/>
            <wp:wrapSquare wrapText="bothSides" distB="114300" distT="114300" distL="114300" distR="114300"/>
            <wp:docPr descr="4.PNG" id="6" name="image13.png"/>
            <a:graphic>
              <a:graphicData uri="http://schemas.openxmlformats.org/drawingml/2006/picture">
                <pic:pic>
                  <pic:nvPicPr>
                    <pic:cNvPr descr="4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2" Type="http://schemas.openxmlformats.org/officeDocument/2006/relationships/footer" Target="footer1.xml"/><Relationship Id="rId9" Type="http://schemas.openxmlformats.org/officeDocument/2006/relationships/image" Target="media/image8.png"/><Relationship Id="rId5" Type="http://schemas.openxmlformats.org/officeDocument/2006/relationships/image" Target="media/image10.png"/><Relationship Id="rId6" Type="http://schemas.openxmlformats.org/officeDocument/2006/relationships/image" Target="media/image7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