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CEDE" w14:textId="77777777" w:rsidR="004A6E8C" w:rsidRDefault="004A6E8C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3D67C86B" w14:textId="77777777" w:rsidR="004A6E8C" w:rsidRDefault="004A6E8C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4A22A7A0" w14:textId="77777777" w:rsidR="004A6E8C" w:rsidRDefault="004A6E8C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552A9B75" w14:textId="77777777" w:rsidR="004A6E8C" w:rsidRDefault="004A6E8C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72301081" w14:textId="77777777" w:rsidR="004A6E8C" w:rsidRDefault="004A6E8C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55BC71B6" w14:textId="77777777" w:rsidR="004A6E8C" w:rsidRDefault="004A6E8C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2829D88C" w14:textId="38F6237E" w:rsidR="00712CAF" w:rsidRDefault="00712CAF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Medical Terminology Identification Assignment</w:t>
      </w:r>
    </w:p>
    <w:p w14:paraId="6A272A1A" w14:textId="7D89F149" w:rsidR="00712CAF" w:rsidRDefault="00712CAF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Identifying Termini </w:t>
      </w:r>
      <w:proofErr w:type="spellStart"/>
      <w:r>
        <w:rPr>
          <w:rFonts w:ascii="Times New Roman" w:hAnsi="Times New Roman" w:cs="Times New Roman"/>
        </w:rPr>
        <w:t>Technici</w:t>
      </w:r>
      <w:proofErr w:type="spellEnd"/>
      <w:r>
        <w:rPr>
          <w:rFonts w:ascii="Times New Roman" w:hAnsi="Times New Roman" w:cs="Times New Roman"/>
        </w:rPr>
        <w:t xml:space="preserve"> in Medicine and Healthcare</w:t>
      </w:r>
    </w:p>
    <w:p w14:paraId="389629DE" w14:textId="58168D6A" w:rsidR="00712CAF" w:rsidRDefault="00712CAF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Esther Odaibo</w:t>
      </w:r>
    </w:p>
    <w:p w14:paraId="3BF260FC" w14:textId="62F5ECC7" w:rsidR="00712CAF" w:rsidRDefault="00712CAF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ITAI-4375: AI in Healthcare </w:t>
      </w:r>
    </w:p>
    <w:p w14:paraId="0BFBD15D" w14:textId="7FAB3D5B" w:rsidR="00712CAF" w:rsidRDefault="00712CAF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 w:rsidRPr="00712CAF">
        <w:rPr>
          <w:rFonts w:ascii="Times New Roman" w:hAnsi="Times New Roman" w:cs="Times New Roman"/>
        </w:rPr>
        <w:t> Professor Dr. Doreen Rosenstrauch</w:t>
      </w:r>
    </w:p>
    <w:p w14:paraId="315E5AB2" w14:textId="041B4232" w:rsidR="00712CAF" w:rsidRDefault="00712CAF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January 25, 2026 </w:t>
      </w:r>
    </w:p>
    <w:p w14:paraId="303E7C75" w14:textId="77777777" w:rsidR="004A6E8C" w:rsidRDefault="004A6E8C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7BE0F371" w14:textId="77777777" w:rsidR="004A6E8C" w:rsidRDefault="004A6E8C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0AF1C7E1" w14:textId="77777777" w:rsidR="004A6E8C" w:rsidRDefault="004A6E8C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6E0D3F3D" w14:textId="77777777" w:rsidR="004A6E8C" w:rsidRDefault="004A6E8C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6A1CE6EA" w14:textId="77777777" w:rsidR="004A6E8C" w:rsidRDefault="004A6E8C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594B88F1" w14:textId="77777777" w:rsidR="004A6E8C" w:rsidRDefault="004A6E8C" w:rsidP="00712CAF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1A67786E" w14:textId="4C3D528C" w:rsidR="004A6E8C" w:rsidRDefault="004A6E8C" w:rsidP="004A6E8C">
      <w:pPr>
        <w:spacing w:line="480" w:lineRule="auto"/>
        <w:ind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Introduction</w:t>
      </w:r>
    </w:p>
    <w:p w14:paraId="4C98DF30" w14:textId="0269DC52" w:rsidR="004A6E8C" w:rsidRDefault="004A6E8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Medical and healthcare literature relies heavily on specialized terminology, or termini </w:t>
      </w:r>
      <w:proofErr w:type="spellStart"/>
      <w:r>
        <w:rPr>
          <w:rFonts w:ascii="Times New Roman" w:hAnsi="Times New Roman" w:cs="Times New Roman"/>
        </w:rPr>
        <w:t>technici</w:t>
      </w:r>
      <w:proofErr w:type="spellEnd"/>
      <w:r>
        <w:rPr>
          <w:rFonts w:ascii="Times New Roman" w:hAnsi="Times New Roman" w:cs="Times New Roman"/>
        </w:rPr>
        <w:t xml:space="preserve">, to convey precise clinical, scientific, and operational meanings. Accurate understanding of these terms is essential for effective communication among healthcare professionals, researchers, and policymakers, particularly as artificial intelligence (AI) and data-driven technologies increasingly influence healthcare delivery. </w:t>
      </w:r>
      <w:r w:rsidR="004934D4">
        <w:rPr>
          <w:rFonts w:ascii="Times New Roman" w:hAnsi="Times New Roman" w:cs="Times New Roman"/>
        </w:rPr>
        <w:t>This assignment identifies and analyzes key medical terms commonly used in recent peer-reviewed medical journals and healthcare reports, explaining their definitions, contextual usage, and importance to modern healthcare practice.</w:t>
      </w:r>
    </w:p>
    <w:p w14:paraId="5668883A" w14:textId="200F8AB3" w:rsidR="002572AA" w:rsidRDefault="002572AA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Medical Terminology Identification</w:t>
      </w:r>
    </w:p>
    <w:p w14:paraId="723B9C9D" w14:textId="1CEACD9D" w:rsidR="002572AA" w:rsidRDefault="002572AA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 1: Electronic Health Record (</w:t>
      </w:r>
      <w:r w:rsidR="002E4795">
        <w:rPr>
          <w:rFonts w:ascii="Times New Roman" w:hAnsi="Times New Roman" w:cs="Times New Roman"/>
        </w:rPr>
        <w:t>EHR</w:t>
      </w:r>
      <w:r>
        <w:rPr>
          <w:rFonts w:ascii="Times New Roman" w:hAnsi="Times New Roman" w:cs="Times New Roman"/>
        </w:rPr>
        <w:t>)</w:t>
      </w:r>
    </w:p>
    <w:p w14:paraId="6C1423A5" w14:textId="078ADD53" w:rsidR="002572AA" w:rsidRDefault="002572AA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Definition: A digital version of a patient’s comprehensive medical history, including diagnoses, medications, laboratory results, and treatment plans.</w:t>
      </w:r>
    </w:p>
    <w:p w14:paraId="00D7831D" w14:textId="7D1AD40F" w:rsidR="002572AA" w:rsidRDefault="002572AA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Context: EHRs are frequently referenced in discussions of clinical documentation and AI-enabled decision support systems.</w:t>
      </w:r>
    </w:p>
    <w:p w14:paraId="68088A8D" w14:textId="290D07E3" w:rsidR="002572AA" w:rsidRDefault="002572AA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Importance: EHRs are foundational </w:t>
      </w:r>
      <w:r w:rsidR="004663BC">
        <w:rPr>
          <w:rFonts w:ascii="Times New Roman" w:hAnsi="Times New Roman" w:cs="Times New Roman"/>
        </w:rPr>
        <w:t>to modern healthcare operations and enable interoperability, population health analytics, and the integration of AI tools for predictive modeling and clinical decision-making (Adler-Milstein &amp; Huck</w:t>
      </w:r>
      <w:r w:rsidR="002E4795">
        <w:rPr>
          <w:rFonts w:ascii="Times New Roman" w:hAnsi="Times New Roman" w:cs="Times New Roman"/>
        </w:rPr>
        <w:t>m</w:t>
      </w:r>
      <w:r w:rsidR="004663BC">
        <w:rPr>
          <w:rFonts w:ascii="Times New Roman" w:hAnsi="Times New Roman" w:cs="Times New Roman"/>
        </w:rPr>
        <w:t>an, 2023).</w:t>
      </w:r>
    </w:p>
    <w:p w14:paraId="7CCB3DDD" w14:textId="77777777" w:rsidR="004663BC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</w:p>
    <w:p w14:paraId="2454F0BC" w14:textId="73F45F8F" w:rsidR="004663BC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Term</w:t>
      </w:r>
      <w:r w:rsidR="002E47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2: Clinical Decision Support (CDS)</w:t>
      </w:r>
    </w:p>
    <w:p w14:paraId="5D6C1E1B" w14:textId="6CF816B2" w:rsidR="004663BC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Definition: Computer-based systems that provide clinicians with patient-specific recommendations to aid clinical decision-making.</w:t>
      </w:r>
    </w:p>
    <w:p w14:paraId="785E4F7C" w14:textId="1C1FB8F7" w:rsidR="004663BC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Context: CDS tools are embedded within </w:t>
      </w:r>
      <w:r w:rsidR="002E4795">
        <w:rPr>
          <w:rFonts w:ascii="Times New Roman" w:hAnsi="Times New Roman" w:cs="Times New Roman"/>
        </w:rPr>
        <w:t>EHR</w:t>
      </w:r>
      <w:r>
        <w:rPr>
          <w:rFonts w:ascii="Times New Roman" w:hAnsi="Times New Roman" w:cs="Times New Roman"/>
        </w:rPr>
        <w:t xml:space="preserve"> systems to support diagnostic accuracy and treatment selection.</w:t>
      </w:r>
    </w:p>
    <w:p w14:paraId="7D8B30BE" w14:textId="75996032" w:rsidR="004663BC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Importance: CDS systems improve care quality and patient safety, particularly when enhanced by AI algorithms that analyze large datasets in real time (Sutton et al., 2020).</w:t>
      </w:r>
    </w:p>
    <w:p w14:paraId="2C483C96" w14:textId="642DB263" w:rsidR="004663BC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 3: Machine Learning (ML)</w:t>
      </w:r>
    </w:p>
    <w:p w14:paraId="466478A2" w14:textId="0AFFECC0" w:rsidR="004663BC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Definition: A subset of artificial intelligence in which algorithms learn patterns from data to make predictions or decisions without explicit programming.</w:t>
      </w:r>
    </w:p>
    <w:p w14:paraId="489F2B5F" w14:textId="572A8020" w:rsidR="004663BC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Context: ML is widely discussed in medical literature related to diagnostic imaging, risk prediction, and personalized medicine.</w:t>
      </w:r>
    </w:p>
    <w:p w14:paraId="6020752F" w14:textId="69DCCC31" w:rsidR="004663BC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Importance: ML enables scalable analysis of complex healthcare data and supports innovations such as early disease detection and treatment optimization (Topol, 2023).</w:t>
      </w:r>
    </w:p>
    <w:p w14:paraId="4A344AA6" w14:textId="6EEC7B87" w:rsidR="004663BC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 4: Algorithmic Bias</w:t>
      </w:r>
    </w:p>
    <w:p w14:paraId="59045D98" w14:textId="1C6D23EA" w:rsidR="004663BC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Definition: Systematic errors in AI outputs that result from biased training data or model design.</w:t>
      </w:r>
    </w:p>
    <w:p w14:paraId="1618BEB4" w14:textId="424EAF7A" w:rsidR="004663BC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Context: Algorithmic bias is highlighted in studies evaluating AI performance across diverse patient populations.</w:t>
      </w:r>
    </w:p>
    <w:p w14:paraId="4D152FCE" w14:textId="0B0E4A20" w:rsidR="004663BC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Importance: Addressing algorithmic bias is critical to ensuring equitable healthcare delivery and preventing disparities in diagnosis and treatment outcomes (</w:t>
      </w:r>
      <w:proofErr w:type="spellStart"/>
      <w:r>
        <w:rPr>
          <w:rFonts w:ascii="Times New Roman" w:hAnsi="Times New Roman" w:cs="Times New Roman"/>
        </w:rPr>
        <w:t>Rajkomar</w:t>
      </w:r>
      <w:proofErr w:type="spellEnd"/>
      <w:r>
        <w:rPr>
          <w:rFonts w:ascii="Times New Roman" w:hAnsi="Times New Roman" w:cs="Times New Roman"/>
        </w:rPr>
        <w:t xml:space="preserve"> et al., 2019).</w:t>
      </w:r>
    </w:p>
    <w:p w14:paraId="7A25B3DB" w14:textId="4412764B" w:rsidR="004663BC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Term 5: </w:t>
      </w:r>
      <w:r w:rsidR="00241F42">
        <w:rPr>
          <w:rFonts w:ascii="Times New Roman" w:hAnsi="Times New Roman" w:cs="Times New Roman"/>
        </w:rPr>
        <w:t>Interope</w:t>
      </w:r>
      <w:r w:rsidR="005B057B">
        <w:rPr>
          <w:rFonts w:ascii="Times New Roman" w:hAnsi="Times New Roman" w:cs="Times New Roman"/>
        </w:rPr>
        <w:t>rability</w:t>
      </w:r>
    </w:p>
    <w:p w14:paraId="3EE4516C" w14:textId="59ABD22E" w:rsidR="00D73F4E" w:rsidRDefault="001D2F1F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D56C8">
        <w:rPr>
          <w:rFonts w:ascii="Times New Roman" w:hAnsi="Times New Roman" w:cs="Times New Roman"/>
        </w:rPr>
        <w:t>Definition: The ability of different healthcare information systems to ex</w:t>
      </w:r>
      <w:r w:rsidR="00F9609B">
        <w:rPr>
          <w:rFonts w:ascii="Times New Roman" w:hAnsi="Times New Roman" w:cs="Times New Roman"/>
        </w:rPr>
        <w:t>change, interpret</w:t>
      </w:r>
      <w:r w:rsidR="006536E9">
        <w:rPr>
          <w:rFonts w:ascii="Times New Roman" w:hAnsi="Times New Roman" w:cs="Times New Roman"/>
        </w:rPr>
        <w:t>, and use data seamlessly.</w:t>
      </w:r>
    </w:p>
    <w:p w14:paraId="50BB8C27" w14:textId="61416286" w:rsidR="006536E9" w:rsidRDefault="006536E9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Context: Interoperability challenges are frequently cited as </w:t>
      </w:r>
      <w:r w:rsidR="00210158">
        <w:rPr>
          <w:rFonts w:ascii="Times New Roman" w:hAnsi="Times New Roman" w:cs="Times New Roman"/>
        </w:rPr>
        <w:t xml:space="preserve">barriers to </w:t>
      </w:r>
      <w:r>
        <w:rPr>
          <w:rFonts w:ascii="Times New Roman" w:hAnsi="Times New Roman" w:cs="Times New Roman"/>
        </w:rPr>
        <w:t>effective health information exchange.</w:t>
      </w:r>
    </w:p>
    <w:p w14:paraId="036D0652" w14:textId="1D1393C1" w:rsidR="006536E9" w:rsidRDefault="006536E9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Importance: Interoperability </w:t>
      </w:r>
      <w:r w:rsidR="00F51579">
        <w:rPr>
          <w:rFonts w:ascii="Times New Roman" w:hAnsi="Times New Roman" w:cs="Times New Roman"/>
        </w:rPr>
        <w:t xml:space="preserve">supports continuity of care, </w:t>
      </w:r>
      <w:r w:rsidR="0048425B">
        <w:rPr>
          <w:rFonts w:ascii="Times New Roman" w:hAnsi="Times New Roman" w:cs="Times New Roman"/>
        </w:rPr>
        <w:t>reduces service duplication</w:t>
      </w:r>
      <w:r w:rsidR="00F51579">
        <w:rPr>
          <w:rFonts w:ascii="Times New Roman" w:hAnsi="Times New Roman" w:cs="Times New Roman"/>
        </w:rPr>
        <w:t>, and enhances the effectiveness of AI-driven analytics (Adler-Milstein &amp; Pfeifer, 2022).</w:t>
      </w:r>
    </w:p>
    <w:p w14:paraId="2D713788" w14:textId="5A1F6178" w:rsidR="00F51579" w:rsidRDefault="00F51579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 6: Synthetic Health Data</w:t>
      </w:r>
    </w:p>
    <w:p w14:paraId="5562BBAB" w14:textId="7F6C81C3" w:rsidR="00F51579" w:rsidRDefault="00F51579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Definition: Artificially generated data that replicate</w:t>
      </w:r>
      <w:r w:rsidR="008361B7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statistical</w:t>
      </w:r>
      <w:r w:rsidR="00D90C98">
        <w:rPr>
          <w:rFonts w:ascii="Times New Roman" w:hAnsi="Times New Roman" w:cs="Times New Roman"/>
        </w:rPr>
        <w:t xml:space="preserve"> properties of real data without containing identifiable information.</w:t>
      </w:r>
    </w:p>
    <w:p w14:paraId="0D970A6A" w14:textId="72703BA3" w:rsidR="00D90C98" w:rsidRDefault="00D90C98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Context: Synthetic data are discussed as a solution for training AI models while protecting patient privacy</w:t>
      </w:r>
      <w:r w:rsidR="00E075D3">
        <w:rPr>
          <w:rFonts w:ascii="Times New Roman" w:hAnsi="Times New Roman" w:cs="Times New Roman"/>
        </w:rPr>
        <w:t>.</w:t>
      </w:r>
    </w:p>
    <w:p w14:paraId="3F93D200" w14:textId="00BB21F6" w:rsidR="00E075D3" w:rsidRDefault="00E075D3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Importance: Synthetic data enable</w:t>
      </w:r>
      <w:r w:rsidR="008361B7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innovation in AI research while minimizing risks related to data security and confidentiality (Chen et al., 2021).</w:t>
      </w:r>
    </w:p>
    <w:p w14:paraId="42A5754B" w14:textId="3FE7435F" w:rsidR="00F96EA6" w:rsidRDefault="00F96EA6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 7: Predictive Analytics</w:t>
      </w:r>
    </w:p>
    <w:p w14:paraId="60091E50" w14:textId="2741732A" w:rsidR="00F96EA6" w:rsidRDefault="00F96EA6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Definition: The use of statistical and AI techniques to analyze historical data and predict future outcomes.</w:t>
      </w:r>
    </w:p>
    <w:p w14:paraId="3837FEFD" w14:textId="451615E8" w:rsidR="00F96EA6" w:rsidRDefault="0099650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Context: Predictive analytics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applied in healthcare for readmission risk, disease progression, and resource allocation.</w:t>
      </w:r>
    </w:p>
    <w:p w14:paraId="41E32E5E" w14:textId="63657439" w:rsidR="0099650C" w:rsidRDefault="0099650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Importance: These tools improve proactive care management and support    value-based healthcare models (Bates et al., 2021).</w:t>
      </w:r>
    </w:p>
    <w:p w14:paraId="1C92CA85" w14:textId="22FAFE0F" w:rsidR="0099650C" w:rsidRDefault="0099650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 8: Population Health Management</w:t>
      </w:r>
    </w:p>
    <w:p w14:paraId="735A51A1" w14:textId="31EE50E3" w:rsidR="0099650C" w:rsidRDefault="0099650C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Definition:</w:t>
      </w:r>
      <w:r w:rsidR="00DC14CE">
        <w:rPr>
          <w:rFonts w:ascii="Times New Roman" w:hAnsi="Times New Roman" w:cs="Times New Roman"/>
        </w:rPr>
        <w:t xml:space="preserve"> Strategies aimed at improving health outcomes for defined populations through data-driven interventions.</w:t>
      </w:r>
    </w:p>
    <w:p w14:paraId="40D64AD5" w14:textId="12B9400C" w:rsidR="00DC14CE" w:rsidRDefault="00DC14CE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Context: Population health is frequently referenced in discussions of healthcare analytics and preventive care.</w:t>
      </w:r>
    </w:p>
    <w:p w14:paraId="5134616D" w14:textId="5F284EB4" w:rsidR="00DC14CE" w:rsidRDefault="00DC14CE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Importance: </w:t>
      </w:r>
      <w:r w:rsidR="00D92C57">
        <w:rPr>
          <w:rFonts w:ascii="Times New Roman" w:hAnsi="Times New Roman" w:cs="Times New Roman"/>
        </w:rPr>
        <w:t>Population health management relies on accurate data and AI tools to reduce costs and improve outcomes across communities (Kindig &amp; Stoddart, 2020).</w:t>
      </w:r>
    </w:p>
    <w:p w14:paraId="60F6FEAE" w14:textId="269D74C3" w:rsidR="007E197F" w:rsidRDefault="007E197F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 9: Natural Language Processing (NLP)</w:t>
      </w:r>
    </w:p>
    <w:p w14:paraId="53C729BC" w14:textId="340319E2" w:rsidR="007E197F" w:rsidRDefault="007E197F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Definition: An AI technique that enables computers to interpret and analyze human language</w:t>
      </w:r>
      <w:r w:rsidR="00956CD7">
        <w:rPr>
          <w:rFonts w:ascii="Times New Roman" w:hAnsi="Times New Roman" w:cs="Times New Roman"/>
        </w:rPr>
        <w:t>.</w:t>
      </w:r>
    </w:p>
    <w:p w14:paraId="31200C42" w14:textId="63523F39" w:rsidR="00956CD7" w:rsidRDefault="00956CD7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Context: NLP is used to extract meaningful information from unstructured clinical notes within EHRs.</w:t>
      </w:r>
    </w:p>
    <w:p w14:paraId="583984F7" w14:textId="0B2EE3CF" w:rsidR="00956CD7" w:rsidRDefault="00956CD7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Importance: NLP enhances data usability and supports clinical research, documentation efficiency</w:t>
      </w:r>
      <w:r w:rsidR="00452023">
        <w:rPr>
          <w:rFonts w:ascii="Times New Roman" w:hAnsi="Times New Roman" w:cs="Times New Roman"/>
        </w:rPr>
        <w:t>, and AI-driven insights (Wu et al., 2023).</w:t>
      </w:r>
    </w:p>
    <w:p w14:paraId="407123ED" w14:textId="77777777" w:rsidR="008229CD" w:rsidRDefault="008229CD" w:rsidP="004A6E8C">
      <w:pPr>
        <w:spacing w:line="480" w:lineRule="auto"/>
        <w:ind w:right="1440"/>
        <w:rPr>
          <w:rFonts w:ascii="Times New Roman" w:hAnsi="Times New Roman" w:cs="Times New Roman"/>
        </w:rPr>
      </w:pPr>
    </w:p>
    <w:p w14:paraId="3BE4D8D2" w14:textId="494A3F74" w:rsidR="00452023" w:rsidRDefault="00452023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Term 10: Data Governance</w:t>
      </w:r>
    </w:p>
    <w:p w14:paraId="66A947F1" w14:textId="5507B49B" w:rsidR="008229CD" w:rsidRDefault="008229CD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Definition: The framework of policies and processes that ensure data quality, security, and ethical use.</w:t>
      </w:r>
    </w:p>
    <w:p w14:paraId="12A88960" w14:textId="56CC257C" w:rsidR="008229CD" w:rsidRDefault="008229CD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Context: Data governance is emphasized in discussions about AI </w:t>
      </w:r>
      <w:r w:rsidR="00DA6F15">
        <w:rPr>
          <w:rFonts w:ascii="Times New Roman" w:hAnsi="Times New Roman" w:cs="Times New Roman"/>
        </w:rPr>
        <w:t>implementation and regulatory compliance.</w:t>
      </w:r>
    </w:p>
    <w:p w14:paraId="175446FA" w14:textId="369394F1" w:rsidR="00DA6F15" w:rsidRDefault="00DA6F15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Importance: Strong data governance is essential for maintaining trust, ensuring regulatory compliance, and </w:t>
      </w:r>
      <w:r w:rsidR="00A631B4">
        <w:rPr>
          <w:rFonts w:ascii="Times New Roman" w:hAnsi="Times New Roman" w:cs="Times New Roman"/>
        </w:rPr>
        <w:t>supporting responsible AI adoption in healthcare (Reddy et al., 2020).</w:t>
      </w:r>
    </w:p>
    <w:p w14:paraId="778261BA" w14:textId="1158C480" w:rsidR="00A631B4" w:rsidRDefault="00A631B4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</w:p>
    <w:p w14:paraId="1684331F" w14:textId="336FF14A" w:rsidR="00A631B4" w:rsidRDefault="00A631B4" w:rsidP="004A6E8C">
      <w:pPr>
        <w:spacing w:line="480" w:lineRule="auto"/>
        <w:ind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Understanding medical terminology is essential for navigating modern healthcare environments, particularly as AI and data analytics reshape clinical practice and healthcare operations</w:t>
      </w:r>
      <w:r w:rsidR="00D15564">
        <w:rPr>
          <w:rFonts w:ascii="Times New Roman" w:hAnsi="Times New Roman" w:cs="Times New Roman"/>
        </w:rPr>
        <w:t>. The terms identified in this assignment reflect core concepts that influence patient care, research integrity, data security, and ethical decision-making. Mastery of these terminologi</w:t>
      </w:r>
      <w:r w:rsidR="006B1D61">
        <w:rPr>
          <w:rFonts w:ascii="Times New Roman" w:hAnsi="Times New Roman" w:cs="Times New Roman"/>
        </w:rPr>
        <w:t>e</w:t>
      </w:r>
      <w:r w:rsidR="00AF5524">
        <w:rPr>
          <w:rFonts w:ascii="Times New Roman" w:hAnsi="Times New Roman" w:cs="Times New Roman"/>
        </w:rPr>
        <w:t>s supports effective communication, informed clinical judgement, and responsible integration of emerging technologies in healthcare.</w:t>
      </w:r>
    </w:p>
    <w:p w14:paraId="5485F3D2" w14:textId="77777777" w:rsidR="00AF5524" w:rsidRDefault="00AF5524" w:rsidP="004A6E8C">
      <w:pPr>
        <w:spacing w:line="480" w:lineRule="auto"/>
        <w:ind w:right="1440"/>
        <w:rPr>
          <w:rFonts w:ascii="Times New Roman" w:hAnsi="Times New Roman" w:cs="Times New Roman"/>
        </w:rPr>
      </w:pPr>
    </w:p>
    <w:p w14:paraId="1FE9D622" w14:textId="77777777" w:rsidR="00AF5524" w:rsidRDefault="00AF5524" w:rsidP="004A6E8C">
      <w:pPr>
        <w:spacing w:line="480" w:lineRule="auto"/>
        <w:ind w:right="1440"/>
        <w:rPr>
          <w:rFonts w:ascii="Times New Roman" w:hAnsi="Times New Roman" w:cs="Times New Roman"/>
        </w:rPr>
      </w:pPr>
    </w:p>
    <w:p w14:paraId="721FA761" w14:textId="77777777" w:rsidR="00AF5524" w:rsidRDefault="00AF5524" w:rsidP="004A6E8C">
      <w:pPr>
        <w:spacing w:line="480" w:lineRule="auto"/>
        <w:ind w:right="1440"/>
        <w:rPr>
          <w:rFonts w:ascii="Times New Roman" w:hAnsi="Times New Roman" w:cs="Times New Roman"/>
        </w:rPr>
      </w:pPr>
    </w:p>
    <w:p w14:paraId="1D4EBCBA" w14:textId="77777777" w:rsidR="00AF5524" w:rsidRDefault="00AF5524" w:rsidP="004A6E8C">
      <w:pPr>
        <w:spacing w:line="480" w:lineRule="auto"/>
        <w:ind w:right="1440"/>
        <w:rPr>
          <w:rFonts w:ascii="Times New Roman" w:hAnsi="Times New Roman" w:cs="Times New Roman"/>
        </w:rPr>
      </w:pPr>
    </w:p>
    <w:p w14:paraId="69971A5C" w14:textId="77777777" w:rsidR="00AF5524" w:rsidRDefault="00AF5524" w:rsidP="004A6E8C">
      <w:pPr>
        <w:spacing w:line="480" w:lineRule="auto"/>
        <w:ind w:right="1440"/>
        <w:rPr>
          <w:rFonts w:ascii="Times New Roman" w:hAnsi="Times New Roman" w:cs="Times New Roman"/>
        </w:rPr>
      </w:pPr>
    </w:p>
    <w:p w14:paraId="603DB857" w14:textId="3FBB9906" w:rsidR="00AF5524" w:rsidRDefault="00AF5524" w:rsidP="00AF5524">
      <w:pPr>
        <w:spacing w:line="480" w:lineRule="auto"/>
        <w:ind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References</w:t>
      </w:r>
    </w:p>
    <w:p w14:paraId="67AA99E9" w14:textId="77777777" w:rsidR="00AC3F9E" w:rsidRDefault="00AC3F9E" w:rsidP="00AC3F9E">
      <w:pPr>
        <w:pStyle w:val="NormalWeb"/>
      </w:pPr>
      <w:r>
        <w:t xml:space="preserve">Adler-Milstein, J., &amp; Huckman, R. S. (2023). </w:t>
      </w:r>
      <w:r>
        <w:rPr>
          <w:rStyle w:val="Emphasis"/>
          <w:rFonts w:eastAsiaTheme="majorEastAsia"/>
        </w:rPr>
        <w:t>The impact of electronic health records on care delivery</w:t>
      </w:r>
      <w:r>
        <w:t xml:space="preserve">. </w:t>
      </w:r>
      <w:r w:rsidRPr="005E0ED4">
        <w:rPr>
          <w:rStyle w:val="Emphasis"/>
          <w:rFonts w:eastAsiaTheme="majorEastAsia"/>
        </w:rPr>
        <w:t>New England Journal of Medicine</w:t>
      </w:r>
      <w:r>
        <w:rPr>
          <w:rStyle w:val="Emphasis"/>
          <w:rFonts w:eastAsiaTheme="majorEastAsia"/>
        </w:rPr>
        <w:t>, 388</w:t>
      </w:r>
      <w:r>
        <w:t>(6), 515–523. https://doi.org/10.1056/NEJMra2210891</w:t>
      </w:r>
    </w:p>
    <w:p w14:paraId="16DF761C" w14:textId="77777777" w:rsidR="00AC3F9E" w:rsidRDefault="00AC3F9E" w:rsidP="00AC3F9E">
      <w:pPr>
        <w:pStyle w:val="NormalWeb"/>
      </w:pPr>
      <w:r>
        <w:t xml:space="preserve">Adler-Milstein, J., &amp; Pfeifer, E. (2022). </w:t>
      </w:r>
      <w:r>
        <w:rPr>
          <w:rStyle w:val="Emphasis"/>
          <w:rFonts w:eastAsiaTheme="majorEastAsia"/>
        </w:rPr>
        <w:t>Information blocking and interoperability in healthcare</w:t>
      </w:r>
      <w:r>
        <w:t xml:space="preserve">. </w:t>
      </w:r>
      <w:r>
        <w:rPr>
          <w:rStyle w:val="Emphasis"/>
          <w:rFonts w:eastAsiaTheme="majorEastAsia"/>
        </w:rPr>
        <w:t>Health Affairs, 41</w:t>
      </w:r>
      <w:r>
        <w:t>(6), 782–789. https://doi.org/10.1377/hlthaff.2021.01764</w:t>
      </w:r>
    </w:p>
    <w:p w14:paraId="15C2CA52" w14:textId="77777777" w:rsidR="00AC3F9E" w:rsidRDefault="00AC3F9E" w:rsidP="00AC3F9E">
      <w:pPr>
        <w:pStyle w:val="NormalWeb"/>
      </w:pPr>
      <w:r>
        <w:t xml:space="preserve">Bates, D. W., Saria, S., Ohno-Machado, L., Shah, A., &amp; Escobar, G. (2021). </w:t>
      </w:r>
      <w:r>
        <w:rPr>
          <w:rStyle w:val="Emphasis"/>
          <w:rFonts w:eastAsiaTheme="majorEastAsia"/>
        </w:rPr>
        <w:t>Big data in health care: Using analytics to identify and manage high-risk patients</w:t>
      </w:r>
      <w:r>
        <w:t xml:space="preserve">. </w:t>
      </w:r>
      <w:r>
        <w:rPr>
          <w:rStyle w:val="Emphasis"/>
          <w:rFonts w:eastAsiaTheme="majorEastAsia"/>
        </w:rPr>
        <w:t>Health Affairs, 40</w:t>
      </w:r>
      <w:r>
        <w:t>(7), 1120–1127.</w:t>
      </w:r>
    </w:p>
    <w:p w14:paraId="6CD85D77" w14:textId="77777777" w:rsidR="00AC3F9E" w:rsidRDefault="00AC3F9E" w:rsidP="00AC3F9E">
      <w:pPr>
        <w:pStyle w:val="NormalWeb"/>
      </w:pPr>
      <w:r>
        <w:t xml:space="preserve">Chen, R. J., Lu, M. Y., Chen, T. Y., Williamson, D. F. K., &amp; Mahmood, F. (2021). </w:t>
      </w:r>
      <w:r>
        <w:rPr>
          <w:rStyle w:val="Emphasis"/>
          <w:rFonts w:eastAsiaTheme="majorEastAsia"/>
        </w:rPr>
        <w:t>Synthetic data in machine learning for medicine</w:t>
      </w:r>
      <w:r>
        <w:t xml:space="preserve">. </w:t>
      </w:r>
      <w:r>
        <w:rPr>
          <w:rStyle w:val="Emphasis"/>
          <w:rFonts w:eastAsiaTheme="majorEastAsia"/>
        </w:rPr>
        <w:t>Nature Biomedical Engineering, 5</w:t>
      </w:r>
      <w:r>
        <w:t>(6), 493–497.</w:t>
      </w:r>
    </w:p>
    <w:p w14:paraId="4386887B" w14:textId="77777777" w:rsidR="00AC3F9E" w:rsidRDefault="00AC3F9E" w:rsidP="00AC3F9E">
      <w:pPr>
        <w:pStyle w:val="NormalWeb"/>
      </w:pPr>
      <w:r>
        <w:t xml:space="preserve">Kindig, D., &amp; Stoddart, G. (2020). </w:t>
      </w:r>
      <w:r>
        <w:rPr>
          <w:rStyle w:val="Emphasis"/>
          <w:rFonts w:eastAsiaTheme="majorEastAsia"/>
        </w:rPr>
        <w:t>What is population health?</w:t>
      </w:r>
      <w:r>
        <w:t xml:space="preserve"> </w:t>
      </w:r>
      <w:r>
        <w:rPr>
          <w:rStyle w:val="Emphasis"/>
          <w:rFonts w:eastAsiaTheme="majorEastAsia"/>
        </w:rPr>
        <w:t>American Journal of Public Health, 110</w:t>
      </w:r>
      <w:r>
        <w:t>(12), 1768–1771.</w:t>
      </w:r>
    </w:p>
    <w:p w14:paraId="1B2EA00A" w14:textId="16CB9308" w:rsidR="00AC3F9E" w:rsidRDefault="00AC3F9E" w:rsidP="00AC3F9E">
      <w:pPr>
        <w:pStyle w:val="NormalWeb"/>
      </w:pPr>
      <w:proofErr w:type="spellStart"/>
      <w:r>
        <w:t>Rajkomar</w:t>
      </w:r>
      <w:proofErr w:type="spellEnd"/>
      <w:r>
        <w:t xml:space="preserve">, A., Dean, J., &amp; </w:t>
      </w:r>
      <w:proofErr w:type="spellStart"/>
      <w:r>
        <w:t>Kohane</w:t>
      </w:r>
      <w:proofErr w:type="spellEnd"/>
      <w:r>
        <w:t xml:space="preserve">, I. (2019). </w:t>
      </w:r>
      <w:r>
        <w:rPr>
          <w:rStyle w:val="Emphasis"/>
          <w:rFonts w:eastAsiaTheme="majorEastAsia"/>
        </w:rPr>
        <w:t>Machine learning in medicine</w:t>
      </w:r>
      <w:r>
        <w:t xml:space="preserve">. </w:t>
      </w:r>
      <w:r>
        <w:rPr>
          <w:rStyle w:val="Emphasis"/>
          <w:rFonts w:eastAsiaTheme="majorEastAsia"/>
        </w:rPr>
        <w:t>New England Journal of Medicine, 380</w:t>
      </w:r>
      <w:r>
        <w:t>(14), 1347–1358</w:t>
      </w:r>
      <w:r w:rsidR="002E4795">
        <w:t>.</w:t>
      </w:r>
      <w:r w:rsidR="005E0ED4" w:rsidRPr="005E0ED4">
        <w:t xml:space="preserve"> </w:t>
      </w:r>
      <w:hyperlink r:id="rId4" w:tgtFrame="_new" w:history="1">
        <w:r w:rsidR="005E0ED4" w:rsidRPr="005E0ED4">
          <w:rPr>
            <w:rStyle w:val="Hyperlink"/>
          </w:rPr>
          <w:t>https://doi.org/10.1056/NEJMra1814259</w:t>
        </w:r>
      </w:hyperlink>
    </w:p>
    <w:p w14:paraId="66BE72CD" w14:textId="77777777" w:rsidR="00AC3F9E" w:rsidRDefault="00AC3F9E" w:rsidP="00AC3F9E">
      <w:pPr>
        <w:pStyle w:val="NormalWeb"/>
      </w:pPr>
      <w:r>
        <w:t xml:space="preserve">Reddy, S., Allan, S., Coghlan, S., &amp; Cooper, P. (2020). </w:t>
      </w:r>
      <w:r>
        <w:rPr>
          <w:rStyle w:val="Emphasis"/>
          <w:rFonts w:eastAsiaTheme="majorEastAsia"/>
        </w:rPr>
        <w:t>A governance model for the application of AI in health care</w:t>
      </w:r>
      <w:r>
        <w:t xml:space="preserve">. </w:t>
      </w:r>
      <w:r>
        <w:rPr>
          <w:rStyle w:val="Emphasis"/>
          <w:rFonts w:eastAsiaTheme="majorEastAsia"/>
        </w:rPr>
        <w:t>Journal of the American Medical Informatics Association, 27</w:t>
      </w:r>
      <w:r>
        <w:t>(3), 491–497.</w:t>
      </w:r>
    </w:p>
    <w:p w14:paraId="33471424" w14:textId="77777777" w:rsidR="00AC3F9E" w:rsidRDefault="00AC3F9E" w:rsidP="00AC3F9E">
      <w:pPr>
        <w:pStyle w:val="NormalWeb"/>
      </w:pPr>
      <w:r>
        <w:t xml:space="preserve">Sutton, R. T., Pincock, D., Baumgart, D. C., Sadowski, D. C., Fedorak, R. N., &amp; Kroeker, K. I. (2020). </w:t>
      </w:r>
      <w:r>
        <w:rPr>
          <w:rStyle w:val="Emphasis"/>
          <w:rFonts w:eastAsiaTheme="majorEastAsia"/>
        </w:rPr>
        <w:t>An overview of clinical decision support systems</w:t>
      </w:r>
      <w:r>
        <w:t xml:space="preserve">. </w:t>
      </w:r>
      <w:r>
        <w:rPr>
          <w:rStyle w:val="Emphasis"/>
          <w:rFonts w:eastAsiaTheme="majorEastAsia"/>
        </w:rPr>
        <w:t>Journal of Medical Internet Research, 22</w:t>
      </w:r>
      <w:r>
        <w:t>(10), e16727.</w:t>
      </w:r>
    </w:p>
    <w:p w14:paraId="48DC719C" w14:textId="77777777" w:rsidR="00AC3F9E" w:rsidRDefault="00AC3F9E" w:rsidP="00AC3F9E">
      <w:pPr>
        <w:pStyle w:val="NormalWeb"/>
      </w:pPr>
      <w:r>
        <w:t xml:space="preserve">Topol, E. (2023). </w:t>
      </w:r>
      <w:r>
        <w:rPr>
          <w:rStyle w:val="Emphasis"/>
          <w:rFonts w:eastAsiaTheme="majorEastAsia"/>
        </w:rPr>
        <w:t>High-performance medicine: The convergence of human and artificial intelligence</w:t>
      </w:r>
      <w:r>
        <w:t xml:space="preserve">. </w:t>
      </w:r>
      <w:r>
        <w:rPr>
          <w:rStyle w:val="Emphasis"/>
          <w:rFonts w:eastAsiaTheme="majorEastAsia"/>
        </w:rPr>
        <w:t>Nature Medicine, 29</w:t>
      </w:r>
      <w:r>
        <w:t>(1), 44–56.</w:t>
      </w:r>
    </w:p>
    <w:p w14:paraId="4BFF40EB" w14:textId="77777777" w:rsidR="00AC3F9E" w:rsidRDefault="00AC3F9E" w:rsidP="00AC3F9E">
      <w:pPr>
        <w:pStyle w:val="NormalWeb"/>
      </w:pPr>
      <w:r>
        <w:t xml:space="preserve">Wu, S., Roberts, K., Datta, S., Du, J., Ji, Z., Si, Y., … Xu, H. (2023). </w:t>
      </w:r>
      <w:r>
        <w:rPr>
          <w:rStyle w:val="Emphasis"/>
          <w:rFonts w:eastAsiaTheme="majorEastAsia"/>
        </w:rPr>
        <w:t>Deep learning in clinical natural language processing</w:t>
      </w:r>
      <w:r>
        <w:t xml:space="preserve">. </w:t>
      </w:r>
      <w:proofErr w:type="spellStart"/>
      <w:r>
        <w:rPr>
          <w:rStyle w:val="Emphasis"/>
          <w:rFonts w:eastAsiaTheme="majorEastAsia"/>
        </w:rPr>
        <w:t>npj</w:t>
      </w:r>
      <w:proofErr w:type="spellEnd"/>
      <w:r>
        <w:rPr>
          <w:rStyle w:val="Emphasis"/>
          <w:rFonts w:eastAsiaTheme="majorEastAsia"/>
        </w:rPr>
        <w:t xml:space="preserve"> Digital Medicine, 6</w:t>
      </w:r>
      <w:r>
        <w:t>(1), 12.</w:t>
      </w:r>
    </w:p>
    <w:p w14:paraId="0F8B2BE9" w14:textId="77777777" w:rsidR="00AC3F9E" w:rsidRDefault="00AC3F9E" w:rsidP="00AC3F9E">
      <w:pPr>
        <w:spacing w:line="480" w:lineRule="auto"/>
        <w:ind w:right="1440"/>
        <w:rPr>
          <w:rFonts w:ascii="Times New Roman" w:hAnsi="Times New Roman" w:cs="Times New Roman"/>
        </w:rPr>
      </w:pPr>
    </w:p>
    <w:p w14:paraId="01237B9F" w14:textId="77777777" w:rsidR="008229CD" w:rsidRDefault="008229CD" w:rsidP="004A6E8C">
      <w:pPr>
        <w:spacing w:line="480" w:lineRule="auto"/>
        <w:ind w:right="1440"/>
        <w:rPr>
          <w:rFonts w:ascii="Times New Roman" w:hAnsi="Times New Roman" w:cs="Times New Roman"/>
        </w:rPr>
      </w:pPr>
    </w:p>
    <w:p w14:paraId="42778F54" w14:textId="77777777" w:rsidR="00D92C57" w:rsidRDefault="00D92C57" w:rsidP="004A6E8C">
      <w:pPr>
        <w:spacing w:line="480" w:lineRule="auto"/>
        <w:ind w:right="1440"/>
        <w:rPr>
          <w:rFonts w:ascii="Times New Roman" w:hAnsi="Times New Roman" w:cs="Times New Roman"/>
        </w:rPr>
      </w:pPr>
    </w:p>
    <w:p w14:paraId="2E717CC3" w14:textId="77777777" w:rsidR="00E075D3" w:rsidRDefault="00E075D3" w:rsidP="004A6E8C">
      <w:pPr>
        <w:spacing w:line="480" w:lineRule="auto"/>
        <w:ind w:right="1440"/>
        <w:rPr>
          <w:rFonts w:ascii="Times New Roman" w:hAnsi="Times New Roman" w:cs="Times New Roman"/>
        </w:rPr>
      </w:pPr>
    </w:p>
    <w:p w14:paraId="23F30B66" w14:textId="77777777" w:rsidR="004663BC" w:rsidRPr="00712CAF" w:rsidRDefault="004663BC" w:rsidP="004A6E8C">
      <w:pPr>
        <w:spacing w:line="480" w:lineRule="auto"/>
        <w:ind w:right="1440"/>
        <w:rPr>
          <w:rFonts w:ascii="Times New Roman" w:hAnsi="Times New Roman" w:cs="Times New Roman"/>
        </w:rPr>
      </w:pPr>
    </w:p>
    <w:sectPr w:rsidR="004663BC" w:rsidRPr="00712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AF"/>
    <w:rsid w:val="001D2F1F"/>
    <w:rsid w:val="00210158"/>
    <w:rsid w:val="00241F42"/>
    <w:rsid w:val="002572AA"/>
    <w:rsid w:val="002E4795"/>
    <w:rsid w:val="003023DD"/>
    <w:rsid w:val="003D56C8"/>
    <w:rsid w:val="00452023"/>
    <w:rsid w:val="004663BC"/>
    <w:rsid w:val="0048425B"/>
    <w:rsid w:val="004934D4"/>
    <w:rsid w:val="004A6E8C"/>
    <w:rsid w:val="005B057B"/>
    <w:rsid w:val="005E0ED4"/>
    <w:rsid w:val="006536E9"/>
    <w:rsid w:val="006B1D61"/>
    <w:rsid w:val="00712CAF"/>
    <w:rsid w:val="00773AB9"/>
    <w:rsid w:val="007E197F"/>
    <w:rsid w:val="008229CD"/>
    <w:rsid w:val="008361B7"/>
    <w:rsid w:val="00956CD7"/>
    <w:rsid w:val="0099650C"/>
    <w:rsid w:val="009B5301"/>
    <w:rsid w:val="00A631B4"/>
    <w:rsid w:val="00AC3F9E"/>
    <w:rsid w:val="00AF5524"/>
    <w:rsid w:val="00B07F70"/>
    <w:rsid w:val="00D15564"/>
    <w:rsid w:val="00D73F4E"/>
    <w:rsid w:val="00D90C98"/>
    <w:rsid w:val="00D92C57"/>
    <w:rsid w:val="00DA6F15"/>
    <w:rsid w:val="00DC14CE"/>
    <w:rsid w:val="00E075D3"/>
    <w:rsid w:val="00E42035"/>
    <w:rsid w:val="00EE7E0E"/>
    <w:rsid w:val="00F51579"/>
    <w:rsid w:val="00F9609B"/>
    <w:rsid w:val="00F9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CC97"/>
  <w15:chartTrackingRefBased/>
  <w15:docId w15:val="{202BD7FB-77E3-492A-9F59-E68D6615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C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3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C3F9E"/>
    <w:rPr>
      <w:i/>
      <w:iCs/>
    </w:rPr>
  </w:style>
  <w:style w:type="character" w:styleId="Hyperlink">
    <w:name w:val="Hyperlink"/>
    <w:basedOn w:val="DefaultParagraphFont"/>
    <w:uiPriority w:val="99"/>
    <w:unhideWhenUsed/>
    <w:rsid w:val="00AC3F9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56/NEJMra18142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1131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Odaibo</dc:creator>
  <cp:keywords/>
  <dc:description/>
  <cp:lastModifiedBy>Esther Odaibo</cp:lastModifiedBy>
  <cp:revision>2</cp:revision>
  <dcterms:created xsi:type="dcterms:W3CDTF">2026-01-26T04:32:00Z</dcterms:created>
  <dcterms:modified xsi:type="dcterms:W3CDTF">2026-01-26T04:32:00Z</dcterms:modified>
</cp:coreProperties>
</file>