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4.png" ContentType="image/png"/>
  <Override PartName="/word/media/rId28.png" ContentType="image/png"/>
  <Override PartName="/word/media/rId23.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Caribbean</w:t>
      </w:r>
      <w:r>
        <w:t xml:space="preserve"> </w:t>
      </w:r>
      <w:r>
        <w:t xml:space="preserve">Ecosystem</w:t>
      </w:r>
      <w:r>
        <w:t xml:space="preserve"> </w:t>
      </w:r>
      <w:r>
        <w:t xml:space="preserve">Status</w:t>
      </w:r>
      <w:r>
        <w:t xml:space="preserve"> </w:t>
      </w:r>
      <w:r>
        <w:t xml:space="preserve">Report</w:t>
      </w:r>
    </w:p>
    <w:p>
      <w:pPr>
        <w:pStyle w:val="Author"/>
      </w:pPr>
      <w:r>
        <w:t xml:space="preserve">Gulf</w:t>
      </w:r>
      <w:r>
        <w:t xml:space="preserve"> </w:t>
      </w:r>
      <w:r>
        <w:t xml:space="preserve">of</w:t>
      </w:r>
      <w:r>
        <w:t xml:space="preserve"> </w:t>
      </w:r>
      <w:r>
        <w:t xml:space="preserve">Mexico</w:t>
      </w:r>
      <w:r>
        <w:t xml:space="preserve"> </w:t>
      </w:r>
      <w:r>
        <w:t xml:space="preserve">Integrated</w:t>
      </w:r>
      <w:r>
        <w:t xml:space="preserve"> </w:t>
      </w:r>
      <w:r>
        <w:t xml:space="preserve">Ecosystem</w:t>
      </w:r>
      <w:r>
        <w:t xml:space="preserve"> </w:t>
      </w:r>
      <w:r>
        <w:t xml:space="preserve">Assessment</w:t>
      </w:r>
      <w:r>
        <w:t xml:space="preserve"> </w:t>
      </w:r>
      <w:r>
        <w:t xml:space="preserve">Program</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making a change</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33" w:name="introduction"/>
    <w:p>
      <w:pPr>
        <w:pStyle w:val="Heading1"/>
      </w:pPr>
      <w:r>
        <w:t xml:space="preserve">1. Introduction</w:t>
      </w:r>
    </w:p>
    <w:bookmarkStart w:id="22" w:name="about-this-report"/>
    <w:p>
      <w:pPr>
        <w:pStyle w:val="Heading2"/>
      </w:pPr>
      <w:r>
        <w:t xml:space="preserve">1.1 About this report</w:t>
      </w:r>
    </w:p>
    <w:p>
      <w:pPr>
        <w:pStyle w:val="FirstParagraph"/>
      </w:pPr>
      <w:r>
        <w:t xml:space="preserve">This report is for the Caribbean Fishery Management Council (CFMC). The purpose of this report is to synthesize ecosystem and socioeconomic information to help the CFMC better meet fishery management objectives. This report relied on both previously identified proposed indicators as well as expert vetting to select a suite of indicators that best address the fishery management plan (FMP) objectives for the U.S. Caribbean. Information in this report is organized into two sections: tracking performance toward fishery management objectives and potential risks to meeting fishery management objectives. The style of this report is based on the 2023</w:t>
      </w:r>
      <w:r>
        <w:t xml:space="preserve"> </w:t>
      </w:r>
      <w:hyperlink r:id="rId21">
        <w:r>
          <w:rPr>
            <w:rStyle w:val="Hyperlink"/>
          </w:rPr>
          <w:t xml:space="preserve">State of the Ecosystem Reports for the Northeast U.S. Shelf</w:t>
        </w:r>
      </w:hyperlink>
      <w:r>
        <w:t xml:space="preserve">.</w:t>
      </w:r>
    </w:p>
    <w:bookmarkEnd w:id="22"/>
    <w:bookmarkStart w:id="27" w:name="report-structure"/>
    <w:p>
      <w:pPr>
        <w:pStyle w:val="Heading2"/>
      </w:pPr>
      <w:r>
        <w:t xml:space="preserve">1.2 Report structure</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 This report used these conceptual models as a starting list of proposed indicators and matched the indicators to answer FMP objectives when possible. For those objectives that did not have an immediate conceptual model-identified indicator, this report used a decision matrix process for expert vetting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5943600" cy="3460183"/>
                  <wp:effectExtent b="0" l="0" r="0" t="0"/>
                  <wp:docPr descr="" title="" id="24" name="Picture"/>
                  <a:graphic>
                    <a:graphicData uri="http://schemas.openxmlformats.org/drawingml/2006/picture">
                      <pic:pic>
                        <pic:nvPicPr>
                          <pic:cNvPr descr="images/process_flow_chart.png" id="25" name="Picture"/>
                          <pic:cNvPicPr>
                            <a:picLocks noChangeArrowheads="1" noChangeAspect="1"/>
                          </pic:cNvPicPr>
                        </pic:nvPicPr>
                        <pic:blipFill>
                          <a:blip r:embed="rId23"/>
                          <a:stretch>
                            <a:fillRect/>
                          </a:stretch>
                        </pic:blipFill>
                        <pic:spPr bwMode="auto">
                          <a:xfrm>
                            <a:off x="0" y="0"/>
                            <a:ext cx="5943600" cy="34601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Process for selecting indicators for the U.S. Caribbean Ecosystem Status Report.</w:t>
            </w:r>
          </w:p>
          <w:bookmarkEnd w:id="26"/>
        </w:tc>
      </w:tr>
    </w:tbl>
    <w:p>
      <w:pPr>
        <w:pStyle w:val="BodyText"/>
      </w:pPr>
      <w:r>
        <w:t xml:space="preserve">This decision matrix was composed of a list of proposed indicators compiled from the conceptual models as well as proposed indicators provided via expert input. These potential indicators were vetted and edited by expert small working groups, who then scored a decision matrix (</w:t>
      </w:r>
      <w:hyperlink w:anchor="fig-flowchart">
        <w:r>
          <w:rPr>
            <w:rStyle w:val="Hyperlink"/>
          </w:rPr>
          <w:t xml:space="preserve">Figure 1.1</w:t>
        </w:r>
      </w:hyperlink>
      <w:r>
        <w:t xml:space="preserve">)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Example time series plot, showing an indicator plotted with its mean and standard deviation, and trend analysis for the most recent five years of data. See text for more detailed description of specific calculations.</w:t>
            </w:r>
          </w:p>
          <w:bookmarkEnd w:id="31"/>
        </w:tc>
      </w:tr>
    </w:tbl>
    <w:bookmarkEnd w:id="32"/>
    <w:bookmarkEnd w:id="33"/>
    <w:bookmarkStart w:id="39" w:name="Xfd923e31c0e48112637f9934d602be28d84a700"/>
    <w:p>
      <w:pPr>
        <w:pStyle w:val="Heading1"/>
      </w:pPr>
      <w:r>
        <w:t xml:space="preserve">2. Risks to meeting fishery management objectives</w:t>
      </w:r>
    </w:p>
    <w:p>
      <w:pPr>
        <w:pStyle w:val="FirstParagraph"/>
      </w:pPr>
      <w:r>
        <w:t xml:space="preserve">In this section, we examine indicators…</w:t>
      </w:r>
    </w:p>
    <w:bookmarkStart w:id="38" w:name="coral-bleaching-stress"/>
    <w:p>
      <w:pPr>
        <w:pStyle w:val="Heading3"/>
      </w:pPr>
      <w:r>
        <w:t xml:space="preserve">2.0.1 Coral bleaching stress</w:t>
      </w:r>
    </w:p>
    <w:p>
      <w:pPr>
        <w:pStyle w:val="FirstParagraph"/>
      </w:pPr>
      <w:r>
        <w:t xml:space="preserve">Accumulated heat stress, which can lead to coral bleaching and death, is measured by summing degree heating weeks for the most recent 12-week period from sea surface temperature data (cite). Bleaching stress was generally below average until the mid-2000s, until a sudden bleaching event in 2005 which is now the second most severe event in history. In 2024, and unprecedented bleaching event occurred across the U.S. Caribbean and beyond (</w:t>
      </w:r>
      <w:hyperlink w:anchor="fig-DHW">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HW"/>
          <w:p>
            <w:pPr>
              <w:pStyle w:val="Compact"/>
              <w:jc w:val="center"/>
            </w:pPr>
            <w:r>
              <w:drawing>
                <wp:inline>
                  <wp:extent cx="5943600" cy="5094514"/>
                  <wp:effectExtent b="0" l="0" r="0" t="0"/>
                  <wp:docPr descr="" title="" id="35" name="Picture"/>
                  <a:graphic>
                    <a:graphicData uri="http://schemas.openxmlformats.org/drawingml/2006/picture">
                      <pic:pic>
                        <pic:nvPicPr>
                          <pic:cNvPr descr="indicator_plots/DegreeHeatingWeeks_plot_final.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Number of degree heating weeks in Puerto Rico and the USVI as a measure of thermal stress to corals.</w:t>
            </w:r>
          </w:p>
          <w:bookmarkEnd w:id="37"/>
        </w:tc>
      </w:tr>
    </w:tbl>
    <w:bookmarkEnd w:id="38"/>
    <w:bookmarkEnd w:id="39"/>
    <w:bookmarkStart w:id="47" w:name="customization"/>
    <w:p>
      <w:pPr>
        <w:pStyle w:val="Heading1"/>
      </w:pPr>
      <w:r>
        <w:t xml:space="preserve">3. Customization</w:t>
      </w:r>
    </w:p>
    <w:bookmarkStart w:id="41"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40">
        <w:r>
          <w:rPr>
            <w:rStyle w:val="Hyperlink"/>
          </w:rPr>
          <w:t xml:space="preserve">Quarto documentation</w:t>
        </w:r>
      </w:hyperlink>
      <w:r>
        <w:t xml:space="preserve">.</w:t>
      </w:r>
    </w:p>
    <w:bookmarkEnd w:id="41"/>
    <w:bookmarkStart w:id="46"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1"/>
        </w:numPr>
      </w:pPr>
      <w:hyperlink r:id="rId42">
        <w:r>
          <w:rPr>
            <w:rStyle w:val="Hyperlink"/>
          </w:rPr>
          <w:t xml:space="preserve">Quarto gallery</w:t>
        </w:r>
      </w:hyperlink>
    </w:p>
    <w:p>
      <w:pPr>
        <w:pStyle w:val="Compact"/>
        <w:numPr>
          <w:ilvl w:val="0"/>
          <w:numId w:val="1001"/>
        </w:numPr>
      </w:pPr>
      <w:hyperlink r:id="rId43">
        <w:r>
          <w:rPr>
            <w:rStyle w:val="Hyperlink"/>
          </w:rPr>
          <w:t xml:space="preserve">nmfs-openscapes</w:t>
        </w:r>
      </w:hyperlink>
    </w:p>
    <w:p>
      <w:pPr>
        <w:pStyle w:val="Compact"/>
        <w:numPr>
          <w:ilvl w:val="0"/>
          <w:numId w:val="1001"/>
        </w:numPr>
      </w:pPr>
      <w:hyperlink r:id="rId44">
        <w:r>
          <w:rPr>
            <w:rStyle w:val="Hyperlink"/>
          </w:rPr>
          <w:t xml:space="preserve">Faye lab manual</w:t>
        </w:r>
      </w:hyperlink>
    </w:p>
    <w:p>
      <w:pPr>
        <w:pStyle w:val="Compact"/>
        <w:numPr>
          <w:ilvl w:val="0"/>
          <w:numId w:val="1001"/>
        </w:numPr>
      </w:pPr>
      <w:hyperlink r:id="rId45">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46"/>
    <w:bookmarkEnd w:id="47"/>
    <w:bookmarkStart w:id="51"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48"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48"/>
    <w:bookmarkStart w:id="49"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w:t>
      </w:r>
      <w:r>
        <w:t xml:space="preserve">Version Control</w:t>
      </w:r>
      <w:r>
        <w:t xml:space="preserve">”</w:t>
      </w:r>
      <w:r>
        <w:t xml:space="preserve">. Paste in the url of the repository. That will clone the repo on to your local computer. When you make changes, you will need to push those up.</w:t>
      </w:r>
    </w:p>
    <w:bookmarkEnd w:id="49"/>
    <w:bookmarkStart w:id="50"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w:t>
      </w:r>
      <w:r>
        <w:t xml:space="preserve">Build</w:t>
      </w:r>
      <w:r>
        <w:t xml:space="preserve">”</w:t>
      </w:r>
      <w:r>
        <w:t xml:space="preserve"> </w:t>
      </w:r>
      <w:r>
        <w:t xml:space="preserve">tab. Click the</w:t>
      </w:r>
      <w:r>
        <w:t xml:space="preserve"> </w:t>
      </w:r>
      <w:r>
        <w:t xml:space="preserve">“</w:t>
      </w:r>
      <w:r>
        <w:t xml:space="preserve">Render website</w:t>
      </w:r>
      <w:r>
        <w:t xml:space="preserv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w:t>
      </w:r>
      <w:r>
        <w:t xml:space="preserve">preview in browser</w:t>
      </w:r>
      <w:r>
        <w:t xml:space="preserve">”</w:t>
      </w:r>
      <w:r>
        <w:t xml:space="preserve"> </w:t>
      </w:r>
      <w:r>
        <w:t xml:space="preserve">or set up RStudio to preview to the viewer panel. To do the latter, go to Tools &gt; Global Options &gt; R Markdown. Then select</w:t>
      </w:r>
      <w:r>
        <w:t xml:space="preserve"> </w:t>
      </w:r>
      <w:r>
        <w:t xml:space="preserve">“</w:t>
      </w:r>
      <w:r>
        <w:t xml:space="preserve">Show output preview in: Viewer panel</w:t>
      </w:r>
      <w:r>
        <w:t xml:space="preserve">”</w:t>
      </w:r>
      <w:r>
        <w:t xml:space="preserve">.</w:t>
      </w:r>
    </w:p>
    <w:bookmarkEnd w:id="50"/>
    <w:bookmarkEnd w:id="51"/>
    <w:bookmarkStart w:id="61"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52">
        <w:r>
          <w:rPr>
            <w:rStyle w:val="Hyperlink"/>
          </w:rPr>
          <w:t xml:space="preserve">http://rmarkdown.rstudio.com</w:t>
        </w:r>
      </w:hyperlink>
      <w:r>
        <w:t xml:space="preserve">.</w:t>
      </w:r>
    </w:p>
    <w:bookmarkStart w:id="53"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53"/>
    <w:bookmarkStart w:id="58"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pressure"/>
          <w:p>
            <w:pPr>
              <w:pStyle w:val="Compact"/>
              <w:jc w:val="center"/>
            </w:pPr>
            <w:r>
              <w:drawing>
                <wp:inline>
                  <wp:extent cx="4620126" cy="3696101"/>
                  <wp:effectExtent b="0" l="0" r="0" t="0"/>
                  <wp:docPr descr="" title="" id="55" name="Picture"/>
                  <a:graphic>
                    <a:graphicData uri="http://schemas.openxmlformats.org/drawingml/2006/picture">
                      <pic:pic>
                        <pic:nvPicPr>
                          <pic:cNvPr descr="content/figures_and_tables_files/figure-docx/fig-pressure-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57"/>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58"/>
    <w:bookmarkStart w:id="60"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59"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59"/>
          <w:p/>
        </w:tc>
      </w:tr>
    </w:tbl>
    <w:bookmarkEnd w:id="60"/>
    <w:bookmarkEnd w:id="61"/>
    <w:bookmarkStart w:id="64"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62"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62"/>
    <w:bookmarkStart w:id="63"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63"/>
    <w:bookmarkEnd w:id="64"/>
    <w:bookmarkStart w:id="66"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65">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2"/>
        </w:numPr>
      </w:pPr>
      <w:r>
        <w:rPr>
          <w:rStyle w:val="VerbatimChar"/>
        </w:rPr>
        <w:t xml:space="preserve">@ansley1981</w:t>
      </w:r>
      <w:r>
        <w:t xml:space="preserve"> </w:t>
      </w:r>
      <w:r>
        <w:t xml:space="preserve">will produce</w:t>
      </w:r>
      <w:r>
        <w:t xml:space="preserve"> </w:t>
      </w:r>
      <w:r>
        <w:t xml:space="preserve">Ansley and Davis (1981)</w:t>
      </w:r>
    </w:p>
    <w:p>
      <w:pPr>
        <w:numPr>
          <w:ilvl w:val="0"/>
          <w:numId w:val="1002"/>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66"/>
    <w:bookmarkStart w:id="69" w:name="references-1"/>
    <w:p>
      <w:pPr>
        <w:pStyle w:val="Heading1"/>
      </w:pPr>
      <w:r>
        <w:t xml:space="preserve">References</w:t>
      </w:r>
    </w:p>
    <w:bookmarkStart w:id="68" w:name="refs"/>
    <w:bookmarkStart w:id="67"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67"/>
    <w:bookmarkEnd w:id="68"/>
    <w:bookmarkEnd w:id="6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4" Target="media/rId54.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52" Target="http://rmarkdown.rstudio.com" TargetMode="External" /><Relationship Type="http://schemas.openxmlformats.org/officeDocument/2006/relationships/hyperlink" Id="rId43" Target="https://nmfs-openscapes.github.io/" TargetMode="External" /><Relationship Type="http://schemas.openxmlformats.org/officeDocument/2006/relationships/hyperlink" Id="rId45" Target="https://nmfs-opensci.github.io/quarto_titlepages/" TargetMode="External" /><Relationship Type="http://schemas.openxmlformats.org/officeDocument/2006/relationships/hyperlink" Id="rId42" Target="https://quarto.org/docs/gallery/" TargetMode="External" /><Relationship Type="http://schemas.openxmlformats.org/officeDocument/2006/relationships/hyperlink" Id="rId40" Target="https://quarto.org/docs/guide/" TargetMode="External" /><Relationship Type="http://schemas.openxmlformats.org/officeDocument/2006/relationships/hyperlink" Id="rId65" Target="https://quarto.org/docs/visual-editor/technical.html#citations" TargetMode="External" /><Relationship Type="http://schemas.openxmlformats.org/officeDocument/2006/relationships/hyperlink" Id="rId44" Target="https://thefaylab.github.io/lab-manual/" TargetMode="External" /><Relationship Type="http://schemas.openxmlformats.org/officeDocument/2006/relationships/hyperlink" Id="rId21" Target="https://www.fisheries.noaa.gov/new-england-mid-atlantic/ecosystems/state-ecosystem-reports-northeast-us-shelf" TargetMode="External" /></Relationships>
</file>

<file path=word/_rels/footnotes.xml.rels><?xml version="1.0" encoding="UTF-8"?><Relationships xmlns="http://schemas.openxmlformats.org/package/2006/relationships"><Relationship Type="http://schemas.openxmlformats.org/officeDocument/2006/relationships/hyperlink" Id="rId52" Target="http://rmarkdown.rstudio.com" TargetMode="External" /><Relationship Type="http://schemas.openxmlformats.org/officeDocument/2006/relationships/hyperlink" Id="rId43" Target="https://nmfs-openscapes.github.io/" TargetMode="External" /><Relationship Type="http://schemas.openxmlformats.org/officeDocument/2006/relationships/hyperlink" Id="rId45" Target="https://nmfs-opensci.github.io/quarto_titlepages/" TargetMode="External" /><Relationship Type="http://schemas.openxmlformats.org/officeDocument/2006/relationships/hyperlink" Id="rId42" Target="https://quarto.org/docs/gallery/" TargetMode="External" /><Relationship Type="http://schemas.openxmlformats.org/officeDocument/2006/relationships/hyperlink" Id="rId40" Target="https://quarto.org/docs/guide/" TargetMode="External" /><Relationship Type="http://schemas.openxmlformats.org/officeDocument/2006/relationships/hyperlink" Id="rId65" Target="https://quarto.org/docs/visual-editor/technical.html#citations" TargetMode="External" /><Relationship Type="http://schemas.openxmlformats.org/officeDocument/2006/relationships/hyperlink" Id="rId44" Target="https://thefaylab.github.io/lab-manual/" TargetMode="External" /><Relationship Type="http://schemas.openxmlformats.org/officeDocument/2006/relationships/hyperlink" Id="rId21" Target="https://www.fisheries.noaa.gov/new-england-mid-atlantic/ecosystems/state-ecosystem-reports-northeast-us-shel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Caribbean Ecosystem Status Report</dc:title>
  <dc:creator>Gulf of Mexico Integrated Ecosystem Assessment Program</dc:creator>
  <cp:keywords/>
  <dcterms:created xsi:type="dcterms:W3CDTF">2024-10-30T14:07:20Z</dcterms:created>
  <dcterms:modified xsi:type="dcterms:W3CDTF">2024-10-30T14:07:20Z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