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 of America Ecosystem Status Report</w:t>
      </w:r>
    </w:p>
    <w:p>
      <w:pPr>
        <w:pStyle w:val="Author"/>
      </w:pPr>
      <w:r>
        <w:t xml:space="preserve">Southeast Integrated Ecosystem Assessment Program</w:t>
      </w:r>
    </w:p>
    <w:p>
      <w:pPr>
        <w:pStyle w:val="Date"/>
      </w:pPr>
      <w:r>
        <w:t xml:space="preserve">2025-06-18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28" w:name="introduction"/>
    <w:p>
      <w:pPr>
        <w:pStyle w:val="Heading1"/>
      </w:pPr>
      <w:r>
        <w:t xml:space="preserve">1. Introduction</w:t>
      </w:r>
    </w:p>
    <w:bookmarkStart w:id="21"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Gulf of America region. A suite of indicators that span physical, biological, social and economic elements of the ecosystem are reported with the goal of helping the Gulf Council and other resource managers measure progress toward fishery management objectives. The report relies on both previously identified proposed indicators and expert vetting to select a suite of indicators that best address the fishery management plan (FMP) objectives for the U.S. Gulf of America.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0">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https://github.com/Gulf-IEA/Gulf-ESR</w:t>
        </w:r>
      </w:hyperlink>
      <w:r>
        <w:t xml:space="preserve">).</w:t>
      </w:r>
    </w:p>
    <w:bookmarkEnd w:id="21"/>
    <w:bookmarkStart w:id="22" w:name="indicator-selection"/>
    <w:p>
      <w:pPr>
        <w:pStyle w:val="Heading2"/>
      </w:pPr>
      <w:r>
        <w:t xml:space="preserve">1.2 Indicator selection</w:t>
      </w:r>
    </w:p>
    <w:p>
      <w:pPr>
        <w:pStyle w:val="FirstParagraph"/>
      </w:pPr>
      <w:r>
        <w:t xml:space="preserve">xxx</w:t>
      </w:r>
    </w:p>
    <w:bookmarkEnd w:id="22"/>
    <w:bookmarkStart w:id="27"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1.1</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26" w:name="fig-explot"/>
          <w:p>
            <w:pPr>
              <w:pStyle w:val="Compact"/>
              <w:jc w:val="center"/>
            </w:pPr>
            <w:r>
              <w:drawing>
                <wp:inline>
                  <wp:extent cx="5943600" cy="1636070"/>
                  <wp:effectExtent b="0" l="0" r="0" t="0"/>
                  <wp:docPr descr="" title="" id="24" name="Picture"/>
                  <a:graphic>
                    <a:graphicData uri="http://schemas.openxmlformats.org/drawingml/2006/picture">
                      <pic:pic>
                        <pic:nvPicPr>
                          <pic:cNvPr descr="images/indicator_selection_diagram.png" id="25" name="Picture"/>
                          <pic:cNvPicPr>
                            <a:picLocks noChangeArrowheads="1" noChangeAspect="1"/>
                          </pic:cNvPicPr>
                        </pic:nvPicPr>
                        <pic:blipFill>
                          <a:blip r:embed="rId23"/>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Example time series plot, showing an indicator plotted with its mean and standard deviation, and trend analysis for the most recent five years of data. See text for a more detailed description of specific calculations.</w:t>
            </w:r>
          </w:p>
          <w:bookmarkEnd w:id="26"/>
        </w:tc>
      </w:tr>
    </w:tbl>
    <w:bookmarkEnd w:id="27"/>
    <w:bookmarkEnd w:id="28"/>
    <w:bookmarkStart w:id="29" w:name="Xaeee77197c8131ecb7291acef1d65a223115682"/>
    <w:p>
      <w:pPr>
        <w:pStyle w:val="Heading1"/>
      </w:pPr>
      <w:r>
        <w:t xml:space="preserve">2. Tracking performance toward fishery management objectives</w:t>
      </w:r>
    </w:p>
    <w:p>
      <w:pPr>
        <w:pStyle w:val="FirstParagraph"/>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29"/>
    <w:bookmarkStart w:id="30" w:name="Xfd923e31c0e48112637f9934d602be28d84a700"/>
    <w:p>
      <w:pPr>
        <w:pStyle w:val="Heading1"/>
      </w:pPr>
      <w:r>
        <w:t xml:space="preserve">3. Risks to meeting fishery management objectives</w:t>
      </w:r>
    </w:p>
    <w:p>
      <w:pPr>
        <w:pStyle w:val="FirstParagraph"/>
      </w:pPr>
      <w:r>
        <w:t xml:space="preserve">In this section, we report indicators that capture identified risks to the ecosystem that could impact the ability to meet Fishery Management Plan objectives. Unless otherwise specified, physical indicators reported for the U.S. Gulf of America region were calculated over a bounding box with limits of longitude xx degrees W to xx degrees W and latitude xx degrees N to xx degrees N.</w:t>
      </w:r>
    </w:p>
    <w:bookmarkEnd w:id="30"/>
    <w:bookmarkStart w:id="32" w:name="integrated-ecosystem-perspectives"/>
    <w:p>
      <w:pPr>
        <w:pStyle w:val="Heading1"/>
      </w:pPr>
      <w:r>
        <w:t xml:space="preserve">4. Integrated ecosystem perspectives</w:t>
      </w:r>
    </w:p>
    <w:bookmarkStart w:id="31" w:name="section"/>
    <w:p>
      <w:pPr>
        <w:pStyle w:val="Heading2"/>
      </w:pPr>
    </w:p>
    <w:p>
      <w:pPr>
        <w:pStyle w:val="FirstParagraph"/>
      </w:pPr>
      <w:r>
        <w:t xml:space="preserve">For the purpose of synthesizing the information contained in the full suite of indicators presented in this report, we analyze the full indicator suite using multivariate methods. Principal components analysis (PCA) is a statistical method that distills a large number of potentially related indicators into a smaller number of indices representing most of the variability in the data set. We analyze the indicator suite separately by category: 1) risks to meeting management objectives, 2) management objective indicators based on fishery-independent data, 3) management objective indicators based on fishery-dependent data, and 4) other management objective indicators. A traffic light plot of the indicator suite is presented for the purpose of comprehensively viewing changes in the different parts of the ecosystem over time (figure). A biplot of the principal components analysis is presented to convey temporal patterns in the progression of ecosystem status (figure). PCA was carried out on a scaled matrix for all indicators with at least 12 years of data; any missing values were imputed with means of the time series. In the biplot, the labels represent time (years xxxx-xxxx), the rainbow line represents chronology between adjacent years, and the distance between points conveys how different the indicator values were in those years.</w:t>
      </w:r>
    </w:p>
    <w:bookmarkEnd w:id="31"/>
    <w:bookmarkEnd w:id="32"/>
    <w:bookmarkStart w:id="36" w:name="research-recommendations"/>
    <w:p>
      <w:pPr>
        <w:pStyle w:val="Heading1"/>
      </w:pPr>
      <w:r>
        <w:t xml:space="preserve">5. Research recommendations</w:t>
      </w:r>
    </w:p>
    <w:bookmarkStart w:id="33" w:name="risks-to-meeting-management-objectives"/>
    <w:p>
      <w:pPr>
        <w:pStyle w:val="Heading2"/>
      </w:pPr>
      <w:r>
        <w:t xml:space="preserve">5.1 Risks to meeting management objectives</w:t>
      </w:r>
    </w:p>
    <w:p>
      <w:pPr>
        <w:pStyle w:val="FirstParagraph"/>
      </w:pPr>
      <w:r>
        <w:t xml:space="preserve">xxx</w:t>
      </w:r>
    </w:p>
    <w:bookmarkEnd w:id="33"/>
    <w:bookmarkStart w:id="34" w:name="X711f2e612191e81fc654fbff9ebc738c02a1ece"/>
    <w:p>
      <w:pPr>
        <w:pStyle w:val="Heading2"/>
      </w:pPr>
      <w:r>
        <w:t xml:space="preserve">5.2 Fishery-dependent and fishery-independent data sources</w:t>
      </w:r>
    </w:p>
    <w:p>
      <w:pPr>
        <w:pStyle w:val="FirstParagraph"/>
      </w:pPr>
      <w:r>
        <w:t xml:space="preserve">xxx</w:t>
      </w:r>
    </w:p>
    <w:bookmarkEnd w:id="34"/>
    <w:bookmarkStart w:id="35" w:name="human-dimensions"/>
    <w:p>
      <w:pPr>
        <w:pStyle w:val="Heading2"/>
      </w:pPr>
      <w:r>
        <w:t xml:space="preserve">5.3 Human dimensions</w:t>
      </w:r>
    </w:p>
    <w:p>
      <w:pPr>
        <w:pStyle w:val="FirstParagraph"/>
      </w:pPr>
      <w:r>
        <w:t xml:space="preserve">xxx</w:t>
      </w:r>
    </w:p>
    <w:bookmarkEnd w:id="35"/>
    <w:bookmarkEnd w:id="36"/>
    <w:bookmarkStart w:id="40" w:name="acknowledgments"/>
    <w:p>
      <w:pPr>
        <w:pStyle w:val="Heading1"/>
      </w:pPr>
      <w:r>
        <w:t xml:space="preserve">6. Acknowledgments</w:t>
      </w:r>
    </w:p>
    <w:bookmarkStart w:id="37" w:name="contributions"/>
    <w:p>
      <w:pPr>
        <w:pStyle w:val="Heading2"/>
      </w:pPr>
      <w:r>
        <w:t xml:space="preserve">6.1 Contributions</w:t>
      </w:r>
    </w:p>
    <w:p>
      <w:pPr>
        <w:pStyle w:val="FirstParagraph"/>
      </w:pPr>
      <w:r>
        <w:t xml:space="preserve">xx</w:t>
      </w:r>
    </w:p>
    <w:bookmarkEnd w:id="37"/>
    <w:bookmarkStart w:id="39" w:name="resources"/>
    <w:p>
      <w:pPr>
        <w:pStyle w:val="Heading2"/>
      </w:pPr>
      <w:r>
        <w:t xml:space="preserve">6.2 Resources</w:t>
      </w:r>
    </w:p>
    <w:p>
      <w:pPr>
        <w:pStyle w:val="FirstParagraph"/>
      </w:pPr>
      <w:r>
        <w:t xml:space="preserve">This repo and GitHub Action was based on the tutorial by Openscapes</w:t>
      </w:r>
      <w:r>
        <w:t xml:space="preserve"> </w:t>
      </w:r>
      <w:hyperlink r:id="rId38">
        <w:r>
          <w:rPr>
            <w:rStyle w:val="Hyperlink"/>
          </w:rPr>
          <w:t xml:space="preserve">quarto-website-tutorial</w:t>
        </w:r>
      </w:hyperlink>
      <w:r>
        <w:t xml:space="preserve"> </w:t>
      </w:r>
      <w:r>
        <w:t xml:space="preserve">by Julia Lowndes and Stefanie Butland.</w:t>
      </w:r>
    </w:p>
    <w:bookmarkEnd w:id="39"/>
    <w:bookmarkEnd w:id="40"/>
    <w:bookmarkStart w:id="43" w:name="contributors"/>
    <w:p>
      <w:pPr>
        <w:pStyle w:val="Heading1"/>
      </w:pPr>
      <w:r>
        <w:t xml:space="preserve">7. Contributors</w:t>
      </w:r>
    </w:p>
    <w:bookmarkStart w:id="41" w:name="editors"/>
    <w:p>
      <w:pPr>
        <w:pStyle w:val="Heading2"/>
      </w:pPr>
      <w:r>
        <w:t xml:space="preserve">7.1</w:t>
      </w:r>
      <w:r>
        <w:t xml:space="preserve"> </w:t>
      </w:r>
      <w:r>
        <w:rPr>
          <w:b/>
          <w:bCs/>
        </w:rPr>
        <w:t xml:space="preserve">Editors</w:t>
      </w:r>
    </w:p>
    <w:p>
      <w:pPr>
        <w:pStyle w:val="FirstParagraph"/>
      </w:pPr>
      <w:r>
        <w:t xml:space="preserve">Mandy Karnauskas, Carissa Gervasi, xxx</w:t>
      </w:r>
    </w:p>
    <w:bookmarkEnd w:id="41"/>
    <w:bookmarkStart w:id="42" w:name="contributors-1"/>
    <w:p>
      <w:pPr>
        <w:pStyle w:val="Heading2"/>
      </w:pPr>
      <w:r>
        <w:t xml:space="preserve">7.2</w:t>
      </w:r>
      <w:r>
        <w:t xml:space="preserve"> </w:t>
      </w:r>
      <w:r>
        <w:rPr>
          <w:b/>
          <w:bCs/>
        </w:rPr>
        <w:t xml:space="preserve">Contributors</w:t>
      </w:r>
    </w:p>
    <w:p>
      <w:pPr>
        <w:pStyle w:val="FirstParagraph"/>
      </w:pPr>
      <w:r>
        <w:t xml:space="preserve">xxx</w:t>
      </w:r>
    </w:p>
    <w:bookmarkEnd w:id="42"/>
    <w:bookmarkEnd w:id="43"/>
    <w:bookmarkStart w:id="45" w:name="references"/>
    <w:p>
      <w:pPr>
        <w:pStyle w:val="Heading1"/>
      </w:pPr>
      <w:r>
        <w:t xml:space="preserve">References</w:t>
      </w:r>
    </w:p>
    <w:bookmarkStart w:id="44" w:name="refs"/>
    <w:bookmarkEnd w:id="44"/>
    <w:bookmarkEnd w:id="4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 Target="media/rId23.png" /><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America Ecosystem Status Report</dc:title>
  <dc:creator>Southeast Integrated Ecosystem Assessment Program</dc:creator>
  <cp:keywords/>
  <dcterms:created xsi:type="dcterms:W3CDTF">2025-06-18T15:36:16Z</dcterms:created>
  <dcterms:modified xsi:type="dcterms:W3CDTF">2025-06-18T15:36:16Z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2025-06-18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template-partials">
    <vt:lpwstr/>
  </property>
  <property fmtid="{D5CDD505-2E9C-101B-9397-08002B2CF9AE}" pid="19" name="toc-title">
    <vt:lpwstr>Table of contents</vt:lpwstr>
  </property>
</Properties>
</file>