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0.png" ContentType="image/png"/>
  <Override PartName="/word/media/rId31.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[Template] Ecosystem Status Report</w:t>
      </w:r>
    </w:p>
    <w:p>
      <w:pPr>
        <w:pStyle w:val="Author"/>
      </w:pPr>
      <w:r>
        <w:t xml:space="preserve">Gulf of America Integrated Ecosystem Assessment Program</w:t>
      </w:r>
    </w:p>
    <w:p>
      <w:pPr>
        <w:pStyle w:val="Date"/>
      </w:pPr>
      <w:r>
        <w:t xml:space="preserve">2026-01-15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23"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End w:id="23"/>
    <w:bookmarkStart w:id="25" w:name="about-this-report"/>
    <w:p>
      <w:pPr>
        <w:pStyle w:val="Heading1"/>
      </w:pPr>
      <w:r>
        <w:t xml:space="preserve">2.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4">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5"/>
    <w:bookmarkStart w:id="30" w:name="indicator-selection"/>
    <w:p>
      <w:pPr>
        <w:pStyle w:val="Heading1"/>
      </w:pPr>
      <w:r>
        <w:t xml:space="preserve">3.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3.1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9" w:name="fig-flowchart"/>
          <w:p>
            <w:pPr>
              <w:pStyle w:val="Compact"/>
              <w:jc w:val="center"/>
            </w:pPr>
            <w:r>
              <w:drawing>
                <wp:inline>
                  <wp:extent cx="4905375" cy="2855760"/>
                  <wp:effectExtent b="0" l="0" r="0" t="0"/>
                  <wp:docPr descr="" title="" id="27" name="Picture"/>
                  <a:graphic>
                    <a:graphicData uri="http://schemas.openxmlformats.org/drawingml/2006/picture">
                      <pic:pic>
                        <pic:nvPicPr>
                          <pic:cNvPr descr="figures/images/process_flow_chart.png" id="28" name="Picture"/>
                          <pic:cNvPicPr>
                            <a:picLocks noChangeArrowheads="1" noChangeAspect="1"/>
                          </pic:cNvPicPr>
                        </pic:nvPicPr>
                        <pic:blipFill>
                          <a:blip r:embed="rId26"/>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 Process for selecting indicators for the U.S. Caribbean Ecosystem Status Report.</w:t>
            </w:r>
          </w:p>
          <w:bookmarkEnd w:id="29"/>
        </w:tc>
      </w:tr>
    </w:tbl>
    <w:p>
      <w:pPr>
        <w:pStyle w:val="BodyText"/>
      </w:pPr>
      <w:r>
        <w:t xml:space="preserve">For those objectives that did not have an immediate conceptual model-identified indicator, a decision matrix process was used for expert vetting</w:t>
      </w:r>
      <w:r>
        <w:t xml:space="preserve"> </w:t>
      </w:r>
      <w:r>
        <w:t xml:space="preserve">(Montenero, Kelble, and Broughton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30"/>
    <w:bookmarkStart w:id="35" w:name="X366ab4022f56dcde7c1c0407e9a51433e263c21"/>
    <w:p>
      <w:pPr>
        <w:pStyle w:val="Heading1"/>
      </w:pPr>
      <w:r>
        <w:t xml:space="preserve">4.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4.1</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4" w:name="fig-explot"/>
          <w:p>
            <w:pPr>
              <w:pStyle w:val="Compact"/>
              <w:jc w:val="center"/>
            </w:pPr>
            <w:r>
              <w:drawing>
                <wp:inline>
                  <wp:extent cx="5943600" cy="1636070"/>
                  <wp:effectExtent b="0" l="0" r="0" t="0"/>
                  <wp:docPr descr="" title="" id="32" name="Picture"/>
                  <a:graphic>
                    <a:graphicData uri="http://schemas.openxmlformats.org/drawingml/2006/picture">
                      <pic:pic>
                        <pic:nvPicPr>
                          <pic:cNvPr descr="figures/images/indicator_selection_diagram.png" id="33" name="Picture"/>
                          <pic:cNvPicPr>
                            <a:picLocks noChangeArrowheads="1" noChangeAspect="1"/>
                          </pic:cNvPicPr>
                        </pic:nvPicPr>
                        <pic:blipFill>
                          <a:blip r:embed="rId31"/>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Example time series plot, showing an indicator plotted with its mean and standard deviation, and trend analysis for the most recent five years of data. See text for a more detailed description of specific calculations.</w:t>
            </w:r>
          </w:p>
          <w:bookmarkEnd w:id="34"/>
        </w:tc>
      </w:tr>
    </w:tbl>
    <w:bookmarkEnd w:id="35"/>
    <w:bookmarkStart w:id="38" w:name="Xaeee77197c8131ecb7291acef1d65a223115682"/>
    <w:p>
      <w:pPr>
        <w:pStyle w:val="Heading1"/>
      </w:pPr>
      <w:r>
        <w:t xml:space="preserve">5. Tracking performance toward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are intended to capture progress towards meeting Fishery Management Plan objectives related to food production, socioeconomic health, equity, engagement and participation, bycatch reduction, governance and protection of ecosystems.</w:t>
      </w:r>
    </w:p>
    <w:bookmarkEnd w:id="38"/>
    <w:bookmarkStart w:id="41" w:name="Xfd923e31c0e48112637f9934d602be28d84a700"/>
    <w:p>
      <w:pPr>
        <w:pStyle w:val="Heading1"/>
      </w:pPr>
      <w:r>
        <w:t xml:space="preserve">6. Risks to meeting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capture identified risks to the ecosystem that could impact the ability to meet Fishery Management Plan objectives. Unless otherwise specified, physical indicators reported for the U.S. Caribbean region were calculated over a bounding box with limits of longitude 68 degrees W to 64.5 degrees W and latitude 17.5 degrees N to 18.75 degrees N.</w:t>
      </w:r>
    </w:p>
    <w:bookmarkEnd w:id="41"/>
    <w:bookmarkStart w:id="43" w:name="integrated-ecosystem-perspectives"/>
    <w:p>
      <w:pPr>
        <w:pStyle w:val="Heading1"/>
      </w:pPr>
      <w:r>
        <w:t xml:space="preserve">7. Integrated ecosystem perspectives</w:t>
      </w:r>
    </w:p>
    <w:bookmarkStart w:id="42" w:name="section"/>
    <w:p>
      <w:pPr>
        <w:pStyle w:val="Heading2"/>
      </w:pPr>
    </w:p>
    <w:p>
      <w:pPr>
        <w:pStyle w:val="FirstParagraph"/>
      </w:pPr>
      <w:r>
        <w:t xml:space="preserve">Synthesis</w:t>
      </w:r>
    </w:p>
    <w:bookmarkEnd w:id="42"/>
    <w:bookmarkEnd w:id="43"/>
    <w:bookmarkStart w:id="44" w:name="research-recommendations"/>
    <w:p>
      <w:pPr>
        <w:pStyle w:val="Heading1"/>
      </w:pPr>
      <w:r>
        <w:t xml:space="preserve">8. Research recommendations</w:t>
      </w:r>
    </w:p>
    <w:p>
      <w:pPr>
        <w:pStyle w:val="FirstParagraph"/>
      </w:pPr>
      <w:r>
        <w:t xml:space="preserve">Recommendations</w:t>
      </w:r>
    </w:p>
    <w:bookmarkEnd w:id="44"/>
    <w:bookmarkStart w:id="48" w:name="acknowledgments"/>
    <w:p>
      <w:pPr>
        <w:pStyle w:val="Heading1"/>
      </w:pPr>
      <w:r>
        <w:t xml:space="preserve">9. Acknowledgments</w:t>
      </w:r>
    </w:p>
    <w:bookmarkStart w:id="45" w:name="contributions"/>
    <w:p>
      <w:pPr>
        <w:pStyle w:val="Heading2"/>
      </w:pPr>
      <w:r>
        <w:t xml:space="preserve">9.1 Contributions</w:t>
      </w:r>
    </w:p>
    <w:p>
      <w:pPr>
        <w:pStyle w:val="FirstParagraph"/>
      </w:pPr>
      <w:r>
        <w:t xml:space="preserve">This report would like to acknowledge the efforts and contributions of:</w:t>
      </w:r>
    </w:p>
    <w:bookmarkEnd w:id="45"/>
    <w:bookmarkStart w:id="47" w:name="resources"/>
    <w:p>
      <w:pPr>
        <w:pStyle w:val="Heading2"/>
      </w:pPr>
      <w:r>
        <w:t xml:space="preserve">9.2 Resources</w:t>
      </w:r>
    </w:p>
    <w:p>
      <w:pPr>
        <w:pStyle w:val="FirstParagraph"/>
      </w:pPr>
      <w:r>
        <w:t xml:space="preserve">This repo and GitHub Action associated with generating this report was based on the Openscapes tutorial</w:t>
      </w:r>
      <w:r>
        <w:t xml:space="preserve"> </w:t>
      </w:r>
      <w:hyperlink r:id="rId46">
        <w:r>
          <w:rPr>
            <w:rStyle w:val="Hyperlink"/>
          </w:rPr>
          <w:t xml:space="preserve">quarto-website-tutorial</w:t>
        </w:r>
      </w:hyperlink>
      <w:r>
        <w:t xml:space="preserve"> </w:t>
      </w:r>
      <w:r>
        <w:t xml:space="preserve">by Julia Lowndes and Stefanie Butland.</w:t>
      </w:r>
    </w:p>
    <w:bookmarkEnd w:id="47"/>
    <w:bookmarkEnd w:id="48"/>
    <w:bookmarkStart w:id="51" w:name="contributors"/>
    <w:p>
      <w:pPr>
        <w:pStyle w:val="Heading1"/>
      </w:pPr>
      <w:r>
        <w:t xml:space="preserve">10. Contributors</w:t>
      </w:r>
    </w:p>
    <w:bookmarkStart w:id="49" w:name="editors"/>
    <w:p>
      <w:pPr>
        <w:pStyle w:val="Heading2"/>
      </w:pPr>
      <w:r>
        <w:t xml:space="preserve">10.1</w:t>
      </w:r>
      <w:r>
        <w:t xml:space="preserve"> </w:t>
      </w:r>
      <w:r>
        <w:rPr>
          <w:b/>
          <w:bCs/>
        </w:rPr>
        <w:t xml:space="preserve">Editors</w:t>
      </w:r>
    </w:p>
    <w:p>
      <w:pPr>
        <w:pStyle w:val="FirstParagraph"/>
      </w:pPr>
      <w:r>
        <w:t xml:space="preserve">xxx</w:t>
      </w:r>
    </w:p>
    <w:bookmarkEnd w:id="49"/>
    <w:bookmarkStart w:id="50" w:name="contributors-1"/>
    <w:p>
      <w:pPr>
        <w:pStyle w:val="Heading2"/>
      </w:pPr>
      <w:r>
        <w:t xml:space="preserve">10.2</w:t>
      </w:r>
      <w:r>
        <w:t xml:space="preserve"> </w:t>
      </w:r>
      <w:r>
        <w:rPr>
          <w:b/>
          <w:bCs/>
        </w:rPr>
        <w:t xml:space="preserve">Contributors</w:t>
      </w:r>
    </w:p>
    <w:p>
      <w:pPr>
        <w:pStyle w:val="FirstParagraph"/>
      </w:pPr>
      <w:r>
        <w:t xml:space="preserve">xxx</w:t>
      </w:r>
    </w:p>
    <w:bookmarkEnd w:id="50"/>
    <w:bookmarkEnd w:id="51"/>
    <w:bookmarkStart w:id="57" w:name="references"/>
    <w:p>
      <w:pPr>
        <w:pStyle w:val="Heading1"/>
      </w:pPr>
      <w:r>
        <w:t xml:space="preserve">References</w:t>
      </w:r>
    </w:p>
    <w:bookmarkStart w:id="56" w:name="refs"/>
    <w:bookmarkStart w:id="53"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52">
        <w:r>
          <w:rPr>
            <w:rStyle w:val="Hyperlink"/>
          </w:rPr>
          <w:t xml:space="preserve">https://doi.org/10.1016/j.marpol.2021.104489</w:t>
        </w:r>
      </w:hyperlink>
      <w:r>
        <w:t xml:space="preserve">.</w:t>
      </w:r>
    </w:p>
    <w:bookmarkEnd w:id="53"/>
    <w:bookmarkStart w:id="55" w:name="ref-seara2024"/>
    <w:p>
      <w:pPr>
        <w:pStyle w:val="Bibliography"/>
      </w:pPr>
      <w:r>
        <w:t xml:space="preserve">Seara, Tarsila, Stacey M. Williams, Kiara Acevedo, Graciela Garcia-Molliner, Orian Tzadik, Michelle Duval, and Juan J. Cruz-Motta.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54">
        <w:r>
          <w:rPr>
            <w:rStyle w:val="Hyperlink"/>
          </w:rPr>
          <w:t xml:space="preserve">https://doi.org/10.1371/journal.pone.0304101</w:t>
        </w:r>
      </w:hyperlink>
      <w:r>
        <w:t xml:space="preserve">.</w:t>
      </w:r>
    </w:p>
    <w:bookmarkEnd w:id="55"/>
    <w:bookmarkEnd w:id="56"/>
    <w:bookmarkEnd w:id="57"/>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0" Target="media/rId20.png" /><Relationship Type="http://schemas.openxmlformats.org/officeDocument/2006/relationships/image" Id="rId31" Target="media/rId31.png" /><Relationship Type="http://schemas.openxmlformats.org/officeDocument/2006/relationships/image" Id="rId26" Target="media/rId26.png" /><Relationship Type="http://schemas.openxmlformats.org/officeDocument/2006/relationships/hyperlink" Id="rId52" Target="https://doi.org/10.1016/j.marpol.2021.104489" TargetMode="External" /><Relationship Type="http://schemas.openxmlformats.org/officeDocument/2006/relationships/hyperlink" Id="rId54" Target="https://doi.org/10.1371/journal.pone.0304101" TargetMode="External" /><Relationship Type="http://schemas.openxmlformats.org/officeDocument/2006/relationships/hyperlink" Id="rId46" Target="https://github.com/Openscapes/quarto-website-tutorial" TargetMode="External" /><Relationship Type="http://schemas.openxmlformats.org/officeDocument/2006/relationships/hyperlink" Id="rId24" Target="https://github.com/quarto-dev/quarto-cli/" TargetMode="External" /><Relationship Type="http://schemas.openxmlformats.org/officeDocument/2006/relationships/hyperlink" Id="rId58"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52" Target="https://doi.org/10.1016/j.marpol.2021.104489" TargetMode="External" /><Relationship Type="http://schemas.openxmlformats.org/officeDocument/2006/relationships/hyperlink" Id="rId54" Target="https://doi.org/10.1371/journal.pone.0304101" TargetMode="External" /><Relationship Type="http://schemas.openxmlformats.org/officeDocument/2006/relationships/hyperlink" Id="rId46" Target="https://github.com/Openscapes/quarto-website-tutorial" TargetMode="External" /><Relationship Type="http://schemas.openxmlformats.org/officeDocument/2006/relationships/hyperlink" Id="rId24" Target="https://github.com/quarto-dev/quarto-cli/" TargetMode="External" /><Relationship Type="http://schemas.openxmlformats.org/officeDocument/2006/relationships/hyperlink" Id="rId58"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Ecosystem Status Report</dc:title>
  <dc:creator>Gulf of America Integrated Ecosystem Assessment Program</dc:creator>
  <cp:keywords/>
  <dcterms:created xsi:type="dcterms:W3CDTF">2026-01-15T16:15:35Z</dcterms:created>
  <dcterms:modified xsi:type="dcterms:W3CDTF">2026-01-15T16:15:35Z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2026-01-15</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of">
    <vt:lpwstr>True</vt:lpwstr>
  </property>
  <property fmtid="{D5CDD505-2E9C-101B-9397-08002B2CF9AE}" pid="18" name="lot">
    <vt:lpwstr>False</vt:lpwstr>
  </property>
  <property fmtid="{D5CDD505-2E9C-101B-9397-08002B2CF9AE}" pid="19" name="template-partials">
    <vt:lpwstr/>
  </property>
  <property fmtid="{D5CDD505-2E9C-101B-9397-08002B2CF9AE}" pid="20" name="toc-title">
    <vt:lpwstr>Table of contents</vt:lpwstr>
  </property>
</Properties>
</file>