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5874" cy="789284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115874" cy="7892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7.9pt;height:62.1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8"/>
          <w:szCs w:val="28"/>
          <w:rtl w:val="0"/>
        </w:rPr>
        <w:t xml:space="preserve">Machine Learning for IoT——HW2  </w:t>
      </w:r>
      <w:r/>
    </w:p>
    <w:tbl>
      <w:tblPr>
        <w:tblStyle w:val="625"/>
        <w:tblW w:w="6705" w:type="dxa"/>
        <w:tblInd w:w="1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1845"/>
        <w:gridCol w:w="2115"/>
        <w:tblGridChange w:id="0">
          <w:tblGrid>
            <w:gridCol w:w="2745"/>
            <w:gridCol w:w="1845"/>
            <w:gridCol w:w="2115"/>
          </w:tblGrid>
        </w:tblGridChange>
      </w:tblGrid>
      <w:tr>
        <w:trPr>
          <w:cantSplit w:val="false"/>
          <w:trHeight w:val="43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  <w:rtl w:val="0"/>
              </w:rPr>
              <w:t xml:space="preserve">Gaetano Salvatore Falco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  <w:rtl w:val="0"/>
              </w:rPr>
              <w:t xml:space="preserve">Zafar Abdirasulov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  <w:rtl w:val="0"/>
              </w:rPr>
              <w:t xml:space="preserve">Kuerxi Gulisidan 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  <w:rtl w:val="0"/>
              </w:rPr>
              <w:t xml:space="preserve">S280209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  <w:rtl w:val="0"/>
              </w:rPr>
              <w:t xml:space="preserve">S301367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  <w:rtl w:val="0"/>
              </w:rPr>
              <w:t xml:space="preserve">S304915</w:t>
            </w:r>
            <w:r>
              <w:rPr>
                <w:rtl w:val="0"/>
              </w:rPr>
            </w:r>
            <w:r/>
          </w:p>
        </w:tc>
      </w:tr>
    </w:tbl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 </w:t>
        <w:tab/>
        <w:tab/>
      </w:r>
      <w:r/>
    </w:p>
    <w:p>
      <w:pPr>
        <w:spacing w:after="200" w:line="276" w:lineRule="auto"/>
        <w:rPr>
          <w:b/>
          <w:bCs/>
          <w:sz w:val="28"/>
          <w:szCs w:val="28"/>
          <w14:ligatures w14:val="none"/>
        </w:rPr>
      </w:pPr>
      <w:r>
        <w:rPr>
          <w:b/>
          <w:sz w:val="28"/>
          <w:szCs w:val="28"/>
          <w:rtl w:val="0"/>
        </w:rPr>
        <w:t xml:space="preserve">Exercise 1 - </w:t>
      </w:r>
      <w:r>
        <w:rPr>
          <w:b/>
          <w:bCs/>
          <w:sz w:val="28"/>
          <w:szCs w:val="28"/>
        </w:rPr>
        <w:t xml:space="preserve">Training &amp; Deployment of a “Go/Stop” Classifier</w:t>
      </w:r>
      <w:r>
        <w:rPr>
          <w:b/>
          <w:bCs/>
          <w:sz w:val="28"/>
          <w:szCs w:val="28"/>
          <w:rtl w:val="0"/>
        </w:rPr>
      </w:r>
      <w:r>
        <w:rPr>
          <w:b/>
          <w:bCs/>
          <w:sz w:val="28"/>
          <w:szCs w:val="28"/>
        </w:rPr>
      </w:r>
    </w:p>
    <w:p>
      <w:pPr>
        <w:spacing w:after="200" w:line="276" w:lineRule="auto"/>
        <w:rPr>
          <w:highlight w:val="none"/>
        </w:rPr>
      </w:pPr>
      <w:r>
        <w:rPr>
          <w:rtl w:val="0"/>
        </w:rPr>
        <w:t xml:space="preserve">In o</w:t>
      </w:r>
      <w:r>
        <w:rPr>
          <w:rtl w:val="0"/>
        </w:rPr>
        <w:t xml:space="preserve">rder to find compliant hyper-parameters, we applied the following strategies:</w:t>
      </w:r>
      <w:r/>
    </w:p>
    <w:p>
      <w:pPr>
        <w:pStyle w:val="30"/>
        <w:numPr>
          <w:ilvl w:val="0"/>
          <w:numId w:val="1"/>
        </w:numPr>
        <w:spacing w:after="200" w:line="276" w:lineRule="auto"/>
      </w:pPr>
      <w:r>
        <w:rPr>
          <w:highlight w:val="none"/>
          <w:rtl w:val="0"/>
        </w:rPr>
        <w:t xml:space="preserve">We reduced the module size with an aggressive width scaling, with the parameter alpha set to 0.13</w:t>
      </w:r>
      <w:r>
        <w:rPr>
          <w:highlight w:val="none"/>
          <w:rtl w:val="0"/>
        </w:rPr>
      </w:r>
    </w:p>
    <w:p>
      <w:pPr>
        <w:pStyle w:val="30"/>
        <w:numPr>
          <w:ilvl w:val="0"/>
          <w:numId w:val="1"/>
        </w:numPr>
        <w:spacing w:after="200" w:line="276" w:lineRule="auto"/>
      </w:pP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spacing w:after="200" w:line="276" w:lineRule="auto"/>
      </w:pPr>
      <w:r>
        <w:rPr>
          <w:rtl w:val="0"/>
        </w:rPr>
        <w:t xml:space="preserve">We then changed the parameters for the preprocessing of the audio, according to the table below:</w:t>
      </w:r>
      <w:r/>
    </w:p>
    <w:tbl>
      <w:tblPr>
        <w:tblStyle w:val="626"/>
        <w:tblW w:w="978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2454"/>
        <w:gridCol w:w="1600"/>
        <w:tblGridChange w:id="1">
          <w:tblGrid>
            <w:gridCol w:w="2265"/>
            <w:gridCol w:w="2025"/>
            <w:gridCol w:w="1320"/>
            <w:gridCol w:w="1710"/>
            <w:gridCol w:w="1200"/>
            <w:gridCol w:w="1260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Downsampling_rate</w:t>
            </w:r>
            <w:r>
              <w:rPr>
                <w:rtl w:val="0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frame_length_in_s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rPr>
                <w:bCs/>
                <w:color w:val="40404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frame_step_in_s</w:t>
            </w:r>
            <w:r>
              <w:rPr>
                <w:b/>
                <w:color w:val="404040"/>
                <w:sz w:val="20"/>
                <w:szCs w:val="2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16000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0.0005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-135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2553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Affects a lot 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Accuracy and </w:t>
            </w:r>
            <w:r/>
          </w:p>
          <w:p>
            <w:pPr>
              <w:spacing w:line="240" w:lineRule="auto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color w:val="404040"/>
                <w:rtl w:val="0"/>
              </w:rPr>
              <w:t xml:space="preserve">Latency because it applies an additional overhead</w:t>
            </w:r>
            <w:r>
              <w:rPr>
                <w:rtl w:val="0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Affects a lot 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Accuracy and 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Latency because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by changing this hyper-parameter  we modify the numbers of frames and number of frequency bins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Affects a lot 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Accuracy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because we are trying to find the energy threshold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Affects little bit Latency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rtl w:val="0"/>
              </w:rPr>
            </w:r>
            <w:r/>
          </w:p>
        </w:tc>
      </w:tr>
    </w:tbl>
    <w:p>
      <w:pPr>
        <w:jc w:val="left"/>
        <w:spacing w:after="200" w:line="276" w:lineRule="auto"/>
        <w:rPr>
          <w:rFonts w:ascii="Cambria Math" w:hAnsi="Cambria Math" w:eastAsia="Cambria Math" w:cs="Cambria Math"/>
          <w:sz w:val="20"/>
          <w:szCs w:val="20"/>
        </w:rPr>
      </w:pPr>
      <w:r>
        <w:rPr>
          <w:rFonts w:ascii="Cambria Math" w:hAnsi="Cambria Math" w:eastAsia="Cambria Math" w:cs="Cambria Math"/>
          <w:sz w:val="20"/>
          <w:szCs w:val="20"/>
        </w:rPr>
      </w:r>
      <w:r>
        <w:rPr>
          <w:rFonts w:ascii="Cambria Math" w:hAnsi="Cambria Math" w:eastAsia="Cambria Math" w:cs="Cambria Math"/>
          <w:sz w:val="20"/>
          <w:szCs w:val="20"/>
        </w:rPr>
      </w:r>
    </w:p>
    <w:p>
      <w:pPr>
        <w:jc w:val="left"/>
        <w:spacing w:after="200" w:line="276" w:lineRule="auto"/>
        <w:rPr>
          <w:highlight w:val="none"/>
        </w:rPr>
      </w:pPr>
      <w:r>
        <w:rPr>
          <w:rtl w:val="0"/>
        </w:rPr>
        <w:t xml:space="preserve">And our model ends up with the following constraints met:</w:t>
      </w:r>
      <w:r/>
    </w:p>
    <w:tbl>
      <w:tblPr>
        <w:tblStyle w:val="47"/>
        <w:tblW w:w="0" w:type="auto"/>
        <w:tblLook w:val="04A0" w:firstRow="1" w:lastRow="0" w:firstColumn="1" w:lastColumn="0" w:noHBand="0" w:noVBand="1"/>
      </w:tblPr>
      <w:tblGrid>
        <w:gridCol w:w="3010"/>
        <w:gridCol w:w="3010"/>
        <w:gridCol w:w="3010"/>
      </w:tblGrid>
      <w:tr>
        <w:trPr/>
        <w:tc>
          <w:tcPr>
            <w:tcW w:w="3010" w:type="dxa"/>
            <w:textDirection w:val="lrTb"/>
            <w:noWrap w:val="false"/>
          </w:tcPr>
          <w:p>
            <w:pPr>
              <w:jc w:val="left"/>
              <w:spacing w:after="200" w:line="276" w:lineRule="auto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Accuracy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W w:w="3010" w:type="dxa"/>
            <w:textDirection w:val="lrTb"/>
            <w:noWrap w:val="false"/>
          </w:tcPr>
          <w:p>
            <w:pPr>
              <w:jc w:val="left"/>
              <w:spacing w:after="200" w:line="276" w:lineRule="auto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Latency</w:t>
            </w:r>
            <w:r>
              <w:rPr>
                <w:highlight w:val="none"/>
              </w:rPr>
            </w:r>
          </w:p>
        </w:tc>
        <w:tc>
          <w:tcPr>
            <w:tcW w:w="3010" w:type="dxa"/>
            <w:textDirection w:val="lrTb"/>
            <w:noWrap w:val="false"/>
          </w:tcPr>
          <w:p>
            <w:pPr>
              <w:jc w:val="left"/>
              <w:spacing w:after="200" w:line="276" w:lineRule="auto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Model size</w:t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W w:w="3010" w:type="dxa"/>
            <w:textDirection w:val="lrTb"/>
            <w:noWrap w:val="false"/>
          </w:tcPr>
          <w:p>
            <w:pPr>
              <w:jc w:val="left"/>
              <w:spacing w:after="200" w:line="276" w:lineRule="auto"/>
              <w:rPr>
                <w:highlight w:val="none"/>
              </w:rPr>
            </w:pPr>
            <w:r>
              <w:rPr>
                <w:highlight w:val="none"/>
              </w:rPr>
              <w:t xml:space="preserve">%</w:t>
            </w:r>
            <w:r>
              <w:rPr>
                <w:highlight w:val="none"/>
              </w:rPr>
            </w:r>
          </w:p>
        </w:tc>
        <w:tc>
          <w:tcPr>
            <w:tcW w:w="3010" w:type="dxa"/>
            <w:textDirection w:val="lrTb"/>
            <w:noWrap w:val="false"/>
          </w:tcPr>
          <w:p>
            <w:pPr>
              <w:jc w:val="left"/>
              <w:spacing w:after="200" w:line="276" w:lineRule="auto"/>
              <w:rPr>
                <w:highlight w:val="none"/>
              </w:rPr>
            </w:pPr>
            <w:r>
              <w:rPr>
                <w:highlight w:val="none"/>
              </w:rPr>
              <w:t xml:space="preserve"> ms</w:t>
            </w:r>
            <w:r>
              <w:rPr>
                <w:highlight w:val="none"/>
              </w:rPr>
            </w:r>
          </w:p>
        </w:tc>
        <w:tc>
          <w:tcPr>
            <w:tcW w:w="3010" w:type="dxa"/>
            <w:textDirection w:val="lrTb"/>
            <w:noWrap w:val="false"/>
          </w:tcPr>
          <w:p>
            <w:pPr>
              <w:jc w:val="left"/>
              <w:spacing w:after="200" w:line="276" w:lineRule="auto"/>
              <w:rPr>
                <w:highlight w:val="none"/>
              </w:rPr>
            </w:pPr>
            <w:r>
              <w:rPr>
                <w:highlight w:val="none"/>
              </w:rPr>
              <w:t xml:space="preserve"> kB</w:t>
            </w:r>
            <w:r>
              <w:rPr>
                <w:highlight w:val="none"/>
              </w:rPr>
            </w:r>
          </w:p>
        </w:tc>
      </w:tr>
    </w:tbl>
    <w:p>
      <w:pPr>
        <w:jc w:val="left"/>
        <w:spacing w:after="200" w:line="276" w:lineRule="auto"/>
        <w:rPr>
          <w:rFonts w:ascii="Cambria Math" w:hAnsi="Cambria Math" w:eastAsia="Cambria Math" w:cs="Cambria Math"/>
          <w:sz w:val="20"/>
          <w:szCs w:val="20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Exercise 2 - Memory-constrained Timeseries Processing</w:t>
      </w:r>
      <w:r/>
    </w:p>
    <w:p>
      <w:pPr>
        <w:spacing w:after="200" w:line="276" w:lineRule="auto"/>
        <w:rPr>
          <w:highlight w:val="none"/>
        </w:rPr>
      </w:pPr>
      <w:r>
        <w:rPr>
          <w:rtl w:val="0"/>
        </w:rPr>
        <w:t xml:space="preserve">In order to complete this laboratory, we designed a simple script as follows:</w:t>
      </w:r>
      <w:r/>
    </w:p>
    <w:p>
      <w:pPr>
        <w:pStyle w:val="30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highlight w:val="none"/>
          <w:rtl w:val="0"/>
        </w:rPr>
        <w:t xml:space="preserve">At the beginning of time, the system is not monitoring and it is receiveing the input stream as an audio, calling the callback function</w:t>
      </w:r>
      <w:r>
        <w:rPr>
          <w:highlight w:val="none"/>
          <w:rtl w:val="0"/>
        </w:rPr>
      </w:r>
    </w:p>
    <w:p>
      <w:pPr>
        <w:pStyle w:val="30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highlight w:val="none"/>
          <w:rtl w:val="0"/>
        </w:rPr>
        <w:t xml:space="preserve">The callback function checks if there is noise in the 1s received audio, if silence is detected it does nothing</w:t>
      </w:r>
      <w:r>
        <w:rPr>
          <w:highlight w:val="none"/>
          <w:rtl w:val="0"/>
        </w:rPr>
      </w:r>
    </w:p>
    <w:p>
      <w:pPr>
        <w:pStyle w:val="30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highlight w:val="none"/>
          <w:rtl w:val="0"/>
        </w:rPr>
        <w:t xml:space="preserve">When there is noise, we use the function “calculate_next_state_FSM” to calculate if a “go” or “stop” is received, by invoking the tflite model and testing if the predicted laber for go or stop is higher than the given threshold of 95%</w:t>
      </w:r>
      <w:r>
        <w:rPr>
          <w:highlight w:val="none"/>
          <w:rtl w:val="0"/>
        </w:rPr>
      </w:r>
    </w:p>
    <w:p>
      <w:pPr>
        <w:pStyle w:val="30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highlight w:val="none"/>
          <w:rtl w:val="0"/>
        </w:rPr>
        <w:t xml:space="preserve">When “go” is detected, our global variable “state” goes to true and we can log the information we collect to redis</w:t>
      </w:r>
      <w:r>
        <w:rPr>
          <w:highlight w:val="none"/>
          <w:rtl w:val="0"/>
        </w:rPr>
      </w:r>
    </w:p>
    <w:p>
      <w:pPr>
        <w:pStyle w:val="30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highlight w:val="none"/>
          <w:rtl w:val="0"/>
        </w:rPr>
        <w:t xml:space="preserve">If there is silence or there is an unrecognised sound or when the predicted label is not higher than the threshold, the global variable “state” remains unchanged.</w:t>
      </w:r>
      <w:r>
        <w:rPr>
          <w:highlight w:val="none"/>
          <w:rtl w:val="0"/>
        </w:rPr>
      </w:r>
    </w:p>
    <w:p>
      <w:pPr>
        <w:spacing w:after="200" w:line="276" w:lineRule="auto"/>
        <w:rPr>
          <w:b/>
          <w:sz w:val="28"/>
          <w:szCs w:val="28"/>
        </w:rPr>
      </w:pP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14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15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16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17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18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19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2"/>
    <w:next w:val="61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2"/>
    <w:next w:val="61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2"/>
    <w:next w:val="61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12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20"/>
    <w:uiPriority w:val="10"/>
    <w:rPr>
      <w:sz w:val="48"/>
      <w:szCs w:val="48"/>
    </w:rPr>
  </w:style>
  <w:style w:type="character" w:styleId="36">
    <w:name w:val="Subtitle Char"/>
    <w:basedOn w:val="10"/>
    <w:link w:val="624"/>
    <w:uiPriority w:val="11"/>
    <w:rPr>
      <w:sz w:val="24"/>
      <w:szCs w:val="24"/>
    </w:rPr>
  </w:style>
  <w:style w:type="paragraph" w:styleId="37">
    <w:name w:val="Quote"/>
    <w:basedOn w:val="612"/>
    <w:next w:val="61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2"/>
    <w:next w:val="61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2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12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12"/>
    <w:next w:val="6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1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1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12"/>
    <w:next w:val="61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2"/>
    <w:next w:val="61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2"/>
    <w:next w:val="61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2"/>
    <w:next w:val="61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2"/>
    <w:next w:val="61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2"/>
    <w:next w:val="61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2"/>
    <w:next w:val="61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2"/>
    <w:next w:val="61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2"/>
    <w:next w:val="61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2"/>
    <w:next w:val="612"/>
    <w:uiPriority w:val="99"/>
    <w:unhideWhenUsed/>
    <w:pPr>
      <w:spacing w:after="0" w:afterAutospacing="0"/>
    </w:pPr>
  </w:style>
  <w:style w:type="paragraph" w:styleId="612" w:default="1">
    <w:name w:val="Normal"/>
  </w:style>
  <w:style w:type="table" w:styleId="613" w:default="1">
    <w:name w:val="Table Normal"/>
    <w:tblPr/>
  </w:style>
  <w:style w:type="paragraph" w:styleId="614">
    <w:name w:val="Heading 1"/>
    <w:basedOn w:val="612"/>
    <w:next w:val="612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15">
    <w:name w:val="Heading 2"/>
    <w:basedOn w:val="612"/>
    <w:next w:val="612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16">
    <w:name w:val="Heading 3"/>
    <w:basedOn w:val="612"/>
    <w:next w:val="612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17">
    <w:name w:val="Heading 4"/>
    <w:basedOn w:val="612"/>
    <w:next w:val="612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18">
    <w:name w:val="Heading 5"/>
    <w:basedOn w:val="612"/>
    <w:next w:val="612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19">
    <w:name w:val="Heading 6"/>
    <w:basedOn w:val="612"/>
    <w:next w:val="612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20">
    <w:name w:val="Title"/>
    <w:basedOn w:val="612"/>
    <w:next w:val="612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24">
    <w:name w:val="Subtitle"/>
    <w:basedOn w:val="612"/>
    <w:next w:val="612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625">
    <w:name w:val="StGen2"/>
    <w:basedOn w:val="6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6">
    <w:name w:val="StGen3"/>
    <w:basedOn w:val="6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180" w:default="1">
    <w:name w:val="Default Paragraph Font"/>
    <w:uiPriority w:val="1"/>
    <w:semiHidden/>
    <w:unhideWhenUsed/>
  </w:style>
  <w:style w:type="numbering" w:styleId="118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2ewD7OrQJQxpb5RaeIc6bD2NQ==">AMUW2mUo9Zal9D8uURIa5kruQD2tlxin6yLvKGT8fihcJbsWepnQ09zj+Ga9nPP9Q5GfQoXv4B48Brj5NucR3/934rtxhVwmmQjLZxrGjErUymRFT05mOtiesv4pmYRns3ccAm/ljkBqm9uflUih0H0C8IpbQQKdag==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