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88050" cy="5495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204771" name="image1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788049" cy="5495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2.1pt;height:43.3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          </w:t>
      </w:r>
      <w:r>
        <w:rPr>
          <w:b/>
          <w:sz w:val="24"/>
          <w:szCs w:val="24"/>
          <w:rtl w:val="0"/>
        </w:rPr>
        <w:t xml:space="preserve">Machine Learning for IoT——HW2</w:t>
      </w:r>
      <w:r>
        <w:rPr>
          <w:b/>
          <w:sz w:val="28"/>
          <w:szCs w:val="28"/>
          <w:rtl w:val="0"/>
        </w:rPr>
        <w:t xml:space="preserve">  </w:t>
      </w:r>
      <w:r/>
    </w:p>
    <w:tbl>
      <w:tblPr>
        <w:tblStyle w:val="841"/>
        <w:tblW w:w="6888" w:type="dxa"/>
        <w:tblInd w:w="1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53"/>
        <w:gridCol w:w="1976"/>
        <w:gridCol w:w="2259"/>
        <w:tblGridChange w:id="0">
          <w:tblGrid>
            <w:gridCol w:w="2745"/>
            <w:gridCol w:w="1845"/>
            <w:gridCol w:w="2115"/>
          </w:tblGrid>
        </w:tblGridChange>
      </w:tblGrid>
      <w:tr>
        <w:trPr>
          <w:cantSplit w:val="false"/>
          <w:trHeight w:val="2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Gaetano Salvatore Falco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Zafar Abdirasulov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Kuerxi Gulisidan 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cantSplit w:val="false"/>
          <w:trHeight w:val="2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S280209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S301367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S304915</w:t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4"/>
          <w:szCs w:val="24"/>
          <w:rtl w:val="0"/>
        </w:rPr>
        <w:t xml:space="preserve">Exercise 1 - </w:t>
      </w:r>
      <w:r>
        <w:rPr>
          <w:b/>
          <w:bCs/>
          <w:sz w:val="24"/>
          <w:szCs w:val="24"/>
        </w:rPr>
        <w:t xml:space="preserve">Training &amp; Deployment of a “Go/Stop” Classifier</w:t>
      </w:r>
      <w:r>
        <w:rPr>
          <w:b/>
          <w:sz w:val="28"/>
          <w:szCs w:val="28"/>
        </w:rPr>
      </w:r>
      <w:r/>
    </w:p>
    <w:p>
      <w:pPr>
        <w:spacing w:after="200" w:line="276" w:lineRule="auto"/>
        <w:rPr>
          <w:b/>
          <w:bCs/>
          <w:sz w:val="20"/>
          <w:szCs w:val="20"/>
          <w14:ligatures w14:val="none"/>
        </w:rPr>
      </w:pPr>
      <w:r>
        <w:rPr>
          <w:b/>
          <w:bCs/>
          <w:sz w:val="20"/>
          <w:szCs w:val="20"/>
        </w:rPr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1.1 Training &amp; Optimization</w:t>
      </w:r>
      <w:r>
        <w:rPr>
          <w:sz w:val="20"/>
          <w:szCs w:val="20"/>
        </w:rPr>
      </w:r>
      <w:r/>
    </w:p>
    <w:p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In o</w:t>
      </w:r>
      <w:r>
        <w:rPr>
          <w:sz w:val="20"/>
          <w:szCs w:val="20"/>
          <w:rtl w:val="0"/>
        </w:rPr>
        <w:t xml:space="preserve">rder to find compliant hyper-parameters, we applied the following strategies:</w:t>
      </w:r>
      <w:r>
        <w:rPr>
          <w:sz w:val="20"/>
          <w:szCs w:val="20"/>
          <w:highlight w:val="none"/>
        </w:rPr>
      </w:r>
      <w:r/>
    </w:p>
    <w:p>
      <w:pPr>
        <w:pStyle w:val="672"/>
        <w:numPr>
          <w:ilvl w:val="0"/>
          <w:numId w:val="10"/>
        </w:numPr>
        <w:spacing w:after="200" w:line="240" w:lineRule="auto"/>
        <w:rPr>
          <w:sz w:val="20"/>
          <w:szCs w:val="20"/>
          <w:highlight w:val="none"/>
        </w:rPr>
      </w:pPr>
      <w:r>
        <w:rPr>
          <w:sz w:val="20"/>
          <w:szCs w:val="20"/>
          <w:rtl w:val="0"/>
        </w:rPr>
      </w:r>
      <w:r>
        <w:rPr>
          <w:sz w:val="20"/>
          <w:szCs w:val="20"/>
          <w:highlight w:val="none"/>
          <w:rtl w:val="0"/>
        </w:rPr>
        <w:t xml:space="preserve">We reduced the module size with an aggressive width scaling, with the parameter alpha set to 0.14</w:t>
      </w:r>
      <w:r>
        <w:rPr>
          <w:sz w:val="20"/>
          <w:szCs w:val="20"/>
          <w:highlight w:val="none"/>
        </w:rPr>
      </w:r>
      <w:r/>
    </w:p>
    <w:p>
      <w:pPr>
        <w:pStyle w:val="672"/>
        <w:numPr>
          <w:ilvl w:val="0"/>
          <w:numId w:val="10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  <w:rtl w:val="0"/>
        </w:rPr>
        <w:t xml:space="preserve">We then changed the parameters for the pre-processing of the audio, according to the table below:</w:t>
      </w:r>
      <w:r>
        <w:rPr>
          <w:sz w:val="20"/>
          <w:szCs w:val="20"/>
        </w:rPr>
      </w:r>
      <w:r/>
    </w:p>
    <w:tbl>
      <w:tblPr>
        <w:tblStyle w:val="687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537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Downsampling_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frame_length_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frame_step_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num_mel_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bins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lower_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upper_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</w:tr>
      <w:tr>
        <w:trPr>
          <w:trHeight w:val="243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16000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0.032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0.032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31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80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8000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</w:tr>
    </w:tbl>
    <w:p>
      <w:pPr>
        <w:jc w:val="left"/>
        <w:spacing w:line="240" w:lineRule="auto"/>
        <w:rPr>
          <w:color w:val="000000" w:themeColor="text1"/>
          <w:sz w:val="20"/>
          <w:szCs w:val="20"/>
          <w:highlight w:val="none"/>
        </w:rPr>
      </w:pPr>
      <w:r>
        <w:rPr>
          <w:color w:val="000000" w:themeColor="text1"/>
          <w:sz w:val="20"/>
          <w:szCs w:val="20"/>
          <w:highlight w:val="none"/>
        </w:rPr>
        <w:t xml:space="preserve">Training hyper-parameters:</w:t>
      </w:r>
      <w:r>
        <w:rPr>
          <w:color w:val="000000" w:themeColor="text1"/>
          <w:sz w:val="20"/>
          <w:szCs w:val="20"/>
          <w:highlight w:val="none"/>
        </w:rPr>
      </w:r>
      <w:r/>
    </w:p>
    <w:p>
      <w:pPr>
        <w:jc w:val="left"/>
        <w:spacing w:line="240" w:lineRule="auto"/>
        <w:rPr>
          <w:color w:val="000000" w:themeColor="text1"/>
          <w:sz w:val="20"/>
          <w:szCs w:val="20"/>
          <w:highlight w:val="none"/>
        </w:rPr>
      </w:pPr>
      <w:r>
        <w:rPr>
          <w:color w:val="000000" w:themeColor="text1"/>
          <w:sz w:val="20"/>
          <w:szCs w:val="20"/>
          <w:highlight w:val="none"/>
        </w:rPr>
      </w:r>
      <w:r>
        <w:rPr>
          <w:color w:val="000000" w:themeColor="text1"/>
          <w:sz w:val="20"/>
          <w:szCs w:val="20"/>
          <w:highlight w:val="none"/>
        </w:rPr>
      </w:r>
      <w:r/>
    </w:p>
    <w:tbl>
      <w:tblPr>
        <w:tblStyle w:val="687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1843"/>
        <w:gridCol w:w="2409"/>
        <w:gridCol w:w="2693"/>
        <w:gridCol w:w="1559"/>
      </w:tblGrid>
      <w:tr>
        <w:trPr>
          <w:trHeight w:val="287"/>
        </w:trPr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  <w:t xml:space="preserve">Batch_size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Initial_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learning 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end_learning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70" w:lineRule="atLeast"/>
              <w:rPr>
                <w:rFonts w:ascii="Liberation Sans" w:hAnsi="Liberation Sans" w:eastAsia="Liberation Sans" w:cs="Liberation Sans"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epochs</w:t>
            </w:r>
            <w:r>
              <w:rPr>
                <w:sz w:val="16"/>
                <w:szCs w:val="16"/>
              </w:rPr>
            </w:r>
            <w:r/>
          </w:p>
        </w:tc>
      </w:tr>
      <w:tr>
        <w:trPr>
          <w:trHeight w:val="390"/>
        </w:trPr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32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0.015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0.001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70</w:t>
            </w:r>
            <w:r/>
          </w:p>
        </w:tc>
      </w:tr>
    </w:tbl>
    <w:p>
      <w:pPr>
        <w:jc w:val="left"/>
        <w:spacing w:after="200" w:line="276" w:lineRule="auto"/>
        <w:rPr>
          <w:rFonts w:ascii="Arial" w:hAnsi="Arial" w:eastAsia="Cambria Math" w:cs="Arial"/>
          <w:sz w:val="20"/>
          <w:szCs w:val="20"/>
          <w:highlight w:val="none"/>
        </w:rPr>
      </w:pPr>
      <w:r>
        <w:rPr>
          <w:rFonts w:ascii="Arial" w:hAnsi="Arial" w:eastAsia="Cambria Math" w:cs="Arial"/>
          <w:sz w:val="20"/>
          <w:szCs w:val="20"/>
        </w:rPr>
        <w:t xml:space="preserve">For the model we used Convolution 2D layer with 128 initial filters, and we adopted the width scaling and weights pruning</w:t>
      </w:r>
      <w:r>
        <w:rPr>
          <w:rFonts w:ascii="Arial" w:hAnsi="Arial" w:eastAsia="Cambria Math" w:cs="Arial"/>
          <w:sz w:val="20"/>
          <w:szCs w:val="20"/>
          <w:highlight w:val="none"/>
        </w:rPr>
        <w:t xml:space="preserve"> as different strategies to meet the constraints.</w:t>
      </w:r>
      <w:r/>
    </w:p>
    <w:p>
      <w:pPr>
        <w:jc w:val="left"/>
        <w:spacing w:after="200" w:line="240" w:lineRule="auto"/>
        <w:rPr>
          <w:rFonts w:ascii="Arial" w:hAnsi="Arial" w:eastAsia="Cambria Math" w:cs="Arial"/>
          <w:sz w:val="20"/>
          <w:szCs w:val="20"/>
          <w:highlight w:val="none"/>
        </w:rPr>
      </w:pPr>
      <w:r>
        <w:rPr>
          <w:rFonts w:ascii="Arial" w:hAnsi="Arial" w:eastAsia="Cambria Math" w:cs="Arial"/>
          <w:sz w:val="20"/>
          <w:szCs w:val="20"/>
        </w:rPr>
      </w:r>
      <w:r>
        <w:rPr>
          <w:sz w:val="20"/>
          <w:szCs w:val="20"/>
          <w:rtl w:val="0"/>
        </w:rPr>
        <w:t xml:space="preserve">Our model ends up with the following constraints table:</w:t>
      </w:r>
      <w:r>
        <w:rPr>
          <w:sz w:val="20"/>
          <w:szCs w:val="20"/>
        </w:rPr>
      </w:r>
      <w:r/>
    </w:p>
    <w:tbl>
      <w:tblPr>
        <w:tblStyle w:val="687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2268"/>
        <w:gridCol w:w="1984"/>
        <w:gridCol w:w="2409"/>
        <w:gridCol w:w="1843"/>
      </w:tblGrid>
      <w:tr>
        <w:trPr/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Accuracy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Latency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  <w14:ligatures w14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</w:r>
            <w:r>
              <w:rPr>
                <w:b/>
                <w:bCs/>
                <w:sz w:val="16"/>
                <w:szCs w:val="16"/>
                <w:highlight w:val="none"/>
              </w:rPr>
              <w:t xml:space="preserve">Original TFLite Model size</w:t>
            </w:r>
            <w:r>
              <w:rPr>
                <w:b/>
                <w:bCs/>
                <w:sz w:val="16"/>
                <w:szCs w:val="16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</w:r>
            <w:r>
              <w:rPr>
                <w:b/>
                <w:bCs/>
                <w:sz w:val="16"/>
                <w:szCs w:val="16"/>
                <w:highlight w:val="none"/>
              </w:rPr>
              <w:t xml:space="preserve">ZIP TFLite Size</w:t>
            </w:r>
            <w:r>
              <w:rPr>
                <w:b/>
                <w:bCs/>
                <w:sz w:val="16"/>
                <w:szCs w:val="16"/>
                <w:highlight w:val="none"/>
              </w:rPr>
            </w:r>
            <w:r/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98.0% &gt; 97%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4.7 ms &lt; 8ms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24.7 kB &lt; 25kB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</w:r>
            <w:r>
              <w:rPr>
                <w:sz w:val="16"/>
                <w:szCs w:val="16"/>
                <w:highlight w:val="none"/>
              </w:rPr>
              <w:t xml:space="preserve">14.07 kB &lt;&lt; 25kB</w:t>
            </w:r>
            <w:r>
              <w:rPr>
                <w:sz w:val="16"/>
                <w:szCs w:val="16"/>
                <w:highlight w:val="none"/>
              </w:rPr>
            </w:r>
            <w:r/>
          </w:p>
        </w:tc>
      </w:tr>
    </w:tbl>
    <w:p>
      <w:pPr>
        <w:jc w:val="left"/>
        <w:spacing w:after="200" w:line="276" w:lineRule="auto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  <w:highlight w:val="none"/>
          <w:rtl w:val="0"/>
        </w:rPr>
        <w:t xml:space="preserve">As we need a really high accuracy, we opted to use mfcss to do the pre-processing of our input data. </w:t>
      </w:r>
      <w:r>
        <w:rPr>
          <w:sz w:val="20"/>
          <w:szCs w:val="20"/>
          <w:highlight w:val="none"/>
          <w:rtl w:val="0"/>
        </w:rPr>
        <w:t xml:space="preserve">As we had to create a model with less than 2</w:t>
      </w:r>
      <w:r>
        <w:rPr>
          <w:sz w:val="20"/>
          <w:szCs w:val="20"/>
          <w:highlight w:val="none"/>
          <w:rtl w:val="0"/>
        </w:rPr>
        <w:t xml:space="preserve">5kB size, we adopted a really aggressive parameter for the width scaling and used tensorboard - hparams to fine tune the model to a minimum. This allows us to achieve a tflite size of the model of 24.7kB and also reduced the latency to meet the constraint.</w:t>
      </w:r>
      <w:r>
        <w:rPr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1.2 Deployment &amp; Integration in Smart Battery Monitoring</w:t>
      </w:r>
      <w:r>
        <w:rPr>
          <w:b/>
          <w:sz w:val="20"/>
          <w:szCs w:val="20"/>
        </w:rPr>
      </w:r>
      <w:r/>
    </w:p>
    <w:p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sz w:val="22"/>
          <w:szCs w:val="22"/>
          <w:rtl w:val="0"/>
        </w:rPr>
      </w:r>
      <w:r>
        <w:rPr>
          <w:sz w:val="20"/>
          <w:szCs w:val="20"/>
          <w:rtl w:val="0"/>
        </w:rPr>
        <w:t xml:space="preserve">In order to complete this laboratory, we designed a simple script as follows:</w:t>
      </w:r>
      <w:r>
        <w:rPr>
          <w:b/>
          <w:sz w:val="28"/>
          <w:szCs w:val="28"/>
        </w:rPr>
      </w:r>
      <w:r/>
    </w:p>
    <w:p>
      <w:pPr>
        <w:pStyle w:val="672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At the beginning of time, the system is not monitoring and it is receiving the input audio as a stream, calling the callback function</w:t>
      </w:r>
      <w:r>
        <w:rPr>
          <w:sz w:val="20"/>
          <w:szCs w:val="20"/>
        </w:rPr>
      </w:r>
      <w:r/>
    </w:p>
    <w:p>
      <w:pPr>
        <w:pStyle w:val="672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The callback function checks if there is noise in the 1s received audio, if silence is detected it does nothing</w:t>
      </w:r>
      <w:r>
        <w:rPr>
          <w:sz w:val="20"/>
          <w:szCs w:val="20"/>
        </w:rPr>
      </w:r>
      <w:r/>
    </w:p>
    <w:p>
      <w:pPr>
        <w:pStyle w:val="672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When there is noise, we use the function “calculate_next_state_FSM” to calculate if a “go” or “stop” is received, by invoking the tflite model and testing if the predicted label for go or stop is higher than the given threshold of 95%</w:t>
      </w:r>
      <w:r>
        <w:rPr>
          <w:sz w:val="20"/>
          <w:szCs w:val="20"/>
        </w:rPr>
      </w:r>
      <w:r/>
    </w:p>
    <w:p>
      <w:pPr>
        <w:pStyle w:val="672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When “go” is detected, our global variable “state” goes to true and we can log the information we collect to redis</w:t>
      </w:r>
      <w:r>
        <w:rPr>
          <w:sz w:val="20"/>
          <w:szCs w:val="20"/>
        </w:rPr>
      </w:r>
      <w:r/>
    </w:p>
    <w:p>
      <w:pPr>
        <w:pStyle w:val="672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If there is silence or there is an unrecognized sound or when the predicted label is not higher than the threshold, the global variable “state” remains unchanged.</w:t>
      </w:r>
      <w:r>
        <w:rPr>
          <w:b/>
          <w:bCs/>
          <w:sz w:val="20"/>
          <w:szCs w:val="20"/>
        </w:rPr>
      </w:r>
      <w:r/>
    </w:p>
    <w:sectPr>
      <w:footnotePr/>
      <w:endnotePr/>
      <w:type w:val="nextPage"/>
      <w:pgSz w:w="11909" w:h="16834" w:orient="portrait"/>
      <w:pgMar w:top="873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 Normal"/>
    <w:tblPr/>
  </w:style>
  <w:style w:type="paragraph" w:styleId="833">
    <w:name w:val="Heading 1"/>
    <w:basedOn w:val="831"/>
    <w:next w:val="83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34">
    <w:name w:val="Heading 2"/>
    <w:basedOn w:val="831"/>
    <w:next w:val="831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35">
    <w:name w:val="Heading 3"/>
    <w:basedOn w:val="831"/>
    <w:next w:val="831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36">
    <w:name w:val="Heading 4"/>
    <w:basedOn w:val="831"/>
    <w:next w:val="83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37">
    <w:name w:val="Heading 5"/>
    <w:basedOn w:val="831"/>
    <w:next w:val="83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38">
    <w:name w:val="Heading 6"/>
    <w:basedOn w:val="831"/>
    <w:next w:val="83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39">
    <w:name w:val="Title"/>
    <w:basedOn w:val="831"/>
    <w:next w:val="83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0">
    <w:name w:val="Subtitle"/>
    <w:basedOn w:val="831"/>
    <w:next w:val="831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41">
    <w:name w:val="StGen2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2">
    <w:name w:val="StGen3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3" w:default="1">
    <w:name w:val="Default Paragraph Font"/>
    <w:uiPriority w:val="1"/>
    <w:semiHidden/>
    <w:unhideWhenUsed/>
  </w:style>
  <w:style w:type="numbering" w:styleId="84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ewD7OrQJQxpb5RaeIc6bD2NQ==">AMUW2mUo9Zal9D8uURIa5kruQD2tlxin6yLvKGT8fihcJbsWepnQ09zj+Ga9nPP9Q5GfQoXv4B48Brj5NucR3/934rtxhVwmmQjLZxrGjErUymRFT05mOtiesv4pmYRns3ccAm/ljkBqm9uflUih0H0C8IpbQQKdag==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2022-12-20T18:25:44Z</dcterms:modified>
</cp:coreProperties>
</file>