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3.1 Deney Ortamı ve Görev Tanımı</w:t>
      </w:r>
    </w:p>
    <w:p>
      <w:pPr/>
      <w:r>
        <w:t>Deney ortamı, Isaac Lab doğrudan iş akışı (direct-workflow) API'si üzerinde tanımlanmış bir görev olan LunarRocket-Lander-Direct-v0'dır. Ajan, dört bacaklı ve iki eksenli gimbal itkili bir roketi temsil eder; gözlem uzayı konum, hız, yönelim, açısal hız, IMU ve altimetre okumaları ile hedefe göreli konumu içerir; eylem uzayı ana itki büyüklüğünü ve gimbal açısını kapsar. Ajan, Stable-Baselines3 (SB3) SAC (Soft Actor-Critic) algoritmasıyla, NVIDIA PhysX üzerinde GPU paralel olarak çalışan yüzlerce ortam örneğinde eş zamanlı eğitilmektedir.</w:t>
      </w:r>
    </w:p>
    <w:p>
      <w:pPr/>
      <w:r>
        <w:t>Arazi, tek bir prosedürel adımda değil, iki katmanlı bir temsille üretilir: (i) gerçek bir NASA dijital yükseklik modelinden (DEM) türetilen, rastgele eğim, krater ve kaya alanlarıyla zenginleştirilmiş bir küresel (global) makro yüzey; (ii) ajanın başlangıç ve hedef konumlarının yakınında, santimetre ölçekli çok frekanslı bir gürültü fonksiyonuyla üretilen yüksek çözünürlüklü bir yerel (local) regolit deseni. Bu iki katman, ortam sıfırlaması (reset) sırasında arka planda çalışan bir iş parçacığı havuzu tarafından önceden hazırlanmış bir "terrain havuzu" içinden bir yuvanın (slot) kopyalanmasıyla GPU'ya yüklenir; aktif bölümler (episode) hiçbir zaman bölüm ortasında değiştirilmez, yeni üretimler yalnızca sıfırlama anlarında devreye girer. Eğitim, spawn/hedef mesafesi ve komutlanabilir gimbal yetkisinin, kayan pencereli başarı oranına göre kademeli arttığı bir müfredat (curriculum) düzeni içinde yürütülmektedir.</w:t>
      </w:r>
    </w:p>
    <w:p>
      <w:pPr/>
      <w:r>
        <w:t>Bu iki katmanın birleştiği yerde, yerel yamanın ince detayı, küresel yüzeye sabit bir yarıçap içinde "söndürülerek" (fade) eklenir; bu söndürme fonksiyonunun matematiksel şekli, bu çalışmanın konusudur ve Bölüm 3.2'de tanımlanmaktadır.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