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3.3 Analitik (CPU) Değerlendirme Protokolü</w:t>
      </w:r>
    </w:p>
    <w:p>
      <w:pPr/>
      <w:r>
        <w:t>Analitik değerlendirme, Isaac Lab/torch bağımlılığı olmadan, üretim kodundaki formüllerin bire bir NumPy taşıması üzerinde, iki bağımsız izleme (track) ile yürütülmüştür: (i) mesh-track, gerçek üçgen ağı üretip vertex sayısı ve süre ölçen bir izleme; (ii) analytic-track, yükseklik alanını doğrudan sürekli bir fonksiyon olarak sorgulayan bir izleme. İki izlemenin birbirini doğrulaması, bulguların mesh ayrıklaştırmasına özgü bir yapay etki olmadığını göstermek için kullanılmıştır.</w:t>
      </w:r>
    </w:p>
    <w:p>
      <w:pPr/>
      <w:r>
        <w:t>Süreklilik metrikleri, sonlu farklarla hesaplanmıştır: C0 (yükseklik) sürekliliği, geçiş sınırının hemen iki tarafındaki noktalar arasındaki yükseklik farkının mutlak değeri (uzamsal epsilon = 0,05 m); C1 (eğim) sürekliliği, aynı noktalardaki yerel gradyanın açısal farkı (gradyan epsilon = 0,02 m) olarak tanımlanmıştır. Ölçümler 720 açısal örnek üzerinden alınmış ve hem maksimum hem RMS (kök ortalama kare) değerleri raporlanmıştır. İlk ölçümlerde, birleşik (küresel + yerel) yükseklik üzerinden yapılan ölçümün, doğal arazi eğiminin epsilon aralığındaki varyasyonuyla karışarak asıl dikiş sinyalini bastırdığı görülmüş; bu nedenle yalnızca söndürülmüş ince detay bileşenini (fade(r) * ince_detay(x,y)) izole eden bir "detail-only" ölçüm modu tanımlanmış ve bu, çalışmanın başlık (headline) metriği olarak benimsenmiştir; birleşik yüzey üzerindeki ölçüm ikincil/gerçekçi bir referans olarak korunmuştur.</w:t>
      </w:r>
    </w:p>
    <w:p>
      <w:pPr/>
      <w:r>
        <w:t>Bellek maliyeti, vertex başına 32 bayt ve çarpışma (collision) ağı için 2x çarpan varsayımıyla, iki-mesh (literal, ayrı küresel ve yerel ağlar) ile tek-grid (baked, tek birleşik ağ) muhasebe biçimleri için ayrı ayrı tahmin edilmiştir. Sorgu verimi (throughput), 512 ortam ve ortam başına 64 küresel + 24 yerel + 4 ince-detay sorgusu (toplam 92 sorgu/ortam) varsayımıyla, saf söndürme formülünün (fade-only, terrain örneklemesinden izole) mikro-saniye cinsinden maliyeti ayrıca ölçülmüştür.</w:t>
      </w:r>
    </w:p>
    <w:p>
      <w:pPr/>
      <w:r>
        <w:t>Ana karşılaştırma, dört yöntem varyantı (smoothstep, üretim öncesi Gauss, kalibre edilmiş Gauss, hibrit) için otuz bağımsız rastgele tohum üzerinde tekrarlanmıştır; istatistiksel anlamlılık, her tohumda hesaplanan log10 oran farkları üzerinde Wilcoxon işaretli sıra testiyle değerlendirilmiştir (parametrik testler yerine bu test tercih edilmiştir, çünkü bazı karşılaştırmalarda -örneğin hibrit ile smoothstep, r = R'de analitik olarak özdeş olduğundan- fark dağılımı sıfır varyansa yakınsamakta ve Cohen's d gibi parametrik büyüklük ölçütleri yozlaşmaktadır).</w:t>
      </w:r>
    </w:p>
    <w:p>
      <w:pPr/>
      <w:r>
        <w:t>Bulguların sağlamlığı dört ayrı ablasyon analiziyle sınanmıştır: (i) temas yarıçapı (rc) taraması, 1,0-4,0 m aralığında; (ii) switch genişliği (w) taraması, 0,05-2,0 m aralığında; (iii) geçiş yarıçapı (R) taraması, 4-16 m aralığında, kusurun ölçek değişmezliğini test etmek için; (iv) grid çözünürlüğü taraması, yaklaşık 0,31-1,27 m grid aralığı üzerinde, log-log doğrusal regresyonla ampirik yakınsama derecesi (convergence order) tahmin edilerek.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