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4.2 Ablasyon Analizleri</w:t>
      </w:r>
    </w:p>
    <w:p>
      <w:pPr/>
      <w:r>
        <w:t>Dört ablasyon analizinin (temas yarıçapı, switch genişliği, geçiş yarıçapı, grid çözünürlüğü) sonuçları Şekil 4-7'de görselleştirilmiştir. Analizlerin ortak sonucu, önerilen hibrit yöntemin süreklilik avantajının, makul bir parametre aralığında (rc = 1,0-4,0 m, w = 0,3-1,0 m) sağlam (robust) olduğu, yani belirli bir ince ayara aşırı duyarlı olmadığıdır. Tek istisna, çok dar switch genişliklerinde (w &lt;= 0,1 m) iç sürekliliğin gözle görülür biçimde bozulmasıdır; bu, üretim yapılandırmasında (w = 0,3 m) kullanılan varsayılanın bilinçli bir güvenlik marjı içerdiğini göstermektedir.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