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20"/>
      </w:pPr>
      <w:r>
        <w:rPr>
          <w:rFonts w:ascii="Georgia" w:hAnsi="Georgia"/>
          <w:color w:val="6B6B6B"/>
          <w:sz w:val="16"/>
        </w:rPr>
        <w:t xml:space="preserve">SAMPLE CONTRACT (fictional, for trying the import)</w:t>
      </w:r>
    </w:p>
    <w:p>
      <w:pPr>
        <w:spacing w:before="0" w:after="360"/>
        <w:jc w:val="center"/>
        <w:pBdr>
          <w:bottom w:val="single" w:sz="8" w:space="6" w:color="1A1A1A"/>
        </w:pBdr>
      </w:pPr>
      <w:r>
        <w:rPr>
          <w:rFonts w:ascii="Georgia" w:hAnsi="Georgia"/>
          <w:b/>
          <w:sz w:val="30"/>
        </w:rPr>
        <w:t xml:space="preserve">VEHICLE LEASE AGREEMENT No. DEMO-VL-0388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Lessor:</w:t>
      </w:r>
      <w:r>
        <w:rPr>
          <w:rFonts w:ascii="Georgia" w:hAnsi="Georgia"/>
        </w:rPr>
        <w:t xml:space="preserve"> Sample Leasing Modaraba, Lahore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Lessee:</w:t>
      </w:r>
      <w:r>
        <w:rPr>
          <w:rFonts w:ascii="Georgia" w:hAnsi="Georgia"/>
        </w:rPr>
        <w:t xml:space="preserve"> Demo Foods (Private) Limited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Leased assets:</w:t>
      </w:r>
      <w:r>
        <w:rPr>
          <w:rFonts w:ascii="Georgia" w:hAnsi="Georgia"/>
        </w:rPr>
        <w:t xml:space="preserve"> 20 light commercial delivery vehicles (Suzuki Ravi), as listed in Schedule A.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Term:</w:t>
      </w:r>
      <w:r>
        <w:rPr>
          <w:rFonts w:ascii="Georgia" w:hAnsi="Georgia"/>
        </w:rPr>
        <w:t xml:space="preserve"> The lease is for a period of 36 months commencing on 1 August 2026 and expiring on 31 July 2029.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Rent:</w:t>
      </w:r>
      <w:r>
        <w:rPr>
          <w:rFonts w:ascii="Georgia" w:hAnsi="Georgia"/>
        </w:rPr>
        <w:t xml:space="preserve"> Rs. 3,150,000 per quarter, payable in arrears at the end of each quarter (12 rentals in total).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Rate of return:</w:t>
      </w:r>
      <w:r>
        <w:rPr>
          <w:rFonts w:ascii="Georgia" w:hAnsi="Georgia"/>
        </w:rPr>
        <w:t xml:space="preserve"> The rentals have been calculated at a markup rate of 17.5% per annum.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Security deposit:</w:t>
      </w:r>
      <w:r>
        <w:rPr>
          <w:rFonts w:ascii="Georgia" w:hAnsi="Georgia"/>
        </w:rPr>
        <w:t xml:space="preserve"> Rs. 2,500,000, adjustable against the purchase price.</w:t>
      </w:r>
    </w:p>
    <w:p>
      <w:pPr>
        <w:spacing w:before="0" w:after="160"/>
        <w:jc w:val="both"/>
      </w:pPr>
      <w:r>
        <w:rPr>
          <w:rFonts w:ascii="Georgia" w:hAnsi="Georgia"/>
          <w:b/>
        </w:rPr>
        <w:t xml:space="preserve">Purchase option:</w:t>
      </w:r>
      <w:r>
        <w:rPr>
          <w:rFonts w:ascii="Georgia" w:hAnsi="Georgia"/>
        </w:rPr>
        <w:t xml:space="preserve"> At the end of the lease term the Lessee may purchase all vehicles for a price of Rs. 2,500,000.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Insurance and registration are arranged by the Lessor and included in the rentals.</w:t>
      </w:r>
    </w:p>
    <w:sectPr>
      <w:pgSz w:w="11906" w:h="16838"/>
      <w:pgMar w:top="1247" w:right="1247" w:bottom="1361" w:left="1247" w:header="708" w:footer="708" w:gutter="0"/>
    </w:sectPr>
  </w:body>
</w:document>
</file>