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Leave Policy</w:t>
      </w:r>
    </w:p>
    <w:p>
      <w:r>
        <w:rPr>
          <w:b/>
        </w:rPr>
        <w:t>Document Type: HR Policy</w:t>
        <w:br/>
      </w:r>
      <w:r>
        <w:t>Version: 1.0 | Effective Date: 1 October 2026</w:t>
      </w:r>
    </w:p>
    <w:p>
      <w:pPr>
        <w:pStyle w:val="Heading1"/>
      </w:pPr>
      <w:r>
        <w:t>1. Annual Leave</w:t>
      </w:r>
    </w:p>
    <w:p>
      <w:r>
        <w:t>Full-time employees are eligible for 24 days of annual leave per calendar year. Leave should normally be requested at least three working days in advance.</w:t>
      </w:r>
    </w:p>
    <w:p>
      <w:pPr>
        <w:pStyle w:val="Heading1"/>
      </w:pPr>
      <w:r>
        <w:t>2. Sick Leave</w:t>
      </w:r>
    </w:p>
    <w:p>
      <w:r>
        <w:t>Employees who are unable to work because of illness should inform their manager as soon as reasonably possible. Supporting documentation may be required for extended absence.</w:t>
      </w:r>
    </w:p>
    <w:p>
      <w:pPr>
        <w:pStyle w:val="Heading1"/>
      </w:pPr>
      <w:r>
        <w:t>3. Manager Approval</w:t>
      </w:r>
    </w:p>
    <w:p>
      <w:r>
        <w:t>Planned leave requires approval from the employee's reporting manager. Approval depends on team workload, business requirements, and available leave balance.</w:t>
      </w:r>
    </w:p>
    <w:p>
      <w:pPr>
        <w:pStyle w:val="Heading1"/>
      </w:pPr>
      <w:r>
        <w:t>4. Emergency Leave</w:t>
      </w:r>
    </w:p>
    <w:p>
      <w:r>
        <w:t>Emergency leave may be requested when unexpected personal circumstances require immediate absence. Employees should notify their manager at the earliest opportunity.</w:t>
      </w:r>
    </w:p>
    <w:p>
      <w:pPr>
        <w:pStyle w:val="Heading1"/>
      </w:pPr>
      <w:r>
        <w:t>5. Carry Forward</w:t>
      </w:r>
    </w:p>
    <w:p>
      <w:r>
        <w:t>Unused annual leave may be carried forward subject to company rules and applicable employment requirements.</w:t>
      </w:r>
    </w:p>
    <w:p>
      <w:r>
        <w:t>This sample document is created for testing the Enterprise Operations Intelligence Platform document-ingestion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