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80" w:line="336" w:lineRule="auto"/>
        <w:jc w:val="center"/>
      </w:pPr>
      <w:r>
        <w:rPr>
          <w:rFonts w:ascii="Segoe UI" w:hAnsi="Segoe UI" w:eastAsia="微软雅黑"/>
          <w:b/>
          <w:i w:val="0"/>
          <w:color w:val="1F3864"/>
          <w:sz w:val="52"/>
        </w:rPr>
        <w:t>EuriskoTax 商业模式落地执行手册（内部 · 90 天）</w:t>
      </w:r>
    </w:p>
    <w:p>
      <w:pPr>
        <w:spacing w:before="0" w:after="200" w:line="336" w:lineRule="auto"/>
        <w:jc w:val="center"/>
      </w:pPr>
      <w:r>
        <w:rPr>
          <w:rFonts w:ascii="Segoe UI" w:hAnsi="Segoe UI" w:eastAsia="微软雅黑"/>
          <w:b w:val="0"/>
          <w:i w:val="0"/>
          <w:color w:val="595959"/>
          <w:sz w:val="24"/>
        </w:rPr>
        <w:t>Go/No-Go 检查表 · 第 0 周点火清单 · 90 天周节奏 · 指标看板 · 线索 SOP</w:t>
      </w:r>
    </w:p>
    <w:p>
      <w:pPr>
        <w:pBdr>
          <w:bottom w:val="single" w:sz="8" w:space="2" w:color="2E75B6"/>
        </w:pBdr>
        <w:spacing w:before="0" w:after="280" w:line="336" w:lineRule="auto"/>
        <w:jc w:val="center"/>
      </w:pP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>版本：v1.0 · 2026-09-14 ｜ 用途：</w:t>
      </w:r>
      <w:r>
        <w:rPr>
          <w:rFonts w:ascii="Segoe UI" w:hAnsi="Segoe UI" w:eastAsia="微软雅黑"/>
          <w:b/>
          <w:i w:val="0"/>
          <w:sz w:val="21"/>
        </w:rPr>
        <w:t>执行层</w:t>
      </w:r>
      <w:r>
        <w:rPr>
          <w:rFonts w:ascii="Segoe UI" w:hAnsi="Segoe UI" w:eastAsia="微软雅黑"/>
          <w:b w:val="0"/>
          <w:i w:val="0"/>
          <w:sz w:val="21"/>
        </w:rPr>
        <w:t>，不是战略层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 xml:space="preserve">战略与财务测算见 </w:t>
      </w:r>
      <w:r>
        <w:rPr>
          <w:rFonts w:ascii="Segoe UI" w:hAnsi="Segoe UI" w:eastAsia="微软雅黑"/>
          <w:b w:val="0"/>
          <w:i w:val="0"/>
          <w:sz w:val="21"/>
        </w:rPr>
        <w:t>business-plan-for-partners.md</w:t>
      </w:r>
      <w:r>
        <w:rPr>
          <w:rFonts w:ascii="Segoe UI" w:hAnsi="Segoe UI" w:eastAsia="微软雅黑"/>
          <w:b w:val="0"/>
          <w:i w:val="0"/>
          <w:sz w:val="21"/>
        </w:rPr>
        <w:t>（合伙人版）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 xml:space="preserve">渠道文案见 </w:t>
      </w:r>
      <w:r>
        <w:rPr>
          <w:rFonts w:ascii="Segoe UI" w:hAnsi="Segoe UI" w:eastAsia="微软雅黑"/>
          <w:b w:val="0"/>
          <w:i w:val="0"/>
          <w:sz w:val="21"/>
        </w:rPr>
        <w:t>cold-start-materials.md</w:t>
      </w:r>
      <w:r>
        <w:rPr>
          <w:rFonts w:ascii="Segoe UI" w:hAnsi="Segoe UI" w:eastAsia="微软雅黑"/>
          <w:b w:val="0"/>
          <w:i w:val="0"/>
          <w:sz w:val="21"/>
        </w:rPr>
        <w:t>（文案库，本手册只做"何时用哪一篇"的调度）</w:t>
      </w:r>
    </w:p>
    <w:p>
      <w:pPr>
        <w:spacing w:before="0" w:after="200" w:line="336" w:lineRule="auto"/>
      </w:pPr>
    </w:p>
    <w:p>
      <w:pPr>
        <w:spacing w:before="1200" w:after="0" w:line="336" w:lineRule="auto"/>
        <w:jc w:val="center"/>
      </w:pPr>
      <w:r>
        <w:rPr>
          <w:rFonts w:ascii="Segoe UI" w:hAnsi="Segoe UI" w:eastAsia="微软雅黑"/>
          <w:b w:val="0"/>
          <w:i w:val="0"/>
          <w:color w:val="A6A6A6"/>
          <w:sz w:val="18"/>
        </w:rPr>
        <w:t>本文件为内部执行手册，供团队按周执行与复盘，请勿外传。</w:t>
      </w:r>
    </w:p>
    <w:p>
      <w:r>
        <w:br w:type="page"/>
      </w:r>
    </w:p>
    <w:p>
      <w:pPr>
        <w:pBdr>
          <w:bottom w:val="single" w:sz="6" w:space="2" w:color="BFBFBF"/>
        </w:pBdr>
        <w:spacing w:before="0" w:after="240" w:line="336" w:lineRule="auto"/>
      </w:pPr>
      <w:r>
        <w:rPr>
          <w:rFonts w:ascii="Segoe UI" w:hAnsi="Segoe UI" w:eastAsia="微软雅黑"/>
          <w:b/>
          <w:i w:val="0"/>
          <w:color w:val="1F3864"/>
          <w:sz w:val="34"/>
        </w:rPr>
        <w:t>目  录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fldChar w:fldCharType="begin"/>
        <w:instrText xml:space="preserve"> TOC \o "1-2" \h \z \u </w:instrText>
        <w:fldChar w:fldCharType="separate"/>
      </w:r>
      <w:r>
        <w:rPr>
          <w:rFonts w:ascii="Segoe UI" w:hAnsi="Segoe UI" w:eastAsia="微软雅黑"/>
          <w:b/>
          <w:i w:val="0"/>
          <w:color w:val="1F3864"/>
          <w:sz w:val="21"/>
        </w:rPr>
        <w:t>1. Go / No-Go 检查表（开跑前置）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P0（阻断项，必须开跑前完成）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P1（首周内补齐）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2. 第 0 周点火清单（逐日，全部为执行动作）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3. 90 天周节奏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4. 指标看板与埋点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4.1 北极星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4.2 五步漏斗（已埋点，无需开发）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4.3 每日观察（建议固定时间，1 分钟）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4.4 每周复盘三问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5. 线索跟进 SOP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5.1 状态机（管理台已支持行内修改）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5.2 跟进节奏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5.3 留资字段的用法（这是我们的信息优势）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5.4 合规红线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6. 待办登记（跨周跟踪）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7. 单位经济学实测口径（用来替换企划书里的假设）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7.1 计算链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7.2 待填字段（前 30 天积累，30 天后回填企划书）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7.3 校准节奏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8. 与开发阶段的并行关系（弹药节奏）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9. 变更记录</w:t>
      </w:r>
      <w:r>
        <w:rPr>
          <w:rFonts w:ascii="Segoe UI" w:hAnsi="Segoe UI" w:eastAsia="微软雅黑"/>
          <w:b w:val="0"/>
          <w:i w:val="0"/>
          <w:sz w:val="12"/>
        </w:rPr>
        <w:fldChar w:fldCharType="end"/>
      </w:r>
    </w:p>
    <w:p>
      <w:r>
        <w:br w:type="page"/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1. Go / No-Go 检查表（开跑前置）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判定标准：</w:t>
      </w:r>
      <w:r>
        <w:rPr>
          <w:rFonts w:ascii="Segoe UI" w:hAnsi="Segoe UI" w:eastAsia="微软雅黑"/>
          <w:b/>
          <w:i w:val="0"/>
          <w:color w:val="1F3864"/>
          <w:sz w:val="20"/>
        </w:rPr>
        <w:t>P0 全部完成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>才允许公开发帖推广；P1 可在推广首周内补齐。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P0（阻断项，必须开跑前完成）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94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#</w:t>
            </w:r>
          </w:p>
        </w:tc>
        <w:tc>
          <w:tcPr>
            <w:tcW w:type="dxa" w:w="253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检查项</w:t>
            </w:r>
          </w:p>
        </w:tc>
        <w:tc>
          <w:tcPr>
            <w:tcW w:type="dxa" w:w="94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当前状态</w:t>
            </w:r>
          </w:p>
        </w:tc>
        <w:tc>
          <w:tcPr>
            <w:tcW w:type="dxa" w:w="465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落点 / 验证方式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253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企业微信「联系我」活码已配置</w:t>
            </w:r>
          </w:p>
        </w:tc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× 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空配置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index.html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底部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window.LEAD_CONFIG = { wecomQrUrl: '' }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465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配置后真机打开留资弹窗，活码位可见；控制台不再出现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[LeadModal] 未配置企业微信活码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警告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2531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.com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域名已注册在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公司名下</w:t>
            </w:r>
          </w:p>
        </w:tc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× 未注册</w:t>
            </w:r>
          </w:p>
        </w:tc>
        <w:tc>
          <w:tcPr>
            <w:tcW w:type="dxa" w:w="465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whois 所有者 = 公司全称；腾讯云注册页可查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253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ICP 备案已提交</w:t>
            </w:r>
          </w:p>
        </w:tc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× 未启动</w:t>
            </w:r>
          </w:p>
        </w:tc>
        <w:tc>
          <w:tcPr>
            <w:tcW w:type="dxa" w:w="465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备案订单号 + 管局审核中状态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253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顾问值班人与响应时限已定</w:t>
            </w:r>
          </w:p>
        </w:tc>
        <w:tc>
          <w:tcPr>
            <w:tcW w:type="dxa" w:w="9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× 未指定</w:t>
            </w:r>
          </w:p>
        </w:tc>
        <w:tc>
          <w:tcPr>
            <w:tcW w:type="dxa" w:w="465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管理台「线索」Tab 的「分配跟进人」有明确 owner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P1（首周内补齐）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95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#</w:t>
            </w:r>
          </w:p>
        </w:tc>
        <w:tc>
          <w:tcPr>
            <w:tcW w:type="dxa" w:w="401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检查项</w:t>
            </w:r>
          </w:p>
        </w:tc>
        <w:tc>
          <w:tcPr>
            <w:tcW w:type="dxa" w:w="410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95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40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顾问实名背书（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advisorName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advisorTitle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41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未配置真实信息就不显示，绝不编造资质</w:t>
            </w:r>
          </w:p>
        </w:tc>
      </w:tr>
      <w:tr>
        <w:trPr>
          <w:cantSplit/>
        </w:trPr>
        <w:tc>
          <w:tcPr>
            <w:tcW w:type="dxa" w:w="95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40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邀请码批次已生成并登记发放规则</w:t>
            </w:r>
          </w:p>
        </w:tc>
        <w:tc>
          <w:tcPr>
            <w:tcW w:type="dxa" w:w="41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管理台「邀请码」Tab 生成；一机一码，记录发给谁</w:t>
            </w:r>
          </w:p>
        </w:tc>
      </w:tr>
      <w:tr>
        <w:trPr>
          <w:cantSplit/>
        </w:trPr>
        <w:tc>
          <w:tcPr>
            <w:tcW w:type="dxa" w:w="95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7</w:t>
            </w:r>
          </w:p>
        </w:tc>
        <w:tc>
          <w:tcPr>
            <w:tcW w:type="dxa" w:w="40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成交金额台账（Excel 即可）</w:t>
            </w:r>
          </w:p>
        </w:tc>
        <w:tc>
          <w:tcPr>
            <w:tcW w:type="dxa" w:w="41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系统暂无成交金额字段，先用人工台账（见 §6）</w:t>
            </w:r>
          </w:p>
        </w:tc>
      </w:tr>
      <w:tr>
        <w:trPr>
          <w:cantSplit/>
        </w:trPr>
        <w:tc>
          <w:tcPr>
            <w:tcW w:type="dxa" w:w="95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8</w:t>
            </w:r>
          </w:p>
        </w:tc>
        <w:tc>
          <w:tcPr>
            <w:tcW w:type="dxa" w:w="40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管理台令牌就位（浏览器「在本机记住令牌」）</w:t>
            </w:r>
          </w:p>
        </w:tc>
        <w:tc>
          <w:tcPr>
            <w:tcW w:type="dxa" w:w="41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便于每日看线索与漏斗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Consolas" w:hAnsi="Consolas" w:eastAsia="Consolas"/>
          <w:b w:val="0"/>
          <w:i w:val="0"/>
          <w:color w:val="C0392B"/>
          <w:sz w:val="19"/>
        </w:rPr>
        <w:t>verify:local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 门禁中含留资链路断言，配置活码后建议跑一次本地门禁确认无回归（口径见 v1.17.0 基线）。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2. 第 0 周点火清单（逐日，全部为执行动作）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94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天</w:t>
            </w:r>
          </w:p>
        </w:tc>
        <w:tc>
          <w:tcPr>
            <w:tcW w:type="dxa" w:w="349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动作</w:t>
            </w:r>
          </w:p>
        </w:tc>
        <w:tc>
          <w:tcPr>
            <w:tcW w:type="dxa" w:w="209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交付标准</w:t>
            </w:r>
          </w:p>
        </w:tc>
        <w:tc>
          <w:tcPr>
            <w:tcW w:type="dxa" w:w="253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D1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euriskotax.com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可用性 → 腾讯云注册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域名在手；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 xml:space="preserve">同时注册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.cn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 xml:space="preserve"> 并 301 指向主域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所有者必须填公司全称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D1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生成企业微信「联系我」活码 → 填入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index.html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留资弹窗出现活码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活码可带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state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参数做入口归因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D2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腾讯云账号企业实名 + 购买大陆地域轻量服务器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备案资源校验通过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有效期 ≥3 个月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D3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备齐材料并提交 ICP 备案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订单进入管局队列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网站名称一次定死（≥3 字、非纯英文，推荐公司全称/简称）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D3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定顾问值班表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响应时限 ≤2 小时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线索不隔夜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D3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生成首批邀请码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管理台「邀请码」Tab 可见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记录发放对象，便于回访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D4–D5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邀请 5–10 名种子用户（私聊话术见文案库）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每人完成一次"用真实工资单核验"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优先近半年跳槽/谈薪、有副业或租金收入的人</w:t>
            </w:r>
          </w:p>
        </w:tc>
      </w:tr>
      <w:tr>
        <w:trPr>
          <w:cantSplit/>
        </w:trPr>
        <w:tc>
          <w:tcPr>
            <w:tcW w:type="dxa" w:w="94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D6–D7</w:t>
            </w:r>
          </w:p>
        </w:tc>
        <w:tc>
          <w:tcPr>
            <w:tcW w:type="dxa" w:w="349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修种子用户反馈的高优 bug</w:t>
            </w:r>
          </w:p>
        </w:tc>
        <w:tc>
          <w:tcPr>
            <w:tcW w:type="dxa" w:w="2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高优 bug 清零</w:t>
            </w:r>
          </w:p>
        </w:tc>
        <w:tc>
          <w:tcPr>
            <w:tcW w:type="dxa" w:w="25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发帖前的稳定性检查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D1 之后的等待项（不可压缩）</w:t>
      </w:r>
      <w:r>
        <w:rPr>
          <w:rFonts w:ascii="Segoe UI" w:hAnsi="Segoe UI" w:eastAsia="微软雅黑"/>
          <w:b w:val="0"/>
          <w:i w:val="0"/>
          <w:sz w:val="21"/>
        </w:rPr>
        <w:t xml:space="preserve">：域名实名认证后须满 </w:t>
      </w:r>
      <w:r>
        <w:rPr>
          <w:rFonts w:ascii="Segoe UI" w:hAnsi="Segoe UI" w:eastAsia="微软雅黑"/>
          <w:b/>
          <w:i w:val="0"/>
          <w:sz w:val="21"/>
        </w:rPr>
        <w:t>3 个自然日</w:t>
      </w:r>
      <w:r>
        <w:rPr>
          <w:rFonts w:ascii="Segoe UI" w:hAnsi="Segoe UI" w:eastAsia="微软雅黑"/>
          <w:b w:val="0"/>
          <w:i w:val="0"/>
          <w:sz w:val="21"/>
        </w:rPr>
        <w:t>才能提交备案（非腾讯云注册的域名满 3 个工作日）。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3. 90 天周节奏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94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周</w:t>
            </w:r>
          </w:p>
        </w:tc>
        <w:tc>
          <w:tcPr>
            <w:tcW w:type="dxa" w:w="222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运营动作</w:t>
            </w:r>
          </w:p>
        </w:tc>
        <w:tc>
          <w:tcPr>
            <w:tcW w:type="dxa" w:w="299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开发动作（只做"获客弹药型"需求）</w:t>
            </w:r>
          </w:p>
        </w:tc>
        <w:tc>
          <w:tcPr>
            <w:tcW w:type="dxa" w:w="290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观察重点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W1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点火清单 + 种子用户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种子用户能否算出与工资单一致的结果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W2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即刻发帖（最容易起量）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修反馈 bug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新增注册脉冲、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calculations.byType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分布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W3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V2EX 发帖（工作日白天）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启动阶段15 · 15A 个税纵深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哪类计算用得多 → 决定下一个 SEO 词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W4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知乎回答 1–2 个高流量问题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/seo/social-base.html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（社保基数）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首条线索是否转成交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W5–W6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小红书（配界面截图）；开始复盘文案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/seo/net-salary.html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（税后工资）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留资率、有效线索率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W7–W8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沉淀话术与报价；老用户回访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15A 持续交付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成交率、客单价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W9–W12</w:t>
            </w:r>
          </w:p>
        </w:tc>
        <w:tc>
          <w:tcPr>
            <w:tcW w:type="dxa" w:w="22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SEO 收录观察；备案结果跟进</w:t>
            </w:r>
          </w:p>
        </w:tc>
        <w:tc>
          <w:tcPr>
            <w:tcW w:type="dxa" w:w="29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备案通过后配合切境内域名/节点</w:t>
            </w:r>
          </w:p>
        </w:tc>
        <w:tc>
          <w:tcPr>
            <w:tcW w:type="dxa" w:w="29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自然流量占比、支付开通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并行主线</w:t>
      </w:r>
      <w:r>
        <w:rPr>
          <w:rFonts w:ascii="Segoe UI" w:hAnsi="Segoe UI" w:eastAsia="微软雅黑"/>
          <w:b w:val="0"/>
          <w:i w:val="0"/>
          <w:sz w:val="21"/>
        </w:rPr>
        <w:t>：ICP 备案（W1 提交 → W12 前后出结果），期间产品与运营正常迭代，不阻塞。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4. 指标看板与埋点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4.1 北极星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Consolas" w:hAnsi="Consolas" w:eastAsia="Consolas"/>
          <w:b w:val="0"/>
          <w:i w:val="0"/>
          <w:color w:val="C0392B"/>
          <w:sz w:val="19"/>
        </w:rPr>
        <w:t>lead_submit / calc_done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 —— 算完之后有多少人愿意留下联系方式。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它同时度量了"流量是否对口"和"结果页说服力"，且不受注册摩擦干扰。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4.2 五步漏斗（已埋点，无需开发）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20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步骤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事件</w:t>
            </w:r>
          </w:p>
        </w:tc>
        <w:tc>
          <w:tcPr>
            <w:tcW w:type="dxa" w:w="604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20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visit</w:t>
            </w:r>
          </w:p>
        </w:tc>
        <w:tc>
          <w:tcPr>
            <w:tcW w:type="dxa" w:w="604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访问</w:t>
            </w:r>
          </w:p>
        </w:tc>
      </w:tr>
      <w:tr>
        <w:trPr>
          <w:cantSplit/>
        </w:trPr>
        <w:tc>
          <w:tcPr>
            <w:tcW w:type="dxa" w:w="120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calc_done</w:t>
            </w:r>
          </w:p>
        </w:tc>
        <w:tc>
          <w:tcPr>
            <w:tcW w:type="dxa" w:w="604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算完（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游客也算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，口径已修正为全量）</w:t>
            </w:r>
          </w:p>
        </w:tc>
      </w:tr>
      <w:tr>
        <w:trPr>
          <w:cantSplit/>
        </w:trPr>
        <w:tc>
          <w:tcPr>
            <w:tcW w:type="dxa" w:w="120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save</w:t>
            </w:r>
          </w:p>
        </w:tc>
        <w:tc>
          <w:tcPr>
            <w:tcW w:type="dxa" w:w="604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保存到历史（登录行为）</w:t>
            </w:r>
          </w:p>
        </w:tc>
      </w:tr>
      <w:tr>
        <w:trPr>
          <w:cantSplit/>
        </w:trPr>
        <w:tc>
          <w:tcPr>
            <w:tcW w:type="dxa" w:w="120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share</w:t>
            </w:r>
          </w:p>
        </w:tc>
        <w:tc>
          <w:tcPr>
            <w:tcW w:type="dxa" w:w="604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生成分享图</w:t>
            </w:r>
          </w:p>
        </w:tc>
      </w:tr>
      <w:tr>
        <w:trPr>
          <w:cantSplit/>
        </w:trPr>
        <w:tc>
          <w:tcPr>
            <w:tcW w:type="dxa" w:w="120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lead_click</w:t>
            </w:r>
          </w:p>
        </w:tc>
        <w:tc>
          <w:tcPr>
            <w:tcW w:type="dxa" w:w="604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点击服务引导（唯一入口已包装）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4.3 每日观察（建议固定时间，1 分钟）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管理台 →「转化漏斗」区块：各步转化率 + 北极星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管理台 →「线索」Tab：新线索、待分配、状态分布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接口快照（含日粒度趋势）：</w:t>
      </w:r>
    </w:p>
    <w:p>
      <w:pPr>
        <w:shd w:val="clear" w:color="auto" w:fill="F2F2F2"/>
        <w:spacing w:before="80" w:after="10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curl.exe -s https://euriskotax.zeabur.app/api/stats/overview -H "X-Admin-Token: &lt;ADMIN_TOKEN_PROD&gt;"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关注字段：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users.newToday</w:t>
      </w:r>
      <w:r>
        <w:rPr>
          <w:rFonts w:ascii="Segoe UI" w:hAnsi="Segoe UI" w:eastAsia="微软雅黑"/>
          <w:b w:val="0"/>
          <w:i w:val="0"/>
          <w:sz w:val="21"/>
        </w:rPr>
        <w:t>（发帖脉冲）、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calculations.byType</w:t>
      </w:r>
      <w:r>
        <w:rPr>
          <w:rFonts w:ascii="Segoe UI" w:hAnsi="Segoe UI" w:eastAsia="微软雅黑"/>
          <w:b w:val="0"/>
          <w:i w:val="0"/>
          <w:sz w:val="21"/>
        </w:rPr>
        <w:t>（comprehensive / business / classification / reverse → 决定下一个 SEO 页写哪个词）、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dailyTrend</w:t>
      </w:r>
      <w:r>
        <w:rPr>
          <w:rFonts w:ascii="Segoe UI" w:hAnsi="Segoe UI" w:eastAsia="微软雅黑"/>
          <w:b w:val="0"/>
          <w:i w:val="0"/>
          <w:sz w:val="21"/>
        </w:rPr>
        <w:t>（7 日留存趋势）。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※ 常见误读：埋点与计算统计</w:t>
      </w:r>
      <w:r>
        <w:rPr>
          <w:rFonts w:ascii="Segoe UI" w:hAnsi="Segoe UI" w:eastAsia="微软雅黑"/>
          <w:b/>
          <w:i w:val="0"/>
          <w:color w:val="1F3864"/>
          <w:sz w:val="20"/>
        </w:rPr>
        <w:t>只在用户点击「保存」时触发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>，注册后只浏览不保存不会产生记录 —— 数字为 0 不等于没人访问。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4.4 每周复盘三问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1. </w:t>
      </w:r>
      <w:r>
        <w:rPr>
          <w:rFonts w:ascii="Segoe UI" w:hAnsi="Segoe UI" w:eastAsia="微软雅黑"/>
          <w:b w:val="0"/>
          <w:i w:val="0"/>
          <w:sz w:val="21"/>
        </w:rPr>
        <w:t>本周</w:t>
      </w:r>
      <w:r>
        <w:rPr>
          <w:rFonts w:ascii="Segoe UI" w:hAnsi="Segoe UI" w:eastAsia="微软雅黑"/>
          <w:b/>
          <w:i w:val="0"/>
          <w:sz w:val="21"/>
        </w:rPr>
        <w:t>线索量</w:t>
      </w:r>
      <w:r>
        <w:rPr>
          <w:rFonts w:ascii="Segoe UI" w:hAnsi="Segoe UI" w:eastAsia="微软雅黑"/>
          <w:b w:val="0"/>
          <w:i w:val="0"/>
          <w:sz w:val="21"/>
        </w:rPr>
        <w:t>是多少？有效线索占比多少？（质量）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2. </w:t>
      </w:r>
      <w:r>
        <w:rPr>
          <w:rFonts w:ascii="Segoe UI" w:hAnsi="Segoe UI" w:eastAsia="微软雅黑"/>
          <w:b w:val="0"/>
          <w:i w:val="0"/>
          <w:sz w:val="21"/>
        </w:rPr>
        <w:t>本周</w:t>
      </w:r>
      <w:r>
        <w:rPr>
          <w:rFonts w:ascii="Segoe UI" w:hAnsi="Segoe UI" w:eastAsia="微软雅黑"/>
          <w:b/>
          <w:i w:val="0"/>
          <w:sz w:val="21"/>
        </w:rPr>
        <w:t>成交</w:t>
      </w:r>
      <w:r>
        <w:rPr>
          <w:rFonts w:ascii="Segoe UI" w:hAnsi="Segoe UI" w:eastAsia="微软雅黑"/>
          <w:b w:val="0"/>
          <w:i w:val="0"/>
          <w:sz w:val="21"/>
        </w:rPr>
        <w:t>几单、客单价多少？（变现）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3. </w:t>
      </w:r>
      <w:r>
        <w:rPr>
          <w:rFonts w:ascii="Segoe UI" w:hAnsi="Segoe UI" w:eastAsia="微软雅黑"/>
          <w:b w:val="0"/>
          <w:i w:val="0"/>
          <w:sz w:val="21"/>
        </w:rPr>
        <w:t>哪个渠道贡献的线索最多、质量最好？（渠道 ROI → 下周加码哪个）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5. 线索跟进 SOP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5.1 状态机（管理台已支持行内修改）</w:t>
      </w:r>
    </w:p>
    <w:p>
      <w:pPr>
        <w:spacing w:before="0" w:after="100" w:line="348" w:lineRule="auto"/>
      </w:pPr>
      <w:r>
        <w:rPr>
          <w:rFonts w:ascii="Consolas" w:hAnsi="Consolas" w:eastAsia="Consolas"/>
          <w:b w:val="0"/>
          <w:i w:val="0"/>
          <w:color w:val="C0392B"/>
          <w:sz w:val="20"/>
        </w:rPr>
        <w:t>new</w:t>
      </w:r>
      <w:r>
        <w:rPr>
          <w:rFonts w:ascii="Segoe UI" w:hAnsi="Segoe UI" w:eastAsia="微软雅黑"/>
          <w:b w:val="0"/>
          <w:i w:val="0"/>
          <w:sz w:val="21"/>
        </w:rPr>
        <w:t xml:space="preserve">（新线索）→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contacted</w:t>
      </w:r>
      <w:r>
        <w:rPr>
          <w:rFonts w:ascii="Segoe UI" w:hAnsi="Segoe UI" w:eastAsia="微软雅黑"/>
          <w:b w:val="0"/>
          <w:i w:val="0"/>
          <w:sz w:val="21"/>
        </w:rPr>
        <w:t xml:space="preserve">（已联系）→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qualified</w:t>
      </w:r>
      <w:r>
        <w:rPr>
          <w:rFonts w:ascii="Segoe UI" w:hAnsi="Segoe UI" w:eastAsia="微软雅黑"/>
          <w:b w:val="0"/>
          <w:i w:val="0"/>
          <w:sz w:val="21"/>
        </w:rPr>
        <w:t xml:space="preserve">（有明确需求）→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converted</w:t>
      </w:r>
      <w:r>
        <w:rPr>
          <w:rFonts w:ascii="Segoe UI" w:hAnsi="Segoe UI" w:eastAsia="微软雅黑"/>
          <w:b w:val="0"/>
          <w:i w:val="0"/>
          <w:sz w:val="21"/>
        </w:rPr>
        <w:t xml:space="preserve">（已成交）／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dropped</w:t>
      </w:r>
      <w:r>
        <w:rPr>
          <w:rFonts w:ascii="Segoe UI" w:hAnsi="Segoe UI" w:eastAsia="微软雅黑"/>
          <w:b w:val="0"/>
          <w:i w:val="0"/>
          <w:sz w:val="21"/>
        </w:rPr>
        <w:t>（无效）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纪律</w:t>
      </w:r>
      <w:r>
        <w:rPr>
          <w:rFonts w:ascii="Segoe UI" w:hAnsi="Segoe UI" w:eastAsia="微软雅黑"/>
          <w:b w:val="0"/>
          <w:i w:val="0"/>
          <w:sz w:val="21"/>
        </w:rPr>
        <w:t xml:space="preserve">：状态必须当天更新。状态长期停留在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new</w:t>
      </w:r>
      <w:r>
        <w:rPr>
          <w:rFonts w:ascii="Segoe UI" w:hAnsi="Segoe UI" w:eastAsia="微软雅黑"/>
          <w:b w:val="0"/>
          <w:i w:val="0"/>
          <w:sz w:val="21"/>
        </w:rPr>
        <w:t xml:space="preserve"> 的线索，等于没有线索。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5.2 跟进节奏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13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时限</w:t>
            </w:r>
          </w:p>
        </w:tc>
        <w:tc>
          <w:tcPr>
            <w:tcW w:type="dxa" w:w="793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≤2 小时</w:t>
            </w:r>
          </w:p>
        </w:tc>
        <w:tc>
          <w:tcPr>
            <w:tcW w:type="dxa" w:w="793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首次触达（企微/电话），确认需求与主体类型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≤24 小时</w:t>
            </w:r>
          </w:p>
        </w:tc>
        <w:tc>
          <w:tcPr>
            <w:tcW w:type="dxa" w:w="793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给出明确下一步（报价单 / 需要补充的信息 / 明确不合适）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3 天</w:t>
            </w:r>
          </w:p>
        </w:tc>
        <w:tc>
          <w:tcPr>
            <w:tcW w:type="dxa" w:w="793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未回复则二次触达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7 天</w:t>
            </w:r>
          </w:p>
        </w:tc>
        <w:tc>
          <w:tcPr>
            <w:tcW w:type="dxa" w:w="793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转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dropped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并记录原因（原因是最有价值的复盘素材）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5.3 留资字段的用法（这是我们的信息优势）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00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字段</w:t>
            </w:r>
          </w:p>
        </w:tc>
        <w:tc>
          <w:tcPr>
            <w:tcW w:type="dxa" w:w="806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顾问怎么用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省 · 市</w:t>
            </w:r>
          </w:p>
        </w:tc>
        <w:tc>
          <w:tcPr>
            <w:tcW w:type="dxa" w:w="80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判断适用当地的社保/公积金口径（计算页按全国口径，差异由顾问核对）—— 也是分派依据（按省收敛比按市翻页快）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场景（scene）</w:t>
            </w:r>
          </w:p>
        </w:tc>
        <w:tc>
          <w:tcPr>
            <w:tcW w:type="dxa" w:w="80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经营所得 / 汇算清缴 / 预算表 → 决定开场话术与推荐服务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来源（source）</w:t>
            </w:r>
          </w:p>
        </w:tc>
        <w:tc>
          <w:tcPr>
            <w:tcW w:type="dxa" w:w="8063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result_business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result_settlement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result_budget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profile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home_banner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modal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share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→ 用于渠道 ROI 复盘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备注</w:t>
            </w:r>
          </w:p>
        </w:tc>
        <w:tc>
          <w:tcPr>
            <w:tcW w:type="dxa" w:w="806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用户自述需求，优先读这一栏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5.4 合规红线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全程禁用"避税 / 节税 / 税筹"等表述，统一用"申报核对 / 汇算清缴代办"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留资含收入相关敏感信息：提交时已做显式同意与留痕，</w:t>
      </w:r>
      <w:r>
        <w:rPr>
          <w:rFonts w:ascii="Segoe UI" w:hAnsi="Segoe UI" w:eastAsia="微软雅黑"/>
          <w:b/>
          <w:i w:val="0"/>
          <w:sz w:val="21"/>
        </w:rPr>
        <w:t>不得用于服务跟进之外的用途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不做申报承诺，不做结果保证；服务交付按公司既有合规流程执行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6. 待办登记（跨周跟踪）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84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#</w:t>
            </w:r>
          </w:p>
        </w:tc>
        <w:tc>
          <w:tcPr>
            <w:tcW w:type="dxa" w:w="347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待办</w:t>
            </w:r>
          </w:p>
        </w:tc>
        <w:tc>
          <w:tcPr>
            <w:tcW w:type="dxa" w:w="84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优先级</w:t>
            </w:r>
          </w:p>
        </w:tc>
        <w:tc>
          <w:tcPr>
            <w:tcW w:type="dxa" w:w="84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状态</w:t>
            </w:r>
          </w:p>
        </w:tc>
        <w:tc>
          <w:tcPr>
            <w:tcW w:type="dxa" w:w="841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负责</w:t>
            </w:r>
          </w:p>
        </w:tc>
        <w:tc>
          <w:tcPr>
            <w:tcW w:type="dxa" w:w="223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1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配置企业微信「联系我」活码（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window.LEAD_CONFIG.wecomQrUrl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P0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冷启动开跑唯一功能性缺口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 xml:space="preserve">注册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.com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.cn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>（公司名下）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P0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买完等 3 自然日才能提交备案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提交 ICP 备案（企业主体 · 有限责任公司）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P0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排队 3–5 周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顾问值班表 + 响应时限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P0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≤2 小时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顾问实名背书（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advisorName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advisorTitle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>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无真实信息则不显示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6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成交金额人工台账（日期 / 线索ID / 省市 / 场景 / 成交额 / source）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系统暂无金额字段，先用 Excel 跑 90 天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7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 xml:space="preserve">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/seo/social-base.html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>（社保基数）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复用城市社保参数库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8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 xml:space="preserve">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5"/>
              </w:rPr>
              <w:t>/seo/net-salary.html</w:t>
            </w:r>
            <w:r>
              <w:rPr>
                <w:rFonts w:ascii="Segoe UI" w:hAnsi="Segoe UI" w:eastAsia="微软雅黑"/>
                <w:b w:val="0"/>
                <w:i w:val="0"/>
                <w:sz w:val="16"/>
              </w:rPr>
              <w:t>（税后工资）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P1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收编阶段14 遗留待办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9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评估是否放开邀请码（改为限流替代）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P2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冷启动 2 周后按注册转化数据决定</w:t>
            </w:r>
          </w:p>
        </w:tc>
      </w:tr>
      <w:tr>
        <w:trPr>
          <w:cantSplit/>
        </w:trPr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4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专业版用户标记为高优线索（顾问优先跟进）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P2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未开始</w:t>
            </w:r>
          </w:p>
        </w:tc>
        <w:tc>
          <w:tcPr>
            <w:tcW w:type="dxa" w:w="841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待定</w:t>
            </w:r>
          </w:p>
        </w:tc>
        <w:tc>
          <w:tcPr>
            <w:tcW w:type="dxa" w:w="223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付费意愿已被验证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7. 单位经济学实测口径（用来替换企划书里的假设）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7.1 计算链</w:t>
      </w:r>
    </w:p>
    <w:p>
      <w:pPr>
        <w:shd w:val="clear" w:color="auto" w:fill="F2F2F2"/>
        <w:spacing w:before="8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月访问量          ← 待接入统计（当前只有计算与线索侧数据）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× visit→calc_done 率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= calc_done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× lead_click 率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= lead_click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× click→submit 率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= 留资数（lead_submit）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× 有效线索率（不含误触/学生/无关咨询）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= 有效线索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× 成交率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= 成交单数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× 客单价</w:t>
      </w:r>
    </w:p>
    <w:p>
      <w:pPr>
        <w:shd w:val="clear" w:color="auto" w:fill="F2F2F2"/>
        <w:spacing w:before="0" w:after="10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= 月收入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7.2 待填字段（前 30 天积累，30 天后回填企划书）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70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字段</w:t>
            </w:r>
          </w:p>
        </w:tc>
        <w:tc>
          <w:tcPr>
            <w:tcW w:type="dxa" w:w="97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当前</w:t>
            </w:r>
          </w:p>
        </w:tc>
        <w:tc>
          <w:tcPr>
            <w:tcW w:type="dxa" w:w="502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数据来源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月访问量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无（未推广）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需补一个访问统计（可与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visit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漏斗事件对齐）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visit → calc_done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待测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/api/admin/leads/funnel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calc_done → lead_click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待测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同上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lead_click → lead_submit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待测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同上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有效线索率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待测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管理台线索状态机（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qualified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总数）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成交率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待测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converted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有效线索</w:t>
            </w:r>
          </w:p>
        </w:tc>
      </w:tr>
      <w:tr>
        <w:trPr>
          <w:cantSplit/>
        </w:trPr>
        <w:tc>
          <w:tcPr>
            <w:tcW w:type="dxa" w:w="307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客单价</w:t>
            </w:r>
          </w:p>
        </w:tc>
        <w:tc>
          <w:tcPr>
            <w:tcW w:type="dxa" w:w="97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待测</w:t>
            </w:r>
          </w:p>
        </w:tc>
        <w:tc>
          <w:tcPr>
            <w:tcW w:type="dxa" w:w="502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人工台账（§6 第 6 项）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7.3 校准节奏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/>
          <w:i w:val="0"/>
          <w:sz w:val="21"/>
        </w:rPr>
        <w:t>第 30 天</w:t>
      </w:r>
      <w:r>
        <w:rPr>
          <w:rFonts w:ascii="Segoe UI" w:hAnsi="Segoe UI" w:eastAsia="微软雅黑"/>
          <w:b w:val="0"/>
          <w:i w:val="0"/>
          <w:sz w:val="21"/>
        </w:rPr>
        <w:t>：首次回填，替换企划书第八章的假设值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/>
          <w:i w:val="0"/>
          <w:sz w:val="21"/>
        </w:rPr>
        <w:t>第 90 天</w:t>
      </w:r>
      <w:r>
        <w:rPr>
          <w:rFonts w:ascii="Segoe UI" w:hAnsi="Segoe UI" w:eastAsia="微软雅黑"/>
          <w:b w:val="0"/>
          <w:i w:val="0"/>
          <w:sz w:val="21"/>
        </w:rPr>
        <w:t>：判断"服务成交"这条主线是否成立 —— 若成交率为 0，问题通常在</w:t>
      </w:r>
      <w:r>
        <w:rPr>
          <w:rFonts w:ascii="Segoe UI" w:hAnsi="Segoe UI" w:eastAsia="微软雅黑"/>
          <w:b/>
          <w:i w:val="0"/>
          <w:sz w:val="21"/>
        </w:rPr>
        <w:t>线索质量或顾问承接</w:t>
      </w:r>
      <w:r>
        <w:rPr>
          <w:rFonts w:ascii="Segoe UI" w:hAnsi="Segoe UI" w:eastAsia="微软雅黑"/>
          <w:b w:val="0"/>
          <w:i w:val="0"/>
          <w:sz w:val="21"/>
        </w:rPr>
        <w:t>，不是流量不够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/>
          <w:i w:val="0"/>
          <w:sz w:val="21"/>
        </w:rPr>
        <w:t>口径纪律</w:t>
      </w:r>
      <w:r>
        <w:rPr>
          <w:rFonts w:ascii="Segoe UI" w:hAnsi="Segoe UI" w:eastAsia="微软雅黑"/>
          <w:b w:val="0"/>
          <w:i w:val="0"/>
          <w:sz w:val="21"/>
        </w:rPr>
        <w:t>：所有对外引用的数字必须来自实跑/实测，不得用"基线 + 新增"推算（项目已有此教训）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8. 与开发阶段的并行关系（弹药节奏）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490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开发阶段</w:t>
            </w:r>
          </w:p>
        </w:tc>
        <w:tc>
          <w:tcPr>
            <w:tcW w:type="dxa" w:w="286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商业角色</w:t>
            </w:r>
          </w:p>
        </w:tc>
        <w:tc>
          <w:tcPr>
            <w:tcW w:type="dxa" w:w="129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何时做</w:t>
            </w:r>
          </w:p>
        </w:tc>
      </w:tr>
      <w:tr>
        <w:trPr>
          <w:cantSplit/>
        </w:trPr>
        <w:tc>
          <w:tcPr>
            <w:tcW w:type="dxa" w:w="49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阶段15A 个税纵深（劳务报酬/股权激励/离职补偿…）</w:t>
            </w:r>
          </w:p>
        </w:tc>
        <w:tc>
          <w:tcPr>
            <w:tcW w:type="dxa" w:w="28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获客弹药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（每个税种一批关键词）</w:t>
            </w:r>
          </w:p>
        </w:tc>
        <w:tc>
          <w:tcPr>
            <w:tcW w:type="dxa" w:w="12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W3 起，与运营并行</w:t>
            </w:r>
          </w:p>
        </w:tc>
      </w:tr>
      <w:tr>
        <w:trPr>
          <w:cantSplit/>
        </w:trPr>
        <w:tc>
          <w:tcPr>
            <w:tcW w:type="dxa" w:w="49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阶段15B 企业税种（增值税/企业所得税/附加税费/印花税）</w:t>
            </w:r>
          </w:p>
        </w:tc>
        <w:tc>
          <w:tcPr>
            <w:tcW w:type="dxa" w:w="28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弹药 + 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B 端 API 前置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（没有企业税种无货可卖）</w:t>
            </w:r>
          </w:p>
        </w:tc>
        <w:tc>
          <w:tcPr>
            <w:tcW w:type="dxa" w:w="12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15A 之后</w:t>
            </w:r>
          </w:p>
        </w:tc>
      </w:tr>
      <w:tr>
        <w:trPr>
          <w:cantSplit/>
        </w:trPr>
        <w:tc>
          <w:tcPr>
            <w:tcW w:type="dxa" w:w="49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阶段15C 社保/薪酬（社保基数 / 税后工资落地页）</w:t>
            </w:r>
          </w:p>
        </w:tc>
        <w:tc>
          <w:tcPr>
            <w:tcW w:type="dxa" w:w="28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收编阶段14 遗留待办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，3–5 天可交</w:t>
            </w:r>
          </w:p>
        </w:tc>
        <w:tc>
          <w:tcPr>
            <w:tcW w:type="dxa" w:w="12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W4 起</w:t>
            </w:r>
          </w:p>
        </w:tc>
      </w:tr>
      <w:tr>
        <w:trPr>
          <w:cantSplit/>
        </w:trPr>
        <w:tc>
          <w:tcPr>
            <w:tcW w:type="dxa" w:w="49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阶段15D 架构守护（税种注册表 / 多税种版本化 / 落地页矩阵）</w:t>
            </w:r>
          </w:p>
        </w:tc>
        <w:tc>
          <w:tcPr>
            <w:tcW w:type="dxa" w:w="28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让"一税种一页"可持续复制</w:t>
            </w:r>
          </w:p>
        </w:tc>
        <w:tc>
          <w:tcPr>
            <w:tcW w:type="dxa" w:w="12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横切</w:t>
            </w:r>
          </w:p>
        </w:tc>
      </w:tr>
      <w:tr>
        <w:trPr>
          <w:cantSplit/>
        </w:trPr>
        <w:tc>
          <w:tcPr>
            <w:tcW w:type="dxa" w:w="49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阶段16A/16B/16C（境内节点 / 官方支付 / 微信小程序）</w:t>
            </w:r>
          </w:p>
        </w:tc>
        <w:tc>
          <w:tcPr>
            <w:tcW w:type="dxa" w:w="28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解锁收款与扩面</w:t>
            </w:r>
          </w:p>
        </w:tc>
        <w:tc>
          <w:tcPr>
            <w:tcW w:type="dxa" w:w="12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备案通过后</w:t>
            </w:r>
          </w:p>
        </w:tc>
      </w:tr>
      <w:tr>
        <w:trPr>
          <w:cantSplit/>
        </w:trPr>
        <w:tc>
          <w:tcPr>
            <w:tcW w:type="dxa" w:w="49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阶段16D B 端 API</w:t>
            </w:r>
          </w:p>
        </w:tc>
        <w:tc>
          <w:tcPr>
            <w:tcW w:type="dxa" w:w="28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第二增长曲线</w:t>
            </w:r>
          </w:p>
        </w:tc>
        <w:tc>
          <w:tcPr>
            <w:tcW w:type="dxa" w:w="12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15B + 备案之后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一句话</w:t>
      </w:r>
      <w:r>
        <w:rPr>
          <w:rFonts w:ascii="Segoe UI" w:hAnsi="Segoe UI" w:eastAsia="微软雅黑"/>
          <w:b w:val="0"/>
          <w:i w:val="0"/>
          <w:sz w:val="21"/>
        </w:rPr>
        <w:t>：阶段15 的商业本质不是"功能更多"，而是</w:t>
      </w:r>
      <w:r>
        <w:rPr>
          <w:rFonts w:ascii="Segoe UI" w:hAnsi="Segoe UI" w:eastAsia="微软雅黑"/>
          <w:b/>
          <w:i w:val="0"/>
          <w:sz w:val="21"/>
        </w:rPr>
        <w:t>买关键词 + 铺 B 端货架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9. 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85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日期</w:t>
            </w:r>
          </w:p>
        </w:tc>
        <w:tc>
          <w:tcPr>
            <w:tcW w:type="dxa" w:w="85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版本</w:t>
            </w:r>
          </w:p>
        </w:tc>
        <w:tc>
          <w:tcPr>
            <w:tcW w:type="dxa" w:w="736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变更</w:t>
            </w:r>
          </w:p>
        </w:tc>
      </w:tr>
      <w:tr>
        <w:trPr>
          <w:cantSplit/>
        </w:trPr>
        <w:tc>
          <w:tcPr>
            <w:tcW w:type="dxa" w:w="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2026-09-14</w:t>
            </w:r>
          </w:p>
        </w:tc>
        <w:tc>
          <w:tcPr>
            <w:tcW w:type="dxa" w:w="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3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首次发布。建立 Go/No-Go 检查表（P0 活码/域名/备案/值班）、第 0 周逐日点火清单、90 天周节奏、指标看板（北极星 + 五步漏斗 + 每日观察命令 + 每周复盘三问）、线索跟进 SOP（状态机/时限/字段用法/合规红线）、10 项跨周待办登记、单位经济学实测口径（待 30 天回填）、阶段15/16 与运营的并行关系</w:t>
            </w:r>
          </w:p>
        </w:tc>
      </w:tr>
      <w:tr>
        <w:trPr>
          <w:cantSplit/>
        </w:trPr>
        <w:tc>
          <w:tcPr>
            <w:tcW w:type="dxa" w:w="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2026-09-14</w:t>
            </w:r>
          </w:p>
        </w:tc>
        <w:tc>
          <w:tcPr>
            <w:tcW w:type="dxa" w:w="8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1.0.1</w:t>
            </w:r>
          </w:p>
        </w:tc>
        <w:tc>
          <w:tcPr>
            <w:tcW w:type="dxa" w:w="73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登记 Word 发送版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gtm-execution-plan.docx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（由本文件经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tools/ops/ops-md2docx.py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导出，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本文件为真源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）；"文档分工"块标记为导出时剔除（只在仓库里看，不进 Word）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808080"/>
        <w:sz w:val="17"/>
      </w:rPr>
      <w:t xml:space="preserve">第 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begin"/>
    </w:r>
    <w:r>
      <w:rPr>
        <w:rFonts w:ascii="Segoe UI" w:hAnsi="Segoe UI" w:eastAsia="微软雅黑"/>
        <w:b w:val="0"/>
        <w:i w:val="0"/>
        <w:color w:val="808080"/>
        <w:sz w:val="17"/>
      </w:rPr>
      <w:instrText xml:space="preserve"> PAGE </w:instrTex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separate"/>
    </w:r>
    <w:r>
      <w:rPr>
        <w:rFonts w:ascii="Segoe UI" w:hAnsi="Segoe UI" w:eastAsia="微软雅黑"/>
        <w:b w:val="0"/>
        <w:i w:val="0"/>
        <w:color w:val="808080"/>
        <w:sz w:val="17"/>
      </w:rPr>
      <w:t>1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end"/>
    </w:r>
    <w:r>
      <w:rPr>
        <w:rFonts w:ascii="Segoe UI" w:hAnsi="Segoe UI" w:eastAsia="微软雅黑"/>
        <w:b w:val="0"/>
        <w:i w:val="0"/>
        <w:color w:val="808080"/>
        <w:sz w:val="17"/>
      </w:rPr>
      <w:t xml:space="preserve"> 页 / 共 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begin"/>
    </w:r>
    <w:r>
      <w:rPr>
        <w:rFonts w:ascii="Segoe UI" w:hAnsi="Segoe UI" w:eastAsia="微软雅黑"/>
        <w:b w:val="0"/>
        <w:i w:val="0"/>
        <w:color w:val="808080"/>
        <w:sz w:val="17"/>
      </w:rPr>
      <w:instrText xml:space="preserve"> NUMPAGES </w:instrTex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separate"/>
    </w:r>
    <w:r>
      <w:rPr>
        <w:rFonts w:ascii="Segoe UI" w:hAnsi="Segoe UI" w:eastAsia="微软雅黑"/>
        <w:b w:val="0"/>
        <w:i w:val="0"/>
        <w:color w:val="808080"/>
        <w:sz w:val="17"/>
      </w:rPr>
      <w:t>1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end"/>
    </w:r>
    <w:r>
      <w:rPr>
        <w:rFonts w:ascii="Segoe UI" w:hAnsi="Segoe UI" w:eastAsia="微软雅黑"/>
        <w:b w:val="0"/>
        <w:i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微软雅黑"/>
        <w:b w:val="0"/>
        <w:i w:val="0"/>
        <w:color w:val="A6A6A6"/>
        <w:sz w:val="16"/>
      </w:rPr>
      <w:t>EuriskoTax 商业模式落地执行手册（内部 · 90 天）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86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