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64F0B" w14:textId="77777777" w:rsidR="00503C6D" w:rsidRPr="00EA7AF6" w:rsidRDefault="00503C6D" w:rsidP="00503C6D">
      <w:pPr>
        <w:spacing w:after="0" w:line="360" w:lineRule="auto"/>
        <w:rPr>
          <w:rFonts w:ascii="Times New Roman" w:eastAsia="Times New Roman" w:hAnsi="Times New Roman" w:cs="Times New Roman"/>
          <w:sz w:val="24"/>
          <w:szCs w:val="24"/>
        </w:rPr>
      </w:pPr>
      <w:bookmarkStart w:id="0" w:name="_Hlk208257908"/>
      <w:r>
        <w:rPr>
          <w:rFonts w:ascii="Times New Roman" w:hAnsi="Times New Roman" w:cs="Times New Roman"/>
          <w:noProof/>
          <w:sz w:val="24"/>
          <w:szCs w:val="24"/>
        </w:rPr>
        <w:drawing>
          <wp:anchor distT="0" distB="0" distL="0" distR="0" simplePos="0" relativeHeight="251659264" behindDoc="1" locked="0" layoutInCell="1" hidden="0" allowOverlap="1" wp14:anchorId="60D1DA2B" wp14:editId="6DAB9AAE">
            <wp:simplePos x="0" y="0"/>
            <wp:positionH relativeFrom="margin">
              <wp:align>center</wp:align>
            </wp:positionH>
            <wp:positionV relativeFrom="paragraph">
              <wp:posOffset>52</wp:posOffset>
            </wp:positionV>
            <wp:extent cx="1877291" cy="1357745"/>
            <wp:effectExtent l="0" t="0" r="8890" b="0"/>
            <wp:wrapNone/>
            <wp:docPr id="184376079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877291" cy="135774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br/>
        <w:br/>
        <w:br/>
      </w:r>
    </w:p>
    <w:p w14:paraId="0A334772" w14:textId="77777777" w:rsidR="00503C6D" w:rsidRPr="00EA7AF6" w:rsidRDefault="00503C6D" w:rsidP="00503C6D">
      <w:pPr>
        <w:spacing w:after="0" w:line="360" w:lineRule="auto"/>
        <w:rPr>
          <w:rFonts w:ascii="Times New Roman" w:eastAsia="Times New Roman" w:hAnsi="Times New Roman" w:cs="Times New Roman"/>
          <w:b/>
          <w:sz w:val="24"/>
          <w:szCs w:val="24"/>
        </w:rPr>
      </w:pPr>
    </w:p>
    <w:p w14:paraId="6C4889D9" w14:textId="77777777" w:rsidR="00503C6D" w:rsidRPr="00EA7AF6" w:rsidRDefault="00503C6D" w:rsidP="00503C6D">
      <w:pPr>
        <w:spacing w:after="0" w:line="360" w:lineRule="auto"/>
        <w:jc w:val="center"/>
        <w:rPr>
          <w:rFonts w:ascii="Times New Roman" w:eastAsia="Times New Roman" w:hAnsi="Times New Roman" w:cs="Times New Roman"/>
          <w:b/>
          <w:sz w:val="24"/>
          <w:szCs w:val="24"/>
        </w:rPr>
      </w:pPr>
    </w:p>
    <w:p w14:paraId="35DD34D5" w14:textId="77777777" w:rsidR="00503C6D" w:rsidRPr="00D27E85" w:rsidRDefault="00503C6D" w:rsidP="00503C6D">
      <w:pPr>
        <w:spacing w:after="0" w:line="360" w:lineRule="auto"/>
        <w:jc w:val="center"/>
        <w:rPr>
          <w:rFonts w:ascii="Arial" w:eastAsia="Times New Roman" w:hAnsi="Arial" w:cs="Arial"/>
          <w:sz w:val="24"/>
          <w:szCs w:val="24"/>
        </w:rPr>
      </w:pPr>
      <w:r>
        <w:rPr>
          <w:rFonts w:ascii="Arial" w:eastAsia="Times New Roman" w:hAnsi="Arial" w:cs="Arial"/>
          <w:b/>
          <w:sz w:val="24"/>
          <w:szCs w:val="24"/>
        </w:rPr>
        <w:t xml:space="preserve">Universidad Católica Nuestra Señora de la Asunción </w:t>
      </w:r>
    </w:p>
    <w:p w14:paraId="0240918B" w14:textId="77777777" w:rsidR="00503C6D" w:rsidRPr="00D27E85" w:rsidRDefault="00503C6D" w:rsidP="00503C6D">
      <w:pPr>
        <w:spacing w:after="0" w:line="360" w:lineRule="auto"/>
        <w:jc w:val="center"/>
        <w:rPr>
          <w:rFonts w:ascii="Arial" w:eastAsia="Times New Roman" w:hAnsi="Arial" w:cs="Arial"/>
          <w:b/>
          <w:sz w:val="24"/>
          <w:szCs w:val="24"/>
        </w:rPr>
      </w:pPr>
      <w:r>
        <w:rPr>
          <w:rFonts w:ascii="Arial" w:eastAsia="Times New Roman" w:hAnsi="Arial" w:cs="Arial"/>
          <w:b/>
          <w:sz w:val="24"/>
          <w:szCs w:val="24"/>
        </w:rPr>
        <w:t>Facultad de Ciencias Contables, Administrativas y Económicas</w:t>
      </w:r>
    </w:p>
    <w:p w14:paraId="33E42ECB" w14:textId="77777777" w:rsidR="00DF3903" w:rsidRPr="00D27E85" w:rsidRDefault="00DF3903" w:rsidP="00DF3903">
      <w:pPr>
        <w:spacing w:after="600"/>
        <w:jc w:val="center"/>
        <w:rPr>
          <w:rFonts w:ascii="Arial" w:hAnsi="Arial" w:cs="Arial"/>
        </w:rPr>
      </w:pPr>
      <w:r>
        <w:rPr>
          <w:rFonts w:ascii="Arial" w:hAnsi="Arial" w:cs="Arial"/>
          <w:b/>
          <w:bCs/>
          <w:sz w:val="24"/>
          <w:szCs w:val="24"/>
        </w:rPr>
        <w:t>TRABAJO FINAL DE GRADO</w:t>
      </w:r>
    </w:p>
    <w:p w14:paraId="53E403C0" w14:textId="77777777" w:rsidR="00DF3903" w:rsidRPr="00D27E85" w:rsidRDefault="00DF3903" w:rsidP="00DF3903">
      <w:pPr>
        <w:spacing w:before="400" w:after="400"/>
        <w:jc w:val="center"/>
        <w:rPr>
          <w:rFonts w:ascii="Arial" w:hAnsi="Arial" w:cs="Arial"/>
        </w:rPr>
      </w:pPr>
      <w:r>
        <w:rPr>
          <w:rFonts w:ascii="Arial" w:hAnsi="Arial" w:cs="Arial"/>
          <w:b/>
          <w:bCs/>
          <w:sz w:val="28"/>
          <w:szCs w:val="28"/>
        </w:rPr>
        <w:t>Recomposición de la Prima de Riesgo en el Diferencial de Retornos entre Certificados de Depósito en Guaraníes y Dólares tras la Adopción de Metas de Inflación: Sistema Bancario Paraguayo, 2004–2024</w:t>
      </w:r>
    </w:p>
    <w:p w14:paraId="531C6F1F" w14:textId="77777777" w:rsidR="00503C6D" w:rsidRPr="00D27E85" w:rsidRDefault="00503C6D" w:rsidP="00503C6D">
      <w:pPr>
        <w:spacing w:after="0" w:line="360" w:lineRule="auto"/>
        <w:rPr>
          <w:rFonts w:ascii="Arial" w:eastAsia="Times New Roman" w:hAnsi="Arial" w:cs="Arial"/>
          <w:sz w:val="24"/>
          <w:szCs w:val="24"/>
        </w:rPr>
      </w:pPr>
    </w:p>
    <w:p w14:paraId="04DFEB48" w14:textId="77777777" w:rsidR="00503C6D" w:rsidRPr="00D27E85" w:rsidRDefault="00503C6D" w:rsidP="00503C6D">
      <w:pPr>
        <w:spacing w:after="0" w:line="360" w:lineRule="auto"/>
        <w:rPr>
          <w:rFonts w:ascii="Arial" w:eastAsia="Times New Roman" w:hAnsi="Arial" w:cs="Arial"/>
          <w:sz w:val="24"/>
          <w:szCs w:val="24"/>
        </w:rPr>
      </w:pPr>
    </w:p>
    <w:p w14:paraId="1D51D5AB" w14:textId="54250858" w:rsidR="00503C6D" w:rsidRPr="00D27E85" w:rsidRDefault="00503C6D" w:rsidP="00503C6D">
      <w:pPr>
        <w:spacing w:after="0" w:line="360" w:lineRule="auto"/>
        <w:jc w:val="center"/>
        <w:rPr>
          <w:rFonts w:ascii="Arial" w:eastAsia="Times New Roman" w:hAnsi="Arial" w:cs="Arial"/>
          <w:b/>
          <w:sz w:val="24"/>
          <w:szCs w:val="24"/>
        </w:rPr>
      </w:pPr>
      <w:r>
        <w:rPr>
          <w:rFonts w:ascii="Arial" w:eastAsia="Times New Roman" w:hAnsi="Arial" w:cs="Arial"/>
          <w:b/>
          <w:sz w:val="24"/>
          <w:szCs w:val="24"/>
        </w:rPr>
        <w:t>Alumnos:</w:t>
        <w:br/>
        <w:t xml:space="preserve"> Laviero Scavone </w:t>
      </w:r>
    </w:p>
    <w:p w14:paraId="677EB08C" w14:textId="385A828A" w:rsidR="00503C6D" w:rsidRPr="00D27E85" w:rsidRDefault="00503C6D" w:rsidP="00503C6D">
      <w:pPr>
        <w:spacing w:after="0" w:line="360" w:lineRule="auto"/>
        <w:jc w:val="center"/>
        <w:rPr>
          <w:rFonts w:ascii="Arial" w:eastAsia="Times New Roman" w:hAnsi="Arial" w:cs="Arial"/>
          <w:b/>
          <w:sz w:val="24"/>
          <w:szCs w:val="24"/>
        </w:rPr>
      </w:pPr>
      <w:r>
        <w:rPr>
          <w:rFonts w:ascii="Arial" w:eastAsia="Times New Roman" w:hAnsi="Arial" w:cs="Arial"/>
          <w:b/>
          <w:sz w:val="24"/>
          <w:szCs w:val="24"/>
        </w:rPr>
        <w:t>Matías Fernández</w:t>
        <w:br/>
      </w:r>
    </w:p>
    <w:p w14:paraId="0247EA3E" w14:textId="77777777" w:rsidR="00503C6D" w:rsidRPr="00D27E85" w:rsidRDefault="00503C6D" w:rsidP="00503C6D">
      <w:pPr>
        <w:spacing w:after="0" w:line="360" w:lineRule="auto"/>
        <w:jc w:val="center"/>
        <w:rPr>
          <w:rFonts w:ascii="Arial" w:eastAsia="Times New Roman" w:hAnsi="Arial" w:cs="Arial"/>
          <w:b/>
          <w:sz w:val="24"/>
          <w:szCs w:val="24"/>
        </w:rPr>
      </w:pPr>
    </w:p>
    <w:p w14:paraId="1BF1F7E9" w14:textId="77777777" w:rsidR="00503C6D" w:rsidRPr="00D27E85" w:rsidRDefault="00503C6D" w:rsidP="00503C6D">
      <w:pPr>
        <w:spacing w:after="0" w:line="360" w:lineRule="auto"/>
        <w:jc w:val="center"/>
        <w:rPr>
          <w:rFonts w:ascii="Arial" w:eastAsia="Times New Roman" w:hAnsi="Arial" w:cs="Arial"/>
          <w:b/>
          <w:sz w:val="24"/>
          <w:szCs w:val="24"/>
        </w:rPr>
      </w:pPr>
    </w:p>
    <w:p w14:paraId="2CC05FA5" w14:textId="5D7C8970" w:rsidR="00503C6D" w:rsidRPr="00D27E85" w:rsidRDefault="00DF3903" w:rsidP="00DF3903">
      <w:pPr>
        <w:spacing w:after="40"/>
        <w:jc w:val="center"/>
        <w:rPr>
          <w:rFonts w:ascii="Arial" w:hAnsi="Arial" w:cs="Arial"/>
        </w:rPr>
      </w:pPr>
      <w:r>
        <w:rPr>
          <w:rFonts w:ascii="Arial" w:eastAsia="Times New Roman" w:hAnsi="Arial" w:cs="Arial"/>
          <w:b/>
          <w:sz w:val="24"/>
          <w:szCs w:val="24"/>
        </w:rPr>
        <w:t xml:space="preserve">Tutor: </w:t>
      </w:r>
      <w:r>
        <w:rPr>
          <w:rFonts w:ascii="Arial" w:hAnsi="Arial" w:cs="Arial"/>
          <w:sz w:val="24"/>
          <w:szCs w:val="24"/>
        </w:rPr>
        <w:t>Prof. Marcelo Wagner</w:t>
      </w:r>
    </w:p>
    <w:p w14:paraId="6B21F7AF" w14:textId="77777777" w:rsidR="00503C6D" w:rsidRPr="00D27E85" w:rsidRDefault="00503C6D" w:rsidP="00503C6D">
      <w:pPr>
        <w:spacing w:after="0" w:line="360" w:lineRule="auto"/>
        <w:rPr>
          <w:rFonts w:ascii="Arial" w:eastAsia="Times New Roman" w:hAnsi="Arial" w:cs="Arial"/>
          <w:sz w:val="24"/>
          <w:szCs w:val="24"/>
        </w:rPr>
      </w:pPr>
    </w:p>
    <w:p w14:paraId="6B58E6A4" w14:textId="77777777" w:rsidR="00DF3903" w:rsidRPr="00D27E85" w:rsidRDefault="00DF3903" w:rsidP="00503C6D">
      <w:pPr>
        <w:spacing w:after="0" w:line="360" w:lineRule="auto"/>
        <w:rPr>
          <w:rFonts w:ascii="Arial" w:eastAsia="Times New Roman" w:hAnsi="Arial" w:cs="Arial"/>
          <w:sz w:val="24"/>
          <w:szCs w:val="24"/>
        </w:rPr>
      </w:pPr>
    </w:p>
    <w:p w14:paraId="1127DE00" w14:textId="77777777" w:rsidR="00503C6D" w:rsidRPr="00D27E85" w:rsidRDefault="00503C6D" w:rsidP="00503C6D">
      <w:pPr>
        <w:spacing w:after="0" w:line="360" w:lineRule="auto"/>
        <w:rPr>
          <w:rFonts w:ascii="Arial" w:eastAsia="Times New Roman" w:hAnsi="Arial" w:cs="Arial"/>
          <w:b/>
          <w:bCs/>
          <w:sz w:val="24"/>
          <w:szCs w:val="24"/>
        </w:rPr>
      </w:pPr>
    </w:p>
    <w:p w14:paraId="6A682246" w14:textId="77777777" w:rsidR="002C66E2" w:rsidRPr="00D27E85" w:rsidRDefault="00503C6D" w:rsidP="00503C6D">
      <w:pPr>
        <w:spacing w:after="0" w:line="360" w:lineRule="auto"/>
        <w:jc w:val="center"/>
        <w:rPr>
          <w:rFonts w:ascii="Arial" w:eastAsia="Times New Roman" w:hAnsi="Arial" w:cs="Arial"/>
          <w:b/>
          <w:bCs/>
          <w:sz w:val="24"/>
          <w:szCs w:val="24"/>
        </w:rPr>
      </w:pPr>
      <w:r>
        <w:rPr>
          <w:rFonts w:ascii="Arial" w:eastAsia="Times New Roman" w:hAnsi="Arial" w:cs="Arial"/>
          <w:b/>
          <w:bCs/>
          <w:sz w:val="24"/>
          <w:szCs w:val="24"/>
        </w:rPr>
        <w:t>Asunción, Paraguay</w:t>
      </w:r>
    </w:p>
    <w:p w14:paraId="69A63F07" w14:textId="7C0EEC8A" w:rsidR="00375663" w:rsidRPr="00D27E85" w:rsidRDefault="00503C6D" w:rsidP="00375663">
      <w:pPr>
        <w:spacing w:after="0" w:line="360" w:lineRule="auto"/>
        <w:jc w:val="center"/>
        <w:rPr>
          <w:rFonts w:ascii="Arial" w:eastAsia="Times New Roman" w:hAnsi="Arial" w:cs="Arial"/>
          <w:b/>
          <w:bCs/>
          <w:sz w:val="24"/>
          <w:szCs w:val="24"/>
        </w:rPr>
        <w:sectPr w:rsidR="00375663" w:rsidRPr="00D27E8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pPr>
      <w:r>
        <w:rPr>
          <w:rFonts w:ascii="Arial" w:eastAsia="Times New Roman" w:hAnsi="Arial" w:cs="Arial"/>
          <w:b/>
          <w:bCs/>
          <w:sz w:val="24"/>
          <w:szCs w:val="24"/>
        </w:rPr>
        <w:br/>
        <w:t>Año 2025</w:t>
      </w:r>
      <w:bookmarkEnd w:id="0"/>
    </w:p>
    <w:p w14:paraId="2DD2FE5D" w14:textId="77777777" w:rsidR="00375663" w:rsidRPr="00D27E85" w:rsidRDefault="00375663" w:rsidP="007B7381">
      <w:pPr>
        <w:spacing w:after="0" w:line="360" w:lineRule="auto"/>
        <w:jc w:val="both"/>
        <w:rPr>
          <w:rFonts w:ascii="Arial" w:eastAsia="Times New Roman" w:hAnsi="Arial" w:cs="Arial"/>
          <w:sz w:val="24"/>
          <w:szCs w:val="24"/>
        </w:rPr>
        <w:sectPr w:rsidR="00375663" w:rsidRPr="00D27E85" w:rsidSect="00375663">
          <w:type w:val="continuous"/>
          <w:pgSz w:w="12240" w:h="15840"/>
          <w:pgMar w:top="1440" w:right="1440" w:bottom="1440" w:left="1440" w:header="708" w:footer="708" w:gutter="0"/>
          <w:cols w:space="708"/>
          <w:docGrid w:linePitch="360"/>
        </w:sectPr>
      </w:pPr>
    </w:p>
    <w:p w14:paraId="4E7BB6EC" w14:textId="77777777" w:rsidR="00DF3903" w:rsidRPr="00DF3903" w:rsidRDefault="00DF3903" w:rsidP="00DF3903">
      <w:pPr>
        <w:spacing w:line="240" w:lineRule="auto"/>
        <w:rPr>
          <w:rFonts w:ascii="Arial" w:eastAsia="Arial" w:hAnsi="Arial" w:cs="Arial"/>
          <w:lang w:val="es-ES" w:eastAsia="es-ES"/>
        </w:rPr>
      </w:pPr>
      <w:r>
        <w:rPr>
          <w:rFonts w:ascii="Arial" w:eastAsia="Arial" w:hAnsi="Arial" w:cs="Arial"/>
          <w:b/>
          <w:bCs/>
          <w:sz w:val="32"/>
          <w:szCs w:val="32"/>
          <w:lang w:val="es-ES" w:eastAsia="es-ES"/>
        </w:rPr>
        <w:lastRenderedPageBreak/>
        <w:t>Índice</w:t>
      </w:r>
    </w:p>
    <w:sdt>
      <w:sdtPr>
        <w:rPr>
          <w:rFonts w:ascii="Arial" w:eastAsia="Arial" w:hAnsi="Arial" w:cs="Arial"/>
          <w:lang w:val="es-ES" w:eastAsia="es-ES"/>
        </w:rPr>
        <w:alias w:val="Tabla de Contenido"/>
        <w:id w:val="-1655061917"/>
      </w:sdtPr>
      <w:sdtContent>
        <w:p w14:paraId="7B256082" w14:textId="77777777" w:rsidR="00DF3903" w:rsidRPr="00DF3903" w:rsidRDefault="00DF3903" w:rsidP="00DF3903">
          <w:pPr>
            <w:tabs>
              <w:tab w:val="right" w:leader="dot" w:pos="8778"/>
            </w:tabs>
            <w:spacing w:after="100" w:line="240" w:lineRule="auto"/>
            <w:rPr>
              <w:rFonts w:asciiTheme="minorHAnsi" w:eastAsiaTheme="minorEastAsia" w:hAnsiTheme="minorHAnsi" w:cstheme="minorBidi"/>
              <w:noProof/>
              <w:color w:val="000000" w:themeColor="text1"/>
              <w:kern w:val="2"/>
              <w:sz w:val="24"/>
              <w:szCs w:val="24"/>
              <w:lang w:val="es-ES" w:eastAsia="es-ES"/>
              <w14:ligatures w14:val="standardContextual"/>
            </w:rPr>
          </w:pPr>
          <w:r>
            <w:rPr>
              <w:rFonts w:ascii="Arial" w:eastAsia="Arial" w:hAnsi="Arial" w:cs="Arial"/>
              <w:color w:val="000000" w:themeColor="text1"/>
              <w:lang w:val="es-ES" w:eastAsia="es-ES"/>
            </w:rPr>
            <w:fldChar w:fldCharType="begin"/>
            <w:instrText>TOC \h \o "1-3"</w:instrText>
            <w:fldChar w:fldCharType="separate"/>
          </w:r>
          <w:hyperlink w:anchor="_Toc233474049" w:history="1">
            <w:r>
              <w:rPr>
                <w:rFonts w:ascii="Arial" w:eastAsia="Arial" w:hAnsi="Arial" w:cs="Arial"/>
                <w:noProof/>
                <w:color w:val="000000" w:themeColor="text1"/>
                <w:lang w:val="es-ES" w:eastAsia="es-ES"/>
              </w:rPr>
              <w:t>1. Título de la Investigación</w:t>
              <w:tab/>
              <w:fldChar w:fldCharType="begin"/>
              <w:instrText xml:space="preserve"> PAGEREF _Toc233474049 \h </w:instrText>
              <w:fldChar w:fldCharType="separate"/>
              <w:t>1</w:t>
              <w:fldChar w:fldCharType="end"/>
            </w:r>
          </w:hyperlink>
        </w:p>
        <w:p w14:paraId="63F46731" w14:textId="77777777" w:rsidR="00DF3903" w:rsidRPr="00DF3903" w:rsidRDefault="00DF3903" w:rsidP="00DF3903">
          <w:pPr>
            <w:tabs>
              <w:tab w:val="right" w:leader="dot" w:pos="8778"/>
            </w:tabs>
            <w:spacing w:after="100" w:line="240" w:lineRule="auto"/>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50" w:history="1">
            <w:r>
              <w:rPr>
                <w:rFonts w:ascii="Arial" w:eastAsia="Arial" w:hAnsi="Arial" w:cs="Arial"/>
                <w:noProof/>
                <w:color w:val="000000" w:themeColor="text1"/>
                <w:lang w:val="es-ES" w:eastAsia="es-ES"/>
              </w:rPr>
              <w:t>2. Planteamiento del Problema</w:t>
              <w:tab/>
              <w:fldChar w:fldCharType="begin"/>
              <w:instrText xml:space="preserve"> PAGEREF _Toc233474050 \h </w:instrText>
              <w:fldChar w:fldCharType="separate"/>
              <w:t>1</w:t>
              <w:fldChar w:fldCharType="end"/>
            </w:r>
          </w:hyperlink>
        </w:p>
        <w:p w14:paraId="3227A854" w14:textId="77777777" w:rsidR="00DF3903" w:rsidRPr="00DF3903" w:rsidRDefault="00DF3903" w:rsidP="00DF3903">
          <w:pPr>
            <w:tabs>
              <w:tab w:val="right" w:leader="dot" w:pos="8778"/>
            </w:tabs>
            <w:spacing w:after="100" w:line="240" w:lineRule="auto"/>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51" w:history="1">
            <w:r>
              <w:rPr>
                <w:rFonts w:ascii="Arial" w:eastAsia="Arial" w:hAnsi="Arial" w:cs="Arial"/>
                <w:noProof/>
                <w:color w:val="000000" w:themeColor="text1"/>
                <w:lang w:val="es-ES" w:eastAsia="es-ES"/>
              </w:rPr>
              <w:t>3. Pregunta de Investigación</w:t>
              <w:tab/>
              <w:fldChar w:fldCharType="begin"/>
              <w:instrText xml:space="preserve"> PAGEREF _Toc233474051 \h </w:instrText>
              <w:fldChar w:fldCharType="separate"/>
              <w:t>3</w:t>
              <w:fldChar w:fldCharType="end"/>
            </w:r>
          </w:hyperlink>
        </w:p>
        <w:p w14:paraId="36717D13" w14:textId="77777777" w:rsidR="00DF3903" w:rsidRPr="00DF3903" w:rsidRDefault="00DF3903" w:rsidP="00DF3903">
          <w:pPr>
            <w:tabs>
              <w:tab w:val="right" w:leader="dot" w:pos="8778"/>
            </w:tabs>
            <w:spacing w:after="100" w:line="240" w:lineRule="auto"/>
            <w:ind w:left="22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52" w:history="1">
            <w:r>
              <w:rPr>
                <w:rFonts w:ascii="Arial" w:eastAsia="Arial" w:hAnsi="Arial" w:cs="Arial"/>
                <w:noProof/>
                <w:color w:val="000000" w:themeColor="text1"/>
                <w:lang w:val="es-ES" w:eastAsia="es-ES"/>
              </w:rPr>
              <w:t>Pregunta general</w:t>
              <w:tab/>
              <w:fldChar w:fldCharType="begin"/>
              <w:instrText xml:space="preserve"> PAGEREF _Toc233474052 \h </w:instrText>
              <w:fldChar w:fldCharType="separate"/>
              <w:t>3</w:t>
              <w:fldChar w:fldCharType="end"/>
            </w:r>
          </w:hyperlink>
        </w:p>
        <w:p w14:paraId="3AD82495" w14:textId="77777777" w:rsidR="00DF3903" w:rsidRPr="00DF3903" w:rsidRDefault="00DF3903" w:rsidP="00DF3903">
          <w:pPr>
            <w:tabs>
              <w:tab w:val="right" w:leader="dot" w:pos="8778"/>
            </w:tabs>
            <w:spacing w:after="100" w:line="240" w:lineRule="auto"/>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53" w:history="1">
            <w:r>
              <w:rPr>
                <w:rFonts w:ascii="Arial" w:eastAsia="Arial" w:hAnsi="Arial" w:cs="Arial"/>
                <w:noProof/>
                <w:color w:val="000000" w:themeColor="text1"/>
                <w:lang w:val="es-ES" w:eastAsia="es-ES"/>
              </w:rPr>
              <w:t>4. Justificación y Alcance de la Investigación</w:t>
              <w:tab/>
              <w:fldChar w:fldCharType="begin"/>
              <w:instrText xml:space="preserve"> PAGEREF _Toc233474053 \h </w:instrText>
              <w:fldChar w:fldCharType="separate"/>
              <w:t>3</w:t>
              <w:fldChar w:fldCharType="end"/>
            </w:r>
          </w:hyperlink>
        </w:p>
        <w:p w14:paraId="11004A70" w14:textId="77777777" w:rsidR="00DF3903" w:rsidRPr="00DF3903" w:rsidRDefault="00DF3903" w:rsidP="00DF3903">
          <w:pPr>
            <w:tabs>
              <w:tab w:val="right" w:leader="dot" w:pos="8778"/>
            </w:tabs>
            <w:spacing w:after="100" w:line="240" w:lineRule="auto"/>
            <w:ind w:left="22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54" w:history="1">
            <w:r>
              <w:rPr>
                <w:rFonts w:ascii="Arial" w:eastAsia="Arial" w:hAnsi="Arial" w:cs="Arial"/>
                <w:noProof/>
                <w:color w:val="000000" w:themeColor="text1"/>
                <w:lang w:val="es-ES" w:eastAsia="es-ES"/>
              </w:rPr>
              <w:t>Justificación</w:t>
              <w:tab/>
              <w:fldChar w:fldCharType="begin"/>
              <w:instrText xml:space="preserve"> PAGEREF _Toc233474054 \h </w:instrText>
              <w:fldChar w:fldCharType="separate"/>
              <w:t>3</w:t>
              <w:fldChar w:fldCharType="end"/>
            </w:r>
          </w:hyperlink>
        </w:p>
        <w:p w14:paraId="53346A27" w14:textId="77777777" w:rsidR="00DF3903" w:rsidRPr="00DF3903" w:rsidRDefault="00DF3903" w:rsidP="00DF3903">
          <w:pPr>
            <w:tabs>
              <w:tab w:val="right" w:leader="dot" w:pos="8778"/>
            </w:tabs>
            <w:spacing w:after="100" w:line="240" w:lineRule="auto"/>
            <w:ind w:left="22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55" w:history="1">
            <w:r>
              <w:rPr>
                <w:rFonts w:ascii="Arial" w:eastAsia="Arial" w:hAnsi="Arial" w:cs="Arial"/>
                <w:noProof/>
                <w:color w:val="000000" w:themeColor="text1"/>
                <w:lang w:val="es-ES" w:eastAsia="es-ES"/>
              </w:rPr>
              <w:t>Alcance</w:t>
              <w:tab/>
              <w:fldChar w:fldCharType="begin"/>
              <w:instrText xml:space="preserve"> PAGEREF _Toc233474055 \h </w:instrText>
              <w:fldChar w:fldCharType="separate"/>
              <w:t>3</w:t>
              <w:fldChar w:fldCharType="end"/>
            </w:r>
          </w:hyperlink>
        </w:p>
        <w:p w14:paraId="1CD92E3D" w14:textId="77777777" w:rsidR="00DF3903" w:rsidRPr="00DF3903" w:rsidRDefault="00DF3903" w:rsidP="00DF3903">
          <w:pPr>
            <w:tabs>
              <w:tab w:val="right" w:leader="dot" w:pos="8778"/>
            </w:tabs>
            <w:spacing w:after="100" w:line="240" w:lineRule="auto"/>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56" w:history="1">
            <w:r>
              <w:rPr>
                <w:rFonts w:ascii="Arial" w:eastAsia="Arial" w:hAnsi="Arial" w:cs="Arial"/>
                <w:noProof/>
                <w:color w:val="000000" w:themeColor="text1"/>
                <w:lang w:val="es-ES" w:eastAsia="es-ES"/>
              </w:rPr>
              <w:t>5. Objetivos de la Investigación</w:t>
              <w:tab/>
              <w:fldChar w:fldCharType="begin"/>
              <w:instrText xml:space="preserve"> PAGEREF _Toc233474056 \h </w:instrText>
              <w:fldChar w:fldCharType="separate"/>
              <w:t>4</w:t>
              <w:fldChar w:fldCharType="end"/>
            </w:r>
          </w:hyperlink>
        </w:p>
        <w:p w14:paraId="52CFAC5B" w14:textId="77777777" w:rsidR="00DF3903" w:rsidRPr="00DF3903" w:rsidRDefault="00DF3903" w:rsidP="00DF3903">
          <w:pPr>
            <w:tabs>
              <w:tab w:val="right" w:leader="dot" w:pos="8778"/>
            </w:tabs>
            <w:spacing w:after="100" w:line="240" w:lineRule="auto"/>
            <w:ind w:left="22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57" w:history="1">
            <w:r>
              <w:rPr>
                <w:rFonts w:ascii="Arial" w:eastAsia="Arial" w:hAnsi="Arial" w:cs="Arial"/>
                <w:noProof/>
                <w:color w:val="000000" w:themeColor="text1"/>
                <w:lang w:val="es-ES" w:eastAsia="es-ES"/>
              </w:rPr>
              <w:t>Objetivo general</w:t>
              <w:tab/>
              <w:fldChar w:fldCharType="begin"/>
              <w:instrText xml:space="preserve"> PAGEREF _Toc233474057 \h </w:instrText>
              <w:fldChar w:fldCharType="separate"/>
              <w:t>4</w:t>
              <w:fldChar w:fldCharType="end"/>
            </w:r>
          </w:hyperlink>
        </w:p>
        <w:p w14:paraId="041402DE" w14:textId="77777777" w:rsidR="00DF3903" w:rsidRPr="00DF3903" w:rsidRDefault="00DF3903" w:rsidP="00DF3903">
          <w:pPr>
            <w:tabs>
              <w:tab w:val="right" w:leader="dot" w:pos="8778"/>
            </w:tabs>
            <w:spacing w:after="100" w:line="240" w:lineRule="auto"/>
            <w:ind w:left="22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58" w:history="1">
            <w:r>
              <w:rPr>
                <w:rFonts w:ascii="Arial" w:eastAsia="Arial" w:hAnsi="Arial" w:cs="Arial"/>
                <w:noProof/>
                <w:color w:val="000000" w:themeColor="text1"/>
                <w:lang w:val="es-ES" w:eastAsia="es-ES"/>
              </w:rPr>
              <w:t>Objetivos específicos</w:t>
              <w:tab/>
              <w:fldChar w:fldCharType="begin"/>
              <w:instrText xml:space="preserve"> PAGEREF _Toc233474058 \h </w:instrText>
              <w:fldChar w:fldCharType="separate"/>
              <w:t>4</w:t>
              <w:fldChar w:fldCharType="end"/>
            </w:r>
          </w:hyperlink>
        </w:p>
        <w:p w14:paraId="0EBEB008" w14:textId="77777777" w:rsidR="00DF3903" w:rsidRPr="00DF3903" w:rsidRDefault="00DF3903" w:rsidP="00DF3903">
          <w:pPr>
            <w:tabs>
              <w:tab w:val="right" w:leader="dot" w:pos="8778"/>
            </w:tabs>
            <w:spacing w:after="100" w:line="240" w:lineRule="auto"/>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59" w:history="1">
            <w:r>
              <w:rPr>
                <w:rFonts w:ascii="Arial" w:eastAsia="Arial" w:hAnsi="Arial" w:cs="Arial"/>
                <w:noProof/>
                <w:color w:val="000000" w:themeColor="text1"/>
                <w:lang w:val="es-ES" w:eastAsia="es-ES"/>
              </w:rPr>
              <w:t>6. Hipótesis de Investigación</w:t>
              <w:tab/>
              <w:fldChar w:fldCharType="begin"/>
              <w:instrText xml:space="preserve"> PAGEREF _Toc233474059 \h </w:instrText>
              <w:fldChar w:fldCharType="separate"/>
              <w:t>5</w:t>
              <w:fldChar w:fldCharType="end"/>
            </w:r>
          </w:hyperlink>
        </w:p>
        <w:p w14:paraId="4473CAEB" w14:textId="77777777" w:rsidR="00DF3903" w:rsidRPr="00DF3903" w:rsidRDefault="00DF3903" w:rsidP="00DF3903">
          <w:pPr>
            <w:tabs>
              <w:tab w:val="right" w:leader="dot" w:pos="8778"/>
            </w:tabs>
            <w:spacing w:after="100" w:line="240" w:lineRule="auto"/>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60" w:history="1">
            <w:r>
              <w:rPr>
                <w:rFonts w:ascii="Arial" w:eastAsia="Arial" w:hAnsi="Arial" w:cs="Arial"/>
                <w:noProof/>
                <w:color w:val="000000" w:themeColor="text1"/>
                <w:lang w:val="es-ES" w:eastAsia="es-ES"/>
              </w:rPr>
              <w:t>7. Marco Teórico y Metodológico</w:t>
              <w:tab/>
              <w:fldChar w:fldCharType="begin"/>
              <w:instrText xml:space="preserve"> PAGEREF _Toc233474060 \h </w:instrText>
              <w:fldChar w:fldCharType="separate"/>
              <w:t>6</w:t>
              <w:fldChar w:fldCharType="end"/>
            </w:r>
          </w:hyperlink>
        </w:p>
        <w:p w14:paraId="293C7310" w14:textId="77777777" w:rsidR="00DF3903" w:rsidRPr="00DF3903" w:rsidRDefault="00DF3903" w:rsidP="00DF3903">
          <w:pPr>
            <w:tabs>
              <w:tab w:val="right" w:leader="dot" w:pos="8778"/>
            </w:tabs>
            <w:spacing w:after="100" w:line="240" w:lineRule="auto"/>
            <w:ind w:left="22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61" w:history="1">
            <w:r>
              <w:rPr>
                <w:rFonts w:ascii="Arial" w:eastAsia="Arial" w:hAnsi="Arial" w:cs="Arial"/>
                <w:noProof/>
                <w:color w:val="000000" w:themeColor="text1"/>
                <w:lang w:val="es-ES" w:eastAsia="es-ES"/>
              </w:rPr>
              <w:t>7.1. Marco teórico</w:t>
              <w:tab/>
              <w:fldChar w:fldCharType="begin"/>
              <w:instrText xml:space="preserve"> PAGEREF _Toc233474061 \h </w:instrText>
              <w:fldChar w:fldCharType="separate"/>
              <w:t>6</w:t>
              <w:fldChar w:fldCharType="end"/>
            </w:r>
          </w:hyperlink>
        </w:p>
        <w:p>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100" w:history="1">
            <w:r>
              <w:rPr>
                <w:rFonts w:ascii="Arial" w:eastAsia="Arial" w:hAnsi="Arial" w:cs="Arial"/>
                <w:noProof/>
                <w:color w:val="000000" w:themeColor="text1"/>
                <w:lang w:val="es-ES" w:eastAsia="es-ES"/>
              </w:rPr>
              <w:t>Pilar preliminar: Antecedentes histórico-institucionales del sistema financiero paraguayo</w:t>
              <w:tab/>
              <w:fldChar w:fldCharType="begin"/>
              <w:instrText xml:space="preserve"> PAGEREF _Toc233474100 \h </w:instrText>
              <w:fldChar w:fldCharType="separate"/>
              <w:t>0</w:t>
              <w:fldChar w:fldCharType="end"/>
            </w:r>
          </w:hyperlink>
        </w:p>
        <w:p w14:paraId="0F16F08D" w14:textId="77777777" w:rsidR="00DF3903" w:rsidRPr="00DF3903" w:rsidRDefault="00DF3903" w:rsidP="00DF3903">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62" w:history="1">
            <w:r>
              <w:rPr>
                <w:rFonts w:ascii="Arial" w:eastAsia="Arial" w:hAnsi="Arial" w:cs="Arial"/>
                <w:noProof/>
                <w:color w:val="000000" w:themeColor="text1"/>
                <w:lang w:val="es-ES" w:eastAsia="es-ES"/>
              </w:rPr>
              <w:t>Pilar 1: Paridad Descubierta de Tasas de Interés (UIP)</w:t>
              <w:tab/>
              <w:fldChar w:fldCharType="begin"/>
              <w:instrText xml:space="preserve"> PAGEREF _Toc233474062 \h </w:instrText>
              <w:fldChar w:fldCharType="separate"/>
              <w:t>6</w:t>
              <w:fldChar w:fldCharType="end"/>
            </w:r>
          </w:hyperlink>
        </w:p>
        <w:p w14:paraId="7E170C7D" w14:textId="77777777" w:rsidR="00DF3903" w:rsidRPr="00DF3903" w:rsidRDefault="00DF3903" w:rsidP="00DF3903">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63" w:history="1">
            <w:r>
              <w:rPr>
                <w:rFonts w:ascii="Arial" w:eastAsia="Arial" w:hAnsi="Arial" w:cs="Arial"/>
                <w:noProof/>
                <w:color w:val="000000" w:themeColor="text1"/>
                <w:lang w:val="es-ES" w:eastAsia="es-ES"/>
              </w:rPr>
              <w:t>Pilar 2: El «forward premium puzzle» y el coeficiente de Fama</w:t>
              <w:tab/>
              <w:fldChar w:fldCharType="begin"/>
              <w:instrText xml:space="preserve"> PAGEREF _Toc233474063 \h </w:instrText>
              <w:fldChar w:fldCharType="separate"/>
              <w:t>7</w:t>
              <w:fldChar w:fldCharType="end"/>
            </w:r>
          </w:hyperlink>
        </w:p>
        <w:p w14:paraId="55470B40" w14:textId="77777777" w:rsidR="00DF3903" w:rsidRPr="00DF3903" w:rsidRDefault="00DF3903" w:rsidP="00DF3903">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64" w:history="1">
            <w:r>
              <w:rPr>
                <w:rFonts w:ascii="Arial" w:eastAsia="Arial" w:hAnsi="Arial" w:cs="Arial"/>
                <w:noProof/>
                <w:color w:val="000000" w:themeColor="text1"/>
                <w:lang w:val="es-ES" w:eastAsia="es-ES"/>
              </w:rPr>
              <w:t>Pilar 3: Descomposición de Fisher — prima de inflación vs. prima de riesgo</w:t>
              <w:tab/>
              <w:fldChar w:fldCharType="begin"/>
              <w:instrText xml:space="preserve"> PAGEREF _Toc233474064 \h </w:instrText>
              <w:fldChar w:fldCharType="separate"/>
              <w:t>7</w:t>
              <w:fldChar w:fldCharType="end"/>
            </w:r>
          </w:hyperlink>
        </w:p>
        <w:p w14:paraId="21876933" w14:textId="77777777" w:rsidR="00DF3903" w:rsidRPr="00DF3903" w:rsidRDefault="00DF3903" w:rsidP="00DF3903">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65" w:history="1">
            <w:r>
              <w:rPr>
                <w:rFonts w:ascii="Arial" w:eastAsia="Arial" w:hAnsi="Arial" w:cs="Arial"/>
                <w:noProof/>
                <w:color w:val="000000" w:themeColor="text1"/>
                <w:lang w:val="es-ES" w:eastAsia="es-ES"/>
              </w:rPr>
              <w:t>Pilar 4: El régimen de Metas de Inflación en Paraguay — qué pasó en 2011</w:t>
              <w:tab/>
              <w:fldChar w:fldCharType="begin"/>
              <w:instrText xml:space="preserve"> PAGEREF _Toc233474065 \h </w:instrText>
              <w:fldChar w:fldCharType="separate"/>
              <w:t>8</w:t>
              <w:fldChar w:fldCharType="end"/>
            </w:r>
          </w:hyperlink>
        </w:p>
        <w:p w14:paraId="62DB7FEC" w14:textId="77777777" w:rsidR="00DF3903" w:rsidRPr="00DF3903" w:rsidRDefault="00DF3903" w:rsidP="00DF3903">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66" w:history="1">
            <w:r>
              <w:rPr>
                <w:rFonts w:ascii="Arial" w:eastAsia="Arial" w:hAnsi="Arial" w:cs="Arial"/>
                <w:noProof/>
                <w:color w:val="000000" w:themeColor="text1"/>
                <w:lang w:val="es-ES" w:eastAsia="es-ES"/>
              </w:rPr>
              <w:t>Pilar 5: Determinantes estructurales del diferencial en Paraguay</w:t>
              <w:tab/>
              <w:fldChar w:fldCharType="begin"/>
              <w:instrText xml:space="preserve"> PAGEREF _Toc233474066 \h </w:instrText>
              <w:fldChar w:fldCharType="separate"/>
              <w:t>10</w:t>
              <w:fldChar w:fldCharType="end"/>
            </w:r>
          </w:hyperlink>
        </w:p>
        <w:p>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101" w:history="1">
            <w:r>
              <w:rPr>
                <w:rFonts w:ascii="Arial" w:eastAsia="Arial" w:hAnsi="Arial" w:cs="Arial"/>
                <w:noProof/>
                <w:color w:val="000000" w:themeColor="text1"/>
                <w:lang w:val="es-ES" w:eastAsia="es-ES"/>
              </w:rPr>
              <w:t>Pilar 6: La dolarización financiera en Paraguay — anatomía de un fenómeno estructural</w:t>
              <w:tab/>
              <w:fldChar w:fldCharType="begin"/>
              <w:instrText xml:space="preserve"> PAGEREF _Toc233474101 \h </w:instrText>
              <w:fldChar w:fldCharType="separate"/>
              <w:t>0</w:t>
              <w:fldChar w:fldCharType="end"/>
            </w:r>
          </w:hyperlink>
        </w:p>
        <w:p w14:paraId="19C77BFE" w14:textId="77777777" w:rsidR="00DF3903" w:rsidRPr="00DF3903" w:rsidRDefault="00DF3903" w:rsidP="00DF3903">
          <w:pPr>
            <w:tabs>
              <w:tab w:val="right" w:leader="dot" w:pos="8778"/>
            </w:tabs>
            <w:spacing w:after="100" w:line="240" w:lineRule="auto"/>
            <w:ind w:left="22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67" w:history="1">
            <w:r>
              <w:rPr>
                <w:rFonts w:ascii="Arial" w:eastAsia="Arial" w:hAnsi="Arial" w:cs="Arial"/>
                <w:noProof/>
                <w:color w:val="000000" w:themeColor="text1"/>
                <w:lang w:val="es-ES" w:eastAsia="es-ES"/>
              </w:rPr>
              <w:t>7.2. Marco metodológico</w:t>
              <w:tab/>
              <w:fldChar w:fldCharType="begin"/>
              <w:instrText xml:space="preserve"> PAGEREF _Toc233474067 \h </w:instrText>
              <w:fldChar w:fldCharType="separate"/>
              <w:t>11</w:t>
              <w:fldChar w:fldCharType="end"/>
            </w:r>
          </w:hyperlink>
        </w:p>
        <w:p w14:paraId="14EC9166" w14:textId="77777777" w:rsidR="00DF3903" w:rsidRPr="00DF3903" w:rsidRDefault="00DF3903" w:rsidP="00DF3903">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68" w:history="1">
            <w:r>
              <w:rPr>
                <w:rFonts w:ascii="Arial" w:eastAsia="Arial" w:hAnsi="Arial" w:cs="Arial"/>
                <w:noProof/>
                <w:color w:val="000000" w:themeColor="text1"/>
                <w:lang w:val="es-ES" w:eastAsia="es-ES"/>
              </w:rPr>
              <w:t>Etapa 1: Construcción de las series de retorno</w:t>
              <w:tab/>
              <w:fldChar w:fldCharType="begin"/>
              <w:instrText xml:space="preserve"> PAGEREF _Toc233474068 \h </w:instrText>
              <w:fldChar w:fldCharType="separate"/>
              <w:t>12</w:t>
              <w:fldChar w:fldCharType="end"/>
            </w:r>
          </w:hyperlink>
        </w:p>
        <w:p w14:paraId="5292AC87" w14:textId="77777777" w:rsidR="00DF3903" w:rsidRPr="00DF3903" w:rsidRDefault="00DF3903" w:rsidP="00DF3903">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69" w:history="1">
            <w:r>
              <w:rPr>
                <w:rFonts w:ascii="Arial" w:eastAsia="Arial" w:hAnsi="Arial" w:cs="Arial"/>
                <w:noProof/>
                <w:color w:val="000000" w:themeColor="text1"/>
                <w:lang w:val="es-ES" w:eastAsia="es-ES"/>
              </w:rPr>
              <w:t>Etapa 2: Coeficiente de Fama y validación de la medida conservadora</w:t>
              <w:tab/>
              <w:fldChar w:fldCharType="begin"/>
              <w:instrText xml:space="preserve"> PAGEREF _Toc233474069 \h </w:instrText>
              <w:fldChar w:fldCharType="separate"/>
              <w:t>13</w:t>
              <w:fldChar w:fldCharType="end"/>
            </w:r>
          </w:hyperlink>
        </w:p>
        <w:p w14:paraId="5FF192E7" w14:textId="77777777" w:rsidR="00DF3903" w:rsidRPr="00DF3903" w:rsidRDefault="00DF3903" w:rsidP="00DF3903">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70" w:history="1">
            <w:r>
              <w:rPr>
                <w:rFonts w:ascii="Arial" w:eastAsia="Arial" w:hAnsi="Arial" w:cs="Arial"/>
                <w:noProof/>
                <w:color w:val="000000" w:themeColor="text1"/>
                <w:lang w:val="es-ES" w:eastAsia="es-ES"/>
              </w:rPr>
              <w:t>Etapa 3: Estacionariedad y análisis de quiebre estructural</w:t>
              <w:tab/>
              <w:fldChar w:fldCharType="begin"/>
              <w:instrText xml:space="preserve"> PAGEREF _Toc233474070 \h </w:instrText>
              <w:fldChar w:fldCharType="separate"/>
              <w:t>14</w:t>
              <w:fldChar w:fldCharType="end"/>
            </w:r>
          </w:hyperlink>
        </w:p>
        <w:p w14:paraId="519D9C48" w14:textId="77777777" w:rsidR="00DF3903" w:rsidRPr="00DF3903" w:rsidRDefault="00DF3903" w:rsidP="00DF3903">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71" w:history="1">
            <w:r>
              <w:rPr>
                <w:rFonts w:ascii="Arial" w:eastAsia="Arial" w:hAnsi="Arial" w:cs="Arial"/>
                <w:noProof/>
                <w:color w:val="000000" w:themeColor="text1"/>
                <w:lang w:val="es-ES" w:eastAsia="es-ES"/>
              </w:rPr>
              <w:t>Etapa 4: Descomposición del diferencial — Fisher vs. prima de riesgo</w:t>
              <w:tab/>
              <w:fldChar w:fldCharType="begin"/>
              <w:instrText xml:space="preserve"> PAGEREF _Toc233474071 \h </w:instrText>
              <w:fldChar w:fldCharType="separate"/>
              <w:t>15</w:t>
              <w:fldChar w:fldCharType="end"/>
            </w:r>
          </w:hyperlink>
        </w:p>
        <w:p w14:paraId="2681535E" w14:textId="77777777" w:rsidR="00DF3903" w:rsidRPr="00DF3903" w:rsidRDefault="00DF3903" w:rsidP="00DF3903">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72" w:history="1">
            <w:r>
              <w:rPr>
                <w:rFonts w:ascii="Arial" w:eastAsia="Arial" w:hAnsi="Arial" w:cs="Arial"/>
                <w:noProof/>
                <w:color w:val="000000" w:themeColor="text1"/>
                <w:lang w:val="es-ES" w:eastAsia="es-ES"/>
              </w:rPr>
              <w:t>Etapa 5: Modelo de regresión MCO-HAC con interacciones</w:t>
              <w:tab/>
              <w:fldChar w:fldCharType="begin"/>
              <w:instrText xml:space="preserve"> PAGEREF _Toc233474072 \h </w:instrText>
              <w:fldChar w:fldCharType="separate"/>
              <w:t>15</w:t>
              <w:fldChar w:fldCharType="end"/>
            </w:r>
          </w:hyperlink>
        </w:p>
        <w:p w14:paraId="4A68157D" w14:textId="77777777" w:rsidR="00DF3903" w:rsidRPr="00DF3903" w:rsidRDefault="00DF3903" w:rsidP="00DF3903">
          <w:pPr>
            <w:tabs>
              <w:tab w:val="right" w:leader="dot" w:pos="8778"/>
            </w:tabs>
            <w:spacing w:after="100" w:line="240" w:lineRule="auto"/>
            <w:ind w:left="440"/>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73" w:history="1">
            <w:r>
              <w:rPr>
                <w:rFonts w:ascii="Arial" w:eastAsia="Arial" w:hAnsi="Arial" w:cs="Arial"/>
                <w:noProof/>
                <w:color w:val="000000" w:themeColor="text1"/>
                <w:lang w:val="es-ES" w:eastAsia="es-ES"/>
              </w:rPr>
              <w:t>Etapa 6: Diagnóstico y robustez</w:t>
              <w:tab/>
              <w:fldChar w:fldCharType="begin"/>
              <w:instrText xml:space="preserve"> PAGEREF _Toc233474073 \h </w:instrText>
              <w:fldChar w:fldCharType="separate"/>
              <w:t>17</w:t>
              <w:fldChar w:fldCharType="end"/>
            </w:r>
          </w:hyperlink>
        </w:p>
        <w:p w14:paraId="160D3C2C" w14:textId="77777777" w:rsidR="00DF3903" w:rsidRPr="00DF3903" w:rsidRDefault="00DF3903" w:rsidP="00DF3903">
          <w:pPr>
            <w:tabs>
              <w:tab w:val="right" w:leader="dot" w:pos="8778"/>
            </w:tabs>
            <w:spacing w:after="100" w:line="240" w:lineRule="auto"/>
            <w:rPr>
              <w:rFonts w:asciiTheme="minorHAnsi" w:eastAsiaTheme="minorEastAsia" w:hAnsiTheme="minorHAnsi" w:cstheme="minorBidi"/>
              <w:noProof/>
              <w:color w:val="000000" w:themeColor="text1"/>
              <w:kern w:val="2"/>
              <w:sz w:val="24"/>
              <w:szCs w:val="24"/>
              <w:lang w:val="es-ES" w:eastAsia="es-ES"/>
              <w14:ligatures w14:val="standardContextual"/>
            </w:rPr>
          </w:pPr>
          <w:hyperlink w:anchor="_Toc233474074" w:history="1">
            <w:r>
              <w:rPr>
                <w:rFonts w:ascii="Arial" w:eastAsia="Arial" w:hAnsi="Arial" w:cs="Arial"/>
                <w:noProof/>
                <w:color w:val="000000" w:themeColor="text1"/>
                <w:lang w:val="es-ES" w:eastAsia="es-ES"/>
              </w:rPr>
              <w:t>Referencias</w:t>
              <w:tab/>
              <w:fldChar w:fldCharType="begin"/>
              <w:instrText xml:space="preserve"> PAGEREF _Toc233474074 \h </w:instrText>
              <w:fldChar w:fldCharType="separate"/>
              <w:t>17</w:t>
              <w:fldChar w:fldCharType="end"/>
            </w:r>
          </w:hyperlink>
        </w:p>
        <w:p w14:paraId="14CA1CB5" w14:textId="77777777" w:rsidR="00DF3903" w:rsidRPr="00DF3903" w:rsidRDefault="00DF3903" w:rsidP="00DF3903">
          <w:pPr>
            <w:spacing w:after="0" w:line="240" w:lineRule="auto"/>
            <w:rPr>
              <w:rFonts w:ascii="Arial" w:eastAsia="Arial" w:hAnsi="Arial" w:cs="Arial"/>
              <w:lang w:val="es-ES" w:eastAsia="es-ES"/>
            </w:rPr>
          </w:pPr>
          <w:r>
            <w:rPr>
              <w:rFonts w:ascii="Arial" w:eastAsia="Arial" w:hAnsi="Arial" w:cs="Arial"/>
              <w:color w:val="000000" w:themeColor="text1"/>
              <w:lang w:val="es-ES" w:eastAsia="es-ES"/>
            </w:rPr>
            <w:fldChar w:fldCharType="end"/>
          </w:r>
        </w:p>
      </w:sdtContent>
    </w:sdt>
    <w:p w14:paraId="28BC127D" w14:textId="77777777" w:rsidR="00DF3903" w:rsidRPr="00DF3903" w:rsidRDefault="00DF3903" w:rsidP="00DF3903">
      <w:pPr>
        <w:spacing w:after="0" w:line="240" w:lineRule="auto"/>
        <w:rPr>
          <w:rFonts w:ascii="Arial" w:eastAsia="Arial" w:hAnsi="Arial" w:cs="Arial"/>
          <w:lang w:val="es-ES" w:eastAsia="es-ES"/>
        </w:rPr>
        <w:sectPr w:rsidR="00DF3903" w:rsidRPr="00DF3903" w:rsidSect="00DF3903">
          <w:footerReference w:type="default" r:id="rId15"/>
          <w:pgSz w:w="11906" w:h="16838"/>
          <w:pgMar w:top="1417" w:right="1417" w:bottom="1417" w:left="1701" w:header="708" w:footer="708" w:gutter="0"/>
          <w:pgNumType w:fmt="lowerRoman" w:start="1"/>
          <w:cols w:space="720"/>
          <w:docGrid w:linePitch="360"/>
        </w:sectPr>
      </w:pPr>
    </w:p>
    <w:p w14:paraId="109F5221"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bookmarkStart w:id="1" w:name="_Toc233474049"/>
      <w:r>
        <w:rPr>
          <w:rFonts w:ascii="Arial" w:eastAsia="Arial" w:hAnsi="Arial" w:cs="Arial"/>
          <w:b/>
          <w:bCs/>
          <w:color w:val="000000"/>
          <w:lang w:val="es-ES" w:eastAsia="es-ES"/>
        </w:rPr>
        <w:lastRenderedPageBreak/>
        <w:t>1. Título de la Investigación</w:t>
      </w:r>
      <w:bookmarkEnd w:id="1"/>
    </w:p>
    <w:p w14:paraId="4B1E7A07"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Recomposición de la Prima de Riesgo en el Diferencial de Retornos entre Certificados de Depósito en Guaraníes y Dólares tras la Adopción de Metas de Inflación: Sistema Bancario Paraguayo, 2004–2024.</w:t>
      </w:r>
    </w:p>
    <w:p w14:paraId="6B3C47AA"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bookmarkStart w:id="2" w:name="_Toc233474050"/>
      <w:r>
        <w:rPr>
          <w:rFonts w:ascii="Arial" w:eastAsia="Arial" w:hAnsi="Arial" w:cs="Arial"/>
          <w:b/>
          <w:bCs/>
          <w:color w:val="000000"/>
          <w:lang w:val="es-ES" w:eastAsia="es-ES"/>
        </w:rPr>
        <w:t>2. Planteamiento del Problema</w:t>
      </w:r>
      <w:bookmarkEnd w:id="2"/>
    </w:p>
    <w:p w14:paraId="02963EE5"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En una economía pequeña, abierta y parcialmente dolarizada como la paraguaya, ahorristas, empresas y entidades financieras enfrentan cotidianamente una decisión concreta: en qué moneda constituir sus certificados de depósito de ahorro (CDA). La elección entre un CDA en guaraníes y uno en dólares depende, en última instancia, de cuál ofrece un mayor retorno una vez considerada la variación del tipo de cambio durante el plazo del depósito.</w:t>
      </w:r>
    </w:p>
    <w:p w14:paraId="58F78DAA"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 teoría establece que, bajo libre movilidad de capitales y ausencia de fricciones, el retorno en moneda doméstica debería igualarse al retorno en moneda extranjera ajustado por la depreciación del tipo de cambio (condición conocida como Paridad Descubierta de Tasas de Interés, UIP) (Keynes, 1923; Frenkel, 1973). Esto implica que lo que el guaraní paga de más en tasa debería perderse, en promedio, por depreciación frente al dólar. Sin embargo, la evidencia observable en Paraguay durante 2004–2024 sugiere que esta condición no se cumple de manera estricta (Fama, 1984).</w:t>
      </w:r>
    </w:p>
    <w:p w14:paraId="2C028EA0"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El problema central es doble: primero, cuantificar si los CDA en guaraníes efectivamente pagan más que los CDA en dólares una vez descontada la depreciación; y segundo, explicar por qué se sostiene ese mayor pago. Para que la respuesta sea económicamente honesta, el diferencial debe medirse de manera conservadora: la depreciación se descuenta íntegramente del retorno del guaraní, pero los episodios de apreciación (en los que el guaraní gana valor frente al dólar) se excluyen del cálculo. Si, aun bajo ese criterio estricto, el guaraní continúa pagando más, el resultado no puede atribuirse a episodios favorables del tipo de cambio.</w:t>
      </w:r>
    </w:p>
    <w:p w14:paraId="79264EC3"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lastRenderedPageBreak/>
        <w:t>Esta pregunta es especialmente relevante a la luz del cambio de régimen monetario ocurrido el 18 de mayo de 2011, cuando el Banco Central del Paraguay (BCP) adoptó formalmente un esquema de Metas de Inflación (Banco Central del Paraguay, 2011), desplazando el control de agregados monetarios como instrumento principal de política y sustituyéndolo por la Tasa de Política Monetaria (TPM) en guaraníes. La teoría predice que un régimen de metas creíble reduce la incertidumbre inflacionaria y cambiaria y, con ello, debería comprimir la prima de inflación contenida en el diferencial de retornos entre las dos monedas (Svensson, 1997; Mishkin, 2004).</w:t>
      </w:r>
    </w:p>
    <w:p w14:paraId="4DA88959"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Ahora bien, el efecto de 2011 sobre el </w:t>
      </w:r>
      <w:r>
        <w:rPr>
          <w:rFonts w:ascii="Arial" w:eastAsia="Arial" w:hAnsi="Arial" w:cs="Arial"/>
          <w:i/>
          <w:iCs/>
          <w:lang w:val="es-ES" w:eastAsia="es-ES"/>
        </w:rPr>
        <w:t>nivel</w:t>
      </w:r>
      <w:r>
        <w:rPr>
          <w:rFonts w:ascii="Arial" w:eastAsia="Arial" w:hAnsi="Arial" w:cs="Arial"/>
          <w:lang w:val="es-ES" w:eastAsia="es-ES"/>
        </w:rPr>
        <w:t xml:space="preserve"> total del diferencial es teóricamente indeterminado: el régimen de metas opera sobre la prima de inflación, pero no necesariamente sobre la prima de riesgo real, que responde a factores estructurales del sistema financiero. Por ello, el problema no es únicamente si el diferencial </w:t>
      </w:r>
      <w:r>
        <w:rPr>
          <w:rFonts w:ascii="Arial" w:eastAsia="Arial" w:hAnsi="Arial" w:cs="Arial"/>
          <w:i/>
          <w:iCs/>
          <w:lang w:val="es-ES" w:eastAsia="es-ES"/>
        </w:rPr>
        <w:t>disminuyó</w:t>
      </w:r>
      <w:r>
        <w:rPr>
          <w:rFonts w:ascii="Arial" w:eastAsia="Arial" w:hAnsi="Arial" w:cs="Arial"/>
          <w:lang w:val="es-ES" w:eastAsia="es-ES"/>
        </w:rPr>
        <w:t xml:space="preserve">, sino si su </w:t>
      </w:r>
      <w:r>
        <w:rPr>
          <w:rFonts w:ascii="Arial" w:eastAsia="Arial" w:hAnsi="Arial" w:cs="Arial"/>
          <w:b/>
          <w:bCs/>
          <w:lang w:val="es-ES" w:eastAsia="es-ES"/>
        </w:rPr>
        <w:t>composición se recompuso</w:t>
      </w:r>
      <w:r>
        <w:rPr>
          <w:rFonts w:ascii="Arial" w:eastAsia="Arial" w:hAnsi="Arial" w:cs="Arial"/>
          <w:lang w:val="es-ES" w:eastAsia="es-ES"/>
        </w:rPr>
        <w:t>: determinar si, tras 2011, el diferencial dejó de estar dominado por la prima de inflación y pasó a estar sostenido por una prima de riesgo cuyo determinante principal migró del riesgo de depreciación cambiaria al riesgo de iliquidez del mercado de fondos prestables. Esta recomposición —y no una simple reducción de magnitud— es el fenómeno central que esta investigación busca documentar.</w:t>
      </w:r>
    </w:p>
    <w:p w14:paraId="55A9F492"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Paraguay presenta condiciones estructurales que hacen pertinente este análisis: elevada dolarización financiera, con depósitos en dólares que han representado entre el 38 % y el 60 % del total del sistema bancario a lo largo del período (Ize &amp; Levy-Yeyati, 2003); ausencia de un mercado de forward, que impide comparar retornos cubiertos; y un proceso gradual de consolidación del régimen monetario. A la fecha no existe evidencia empírica publicada que haya cuantificado y analizado sistemáticamente el diferencial de retornos entre CDA en ambas monedas para el mercado bancario paraguayo, configurando un vacío en la literatura.</w:t>
      </w:r>
    </w:p>
    <w:p w14:paraId="74186BB0" w14:textId="77777777" w:rsidR="00D27E85" w:rsidRPr="00DF3903" w:rsidRDefault="00D27E85" w:rsidP="00D27E85">
      <w:pPr>
        <w:spacing w:after="120" w:line="480" w:lineRule="auto"/>
        <w:jc w:val="both"/>
        <w:rPr>
          <w:rFonts w:ascii="Arial" w:eastAsia="Arial" w:hAnsi="Arial" w:cs="Arial"/>
          <w:lang w:val="es-ES" w:eastAsia="es-ES"/>
        </w:rPr>
      </w:pPr>
    </w:p>
    <w:p w14:paraId="67E8394B"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bookmarkStart w:id="3" w:name="_Toc233474051"/>
      <w:r>
        <w:rPr>
          <w:rFonts w:ascii="Arial" w:eastAsia="Arial" w:hAnsi="Arial" w:cs="Arial"/>
          <w:b/>
          <w:bCs/>
          <w:color w:val="000000"/>
          <w:lang w:val="es-ES" w:eastAsia="es-ES"/>
        </w:rPr>
        <w:lastRenderedPageBreak/>
        <w:t>3. Pregunta de Investigación</w:t>
      </w:r>
      <w:bookmarkEnd w:id="3"/>
    </w:p>
    <w:p w14:paraId="52EAE3E9"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bookmarkStart w:id="4" w:name="_Toc233474052"/>
      <w:r>
        <w:rPr>
          <w:rFonts w:ascii="Arial" w:eastAsia="Arial" w:hAnsi="Arial" w:cs="Arial"/>
          <w:b/>
          <w:bCs/>
          <w:color w:val="000000"/>
          <w:lang w:val="es-ES" w:eastAsia="es-ES"/>
        </w:rPr>
        <w:t>Pregunta general</w:t>
      </w:r>
      <w:bookmarkEnd w:id="4"/>
    </w:p>
    <w:p w14:paraId="1836508B"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Tras la adopción del régimen de Metas de Inflación en 2011, ¿cómo se recompuso la estructura de determinantes de la prima de riesgo que sostiene el diferencial de retornos entre certificados en guaraníes y en dólares del sistema bancario paraguayo entre 2004 y 2024; en qué medida cayó la incidencia del riesgo de depreciación cambiaria y aumentó la del riesgo de iliquidez del mercado de fondos prestables?</w:t>
      </w:r>
    </w:p>
    <w:p w14:paraId="76BC9160"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bookmarkStart w:id="5" w:name="_Toc233474053"/>
      <w:r>
        <w:rPr>
          <w:rFonts w:ascii="Arial" w:eastAsia="Arial" w:hAnsi="Arial" w:cs="Arial"/>
          <w:b/>
          <w:bCs/>
          <w:color w:val="000000"/>
          <w:lang w:val="es-ES" w:eastAsia="es-ES"/>
        </w:rPr>
        <w:t>4. Justificación y Alcance de la Investigación</w:t>
      </w:r>
      <w:bookmarkEnd w:id="5"/>
    </w:p>
    <w:p w14:paraId="3B220883"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bookmarkStart w:id="6" w:name="_Toc233474054"/>
      <w:r>
        <w:rPr>
          <w:rFonts w:ascii="Arial" w:eastAsia="Arial" w:hAnsi="Arial" w:cs="Arial"/>
          <w:b/>
          <w:bCs/>
          <w:color w:val="000000"/>
          <w:lang w:val="es-ES" w:eastAsia="es-ES"/>
        </w:rPr>
        <w:t>Justificación</w:t>
      </w:r>
      <w:bookmarkEnd w:id="6"/>
    </w:p>
    <w:p w14:paraId="23AD4E27"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Desde el punto de vista teórico, la investigación permite contrastar empíricamente la UIP en una economía emergente con alta dolarización y un régimen de metas en consolidación. Las desviaciones sistemáticas respecto de esta condición constituyen evidencia de una prima de riesgo cambiaria persistente, con implicancias directas para el mecanismo de transmisión de la política monetaria (Hansen &amp; Hodrick, 1980).</w:t>
      </w:r>
    </w:p>
    <w:p w14:paraId="4A9BE95C"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Desde la perspectiva práctica, los resultados son de utilidad para el BCP (en tanto permiten evaluar no solo si la adopción de Metas de Inflación en 2011 comprimió el diferencial, sino cómo recompuso sus determinantes) y para ahorristas, empresas y entidades financieras que toman decisiones de cartera en un contexto de dolarización parcial.</w:t>
      </w:r>
    </w:p>
    <w:p w14:paraId="5A545B4B"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En términos metodológicos, la construcción de una serie histórica del diferencial bajo el criterio conservador de excluir la apreciación aporta una cota inferior robusta del premio estructural del guaraní. La descomposición del diferencial en prima de inflación y prima de riesgo, junto con la identificación econométrica de la recomposición de sus determinantes mediante términos de interacción, añade rigor al análisis y permite contrastar formalmente una hipótesis que la mera comparación de medias no podría capturar. Finalmente, la ausencia de evidencia empírica publicada para el mercado de CDA paraguayo hace de este trabajo la primera cuantificación sistemática disponible: un insumo directo para la autoridad monetaria, que necesita saber sobre qué componente del diferencial actúa su régimen, y para los ahorristas y tesorerías que hoy eligen moneda de depósito sin ese dato.</w:t>
      </w:r>
    </w:p>
    <w:p w14:paraId="713F2329" w14:textId="77777777" w:rsidR="00D27E85" w:rsidRPr="00DF3903" w:rsidRDefault="00D27E85" w:rsidP="00D27E85">
      <w:pPr>
        <w:spacing w:after="120" w:line="480" w:lineRule="auto"/>
        <w:jc w:val="both"/>
        <w:rPr>
          <w:rFonts w:ascii="Arial" w:eastAsia="Arial" w:hAnsi="Arial" w:cs="Arial"/>
          <w:lang w:val="es-ES" w:eastAsia="es-ES"/>
        </w:rPr>
      </w:pPr>
    </w:p>
    <w:p w14:paraId="1E34D0B6" w14:textId="77777777" w:rsidR="00D27E85" w:rsidRPr="00DF3903" w:rsidRDefault="00D27E85" w:rsidP="00D27E85">
      <w:pPr>
        <w:spacing w:after="120" w:line="480" w:lineRule="auto"/>
        <w:jc w:val="both"/>
        <w:rPr>
          <w:rFonts w:ascii="Arial" w:eastAsia="Arial" w:hAnsi="Arial" w:cs="Arial"/>
          <w:lang w:val="es-ES" w:eastAsia="es-ES"/>
        </w:rPr>
      </w:pPr>
    </w:p>
    <w:p w14:paraId="6B37907C"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bookmarkStart w:id="7" w:name="_Toc233474055"/>
      <w:r>
        <w:rPr>
          <w:rFonts w:ascii="Arial" w:eastAsia="Arial" w:hAnsi="Arial" w:cs="Arial"/>
          <w:b/>
          <w:bCs/>
          <w:color w:val="000000"/>
          <w:lang w:val="es-ES" w:eastAsia="es-ES"/>
        </w:rPr>
        <w:lastRenderedPageBreak/>
        <w:t>Alcance</w:t>
      </w:r>
      <w:bookmarkEnd w:id="7"/>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El alcance temático comprende el mercado de certificados de depósito de ahorro (CDA) del sistema bancario; se excluyen otros instrumentos financieros y la evaluación de la Paridad Cubierta, dado que Paraguay carece de un mercado forward oficial. El alcance espacial es el sistema bancario paraguayo en su conjunto (tasas promedio del sistema, no entidades individuales). El alcance temporal abarca 2004–2024 (84 trimestres), justificado por la disponibilidad de cobertura homogénea y reglamentada de las tasas pasivas por moneda desde 2004. La unidad de análisis es el diferencial trimestral de retornos y, dentro de él, la prima de riesgo que lo sostiene. La profundidad del estudio es correlacional, de incidencia: el diseño —una única serie observada antes y después del cambio de régimen, sin grupo de control— mide asociación a través de un quiebre, no efectos causales. Se utilizan datos de acceso público del BCP (tasas pasivas de CDA por moneda, tipo de cambio nominal y ratio de dolarización de depósitos), de la Reserva Federal (tasa de fondos federales) y de FRED (el índice de precios al consumidor de los Estados Unidos; el IPC del Paraguay proviene del BCP).</w:t>
      </w:r>
    </w:p>
    <w:p w14:paraId="46BADB4F"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bookmarkStart w:id="8" w:name="_Toc233474056"/>
      <w:r>
        <w:rPr>
          <w:rFonts w:ascii="Arial" w:eastAsia="Arial" w:hAnsi="Arial" w:cs="Arial"/>
          <w:b/>
          <w:bCs/>
          <w:color w:val="000000"/>
          <w:lang w:val="es-ES" w:eastAsia="es-ES"/>
        </w:rPr>
        <w:t>5. Objetivos de la Investigación</w:t>
      </w:r>
      <w:bookmarkEnd w:id="8"/>
    </w:p>
    <w:p w14:paraId="097C3DF8"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bookmarkStart w:id="9" w:name="_Toc233474057"/>
      <w:r>
        <w:rPr>
          <w:rFonts w:ascii="Arial" w:eastAsia="Arial" w:hAnsi="Arial" w:cs="Arial"/>
          <w:b/>
          <w:bCs/>
          <w:color w:val="000000"/>
          <w:lang w:val="es-ES" w:eastAsia="es-ES"/>
        </w:rPr>
        <w:t>Objetivo general</w:t>
      </w:r>
      <w:bookmarkEnd w:id="9"/>
    </w:p>
    <w:p w14:paraId="7E620584"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Determinar cómo se recompuso la incidencia relativa de los determinantes de la prima de riesgo del diferencial de retornos entre certificados en guaraníes y dólares tras la adopción de las Metas de Inflación en 2011, en el sistema bancario paraguayo, 2004–2024.</w:t>
      </w:r>
    </w:p>
    <w:p w14:paraId="117AA286"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bookmarkStart w:id="10" w:name="_Toc233474058"/>
      <w:r>
        <w:rPr>
          <w:rFonts w:ascii="Arial" w:eastAsia="Arial" w:hAnsi="Arial" w:cs="Arial"/>
          <w:b/>
          <w:bCs/>
          <w:color w:val="000000"/>
          <w:lang w:val="es-ES" w:eastAsia="es-ES"/>
        </w:rPr>
        <w:t>Objetivos específicos</w:t>
      </w:r>
      <w:bookmarkEnd w:id="10"/>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Caracterizar la evolución del diferencial de retornos estándar y de su medida conservadora durante 2004–2024, a partir de las tasas pasivas de CDA y el tipo de cambio publicados por el BCP (Banco Central del Paraguay, 2024).</w:t>
      </w:r>
    </w:p>
    <w:p w14:paraId="7763099C" w14:textId="77777777"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lang w:val="es-ES" w:eastAsia="es-ES"/>
        </w:rPr>
        <w:t>Verificar, como premisa del análisis, si el diferencial conservador (que excluye la apreciación) permanece positivo para el período completo y para cada subperíodo.</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Contrastar si la dinámica del diferencial exhibe un quiebre estructural asociado al cambio de régimen de 2011, mediante pruebas de cambio estructural con fecha de quiebre endógena.</w:t>
      </w:r>
    </w:p>
    <w:p w14:paraId="6E93998D" w14:textId="77777777"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lang w:val="es-ES" w:eastAsia="es-ES"/>
        </w:rPr>
        <w:t>Descomponer el diferencial de tasas en su componente de inflación esperada y su componente de prima de riesgo real, y comparar ambas proporciones entre los subperíodos pre y post 2011 (primera capa de la recomposición).</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Identificar la migración del determinante dominante dentro de la prima de riesgo tras 2011, contrastando formalmente el cambio en la incidencia relativa del riesgo de depreciación cambiaria y del riesgo de iliquidez del mercado de fondos prestables (segunda capa y núcleo de la investigación).</w:t>
      </w:r>
    </w:p>
    <w:p w14:paraId="766CBA59"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bookmarkStart w:id="11" w:name="_Toc233474059"/>
      <w:r>
        <w:rPr>
          <w:rFonts w:ascii="Arial" w:eastAsia="Arial" w:hAnsi="Arial" w:cs="Arial"/>
          <w:b/>
          <w:bCs/>
          <w:color w:val="000000"/>
          <w:lang w:val="es-ES" w:eastAsia="es-ES"/>
        </w:rPr>
        <w:t>6. Hipótesis de Investigación</w:t>
      </w:r>
      <w:bookmarkEnd w:id="11"/>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Sobre la base del marco teórico desarrollado en la Sección 7 (Pilares 1 a 6), se formula la siguiente hipótesis de investigación.</w:t>
      </w:r>
    </w:p>
    <w:p w14:paraId="6043E2D4"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Hipótesis de investigación. </w:t>
      </w:r>
      <w:r>
        <w:rPr>
          <w:rFonts w:ascii="Arial" w:eastAsia="Arial" w:hAnsi="Arial" w:cs="Arial"/>
          <w:lang w:val="es-ES" w:eastAsia="es-ES"/>
        </w:rPr>
        <w:t xml:space="preserve">Tras la adopción del régimen de Metas de Inflación en 2011, el diferencial de retornos entre CDA en guaraníes y en dólares no desaparece, sino que se </w:t>
      </w:r>
      <w:r>
        <w:rPr>
          <w:rFonts w:ascii="Arial" w:eastAsia="Arial" w:hAnsi="Arial" w:cs="Arial"/>
          <w:b/>
          <w:bCs/>
          <w:lang w:val="es-ES" w:eastAsia="es-ES"/>
        </w:rPr>
        <w:t>recompone</w:t>
      </w:r>
      <w:r>
        <w:rPr>
          <w:rFonts w:ascii="Arial" w:eastAsia="Arial" w:hAnsi="Arial" w:cs="Arial"/>
          <w:lang w:val="es-ES" w:eastAsia="es-ES"/>
        </w:rPr>
        <w:t xml:space="preserve">: la prima de inflación se contrae al anclarse las expectativas, mientras la prima de riesgo persiste y su composición interna —el peso relativo de sus determinantes— se modifica significativamente con el cambio de régimen. Como conjetura direccional derivada del marco teórico se plantea que esa recomposición opera desde el riesgo de depreciación cambiaria hacia el riesgo de iliquidez del mercado de fondos prestables; la dirección, no obstante, se somete a contraste empírico sin imponerse a priori. En consecuencia, el resultado neto sobre el </w:t>
      </w:r>
      <w:r>
        <w:rPr>
          <w:rFonts w:ascii="Arial" w:eastAsia="Arial" w:hAnsi="Arial" w:cs="Arial"/>
          <w:i/>
          <w:iCs/>
          <w:lang w:val="es-ES" w:eastAsia="es-ES"/>
        </w:rPr>
        <w:t>nivel</w:t>
      </w:r>
      <w:r>
        <w:rPr>
          <w:rFonts w:ascii="Arial" w:eastAsia="Arial" w:hAnsi="Arial" w:cs="Arial"/>
          <w:lang w:val="es-ES" w:eastAsia="es-ES"/>
        </w:rPr>
        <w:t xml:space="preserve"> del diferencial es teóricamente indeterminado, y el fenómeno relevante es el </w:t>
        <w:lastRenderedPageBreak/>
        <w:t xml:space="preserve">cambio en la </w:t>
      </w:r>
      <w:r>
        <w:rPr>
          <w:rFonts w:ascii="Arial" w:eastAsia="Arial" w:hAnsi="Arial" w:cs="Arial"/>
          <w:i/>
          <w:iCs/>
          <w:lang w:val="es-ES" w:eastAsia="es-ES"/>
        </w:rPr>
        <w:t>estructura</w:t>
      </w:r>
      <w:r>
        <w:rPr>
          <w:rFonts w:ascii="Arial" w:eastAsia="Arial" w:hAnsi="Arial" w:cs="Arial"/>
          <w:lang w:val="es-ES" w:eastAsia="es-ES"/>
        </w:rPr>
        <w:t xml:space="preserve"> de sus determinantes, no la mera variación de su magnitud promedio.</w:t>
      </w:r>
    </w:p>
    <w:p w14:paraId="2761B748"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El sistema de hipótesis estadísticas que operacionaliza esta proposición —formulado sobre los coeficientes de los términos de interacción del modelo de regresión— se presenta en el Marco Metodológico (Etapa 5), conforme a la convención de reservar la hipótesis declarativa para esta sección y el par H</w:t>
      </w:r>
      <w:r>
        <w:rPr>
          <w:rFonts w:ascii="Arial" w:eastAsia="Arial" w:hAnsi="Arial" w:cs="Arial"/>
          <w:vertAlign w:val="subscript"/>
          <w:lang w:val="es-ES" w:eastAsia="es-ES"/>
        </w:rPr>
        <w:t>0</w:t>
      </w:r>
      <w:r>
        <w:rPr>
          <w:rFonts w:ascii="Arial" w:eastAsia="Arial" w:hAnsi="Arial" w:cs="Arial"/>
          <w:lang w:val="es-ES" w:eastAsia="es-ES"/>
        </w:rPr>
        <w:t>/H</w:t>
      </w:r>
      <w:r>
        <w:rPr>
          <w:rFonts w:ascii="Arial" w:eastAsia="Arial" w:hAnsi="Arial" w:cs="Arial"/>
          <w:vertAlign w:val="subscript"/>
          <w:lang w:val="es-ES" w:eastAsia="es-ES"/>
        </w:rPr>
        <w:t>A</w:t>
      </w:r>
      <w:r>
        <w:rPr>
          <w:rFonts w:ascii="Arial" w:eastAsia="Arial" w:hAnsi="Arial" w:cs="Arial"/>
          <w:lang w:val="es-ES" w:eastAsia="es-ES"/>
        </w:rPr>
        <w:t xml:space="preserve"> para el diseño econométrico.</w:t>
      </w:r>
    </w:p>
    <w:p w14:paraId="6AC11DF2"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bookmarkStart w:id="12" w:name="_Toc233474060"/>
      <w:r>
        <w:rPr>
          <w:rFonts w:ascii="Arial" w:eastAsia="Arial" w:hAnsi="Arial" w:cs="Arial"/>
          <w:b/>
          <w:bCs/>
          <w:color w:val="000000"/>
          <w:lang w:val="es-ES" w:eastAsia="es-ES"/>
        </w:rPr>
        <w:t>7. Marco Teórico y Metodológico</w:t>
      </w:r>
      <w:bookmarkEnd w:id="12"/>
    </w:p>
    <w:p w14:paraId="0DA6B01F"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bookmarkStart w:id="13" w:name="_Toc233474061"/>
      <w:r>
        <w:rPr>
          <w:rFonts w:ascii="Arial" w:eastAsia="Arial" w:hAnsi="Arial" w:cs="Arial"/>
          <w:b/>
          <w:bCs/>
          <w:color w:val="000000"/>
          <w:lang w:val="es-ES" w:eastAsia="es-ES"/>
        </w:rPr>
        <w:t>7.1. Marco teórico</w:t>
      </w:r>
      <w:bookmarkEnd w:id="13"/>
    </w:p>
    <w:p>
      <w:pPr>
        <w:jc w:val="both"/>
        <w:rPr>
          <w:rFonts w:ascii="Arial" w:hAnsi="Arial" w:cs="Arial"/>
        </w:rPr>
      </w:pPr>
      <w:r>
        <w:rPr>
          <w:rFonts w:ascii="Arial" w:hAnsi="Arial" w:cs="Arial"/>
        </w:rPr>
        <w:t xml:space="preserve">Este marco teórico establece el fundamento conceptual del trabajo siguiendo una progresión de lo general a lo específico. Primero se ubica la investigación en la literatura internacional que le sirve de antecedente; luego se desarrolla el contexto histórico-institucional del sistema financiero paraguayo y los pilares teóricos que sustentan el análisis —la paridad de tasas y su incumplimiento, la descomposición de Fisher, el régimen de Metas de Inflación, los determinantes estructurales del diferencial y la dolarización financiera como fenómeno transversal—; y se cierra con las bases legales, el sistema de variables y la definición de los términos empleados. El hilo conductor es una única pregunta: qué sostiene el diferencial de retornos entre certificados de depósito de ahorro en guaraníes y en dólares, y cómo cabe esperar que un cambio de régimen monetario altere su composición.</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Antecedentes de investigación</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evidencia internacional ofrece tres líneas de antecedentes directamente vinculadas a esta investigación. Primero, las pruebas de la paridad descubierta en economías emergentes: Bansal y Dahlquist (2000) documentan que el incumplimiento de la UIP es sistemáticamente mayor en economías de menor ingreso y mayor volatilidad inflacionaria, y Lewis (1995) sistematiza las explicaciones del exceso de retorno cambiario, incluidas las basadas en el problema del peso (Krasker, 1980), que constituye además la hipótesis rival que este trabajo debe arbitrar: una prima persistente puede reflejar la expectativa de un evento extremo no materializado en la muestra, y no una prima estructural que se recompone. Segundo, la evidencia sobre regímenes de metas de inflación y primas de riesgo: Mishkin y Schmidt-Hebbel (2007) encuentran que la adopción de metas reduce el nivel y la volatilidad de la inflación sin eliminar los diferenciales de riesgo, y Leiderman, Maino y Parrado (2006) analizan la operación de metas de inflación en economías dolarizadas, el caso más próximo al paraguayo. Tercero, la literatura de dolarización financiera (Calvo &amp; Végh, 1992; Ize &amp; Levy-Yeyati, 2003) y del «miedo a flotar» (Calvo &amp; Reinhart, 2002), que explica por qué las fricciones estructurales asociadas a la moneda extranjera sobreviven a la estabilización nominal. No se identificó evidencia empírica publicada para el mercado de CDA paraguayo; ese vacío justifica el aporte del trabajo, y esta sección lo ubica en la conversación internacional a la que contribuye.</w:t>
      </w:r>
    </w:p>
    <w:p>
      <w:pPr>
        <w:spacing w:before="180" w:after="100" w:line="480" w:lineRule="auto"/>
        <w:outlineLvl w:val="2"/>
        <w:rPr>
          <w:rFonts w:ascii="Arial" w:eastAsia="Arial" w:hAnsi="Arial" w:cs="Arial"/>
          <w:b/>
          <w:bCs/>
          <w:i/>
          <w:iCs/>
          <w:color w:val="000000"/>
          <w:lang w:val="es-ES" w:eastAsia="es-ES"/>
        </w:rPr>
      </w:pPr>
      <w:bookmarkStart w:id="100" w:name="_Toc233474100"/>
      <w:r>
        <w:rPr>
          <w:rFonts w:ascii="Arial" w:eastAsia="Arial" w:hAnsi="Arial" w:cs="Arial"/>
          <w:b/>
          <w:bCs/>
          <w:i/>
          <w:iCs/>
          <w:color w:val="000000"/>
          <w:lang w:val="es-ES" w:eastAsia="es-ES"/>
        </w:rPr>
        <w:t>Pilar preliminar: Antecedentes histórico-institucionales del sistema financiero paraguayo</w:t>
      </w:r>
      <w:bookmarkEnd w:id="100"/>
    </w:p>
    <w:p>
      <w:pPr>
        <w:spacing w:before="120" w:after="120" w:line="480" w:lineRule="auto"/>
        <w:jc w:val="both"/>
        <w:rPr>
          <w:rFonts w:ascii="Arial" w:eastAsia="Arial" w:hAnsi="Arial" w:cs="Arial"/>
          <w:lang w:val="es-ES" w:eastAsia="es-ES"/>
        </w:rPr>
      </w:pPr>
      <w:r>
        <w:rPr>
          <w:rFonts w:ascii="Arial" w:eastAsia="Arial" w:hAnsi="Arial" w:cs="Arial"/>
          <w:lang w:val="es-ES" w:eastAsia="es-ES"/>
        </w:rPr>
        <w:t>El punto de partida empírico de esta investigación —el primer trimestre de 2004— no es arbitrario, pero tampoco se explica por sí solo. Para comprender la magnitud y la composición del diferencial de retornos que los datos exhiben desde ese año es necesario remontarse al proceso que dio forma al sistema financiero paraguayo en las décadas anteriores. Ese proceso estuvo marcado por tres episodios sucesivos cuya huella es aún detectable en el período 2004–2024: la transición de un régimen de represión financiera hacia un sistema de mercado parcialmente liberalizado a partir de 1989, la crisis bancaria sistémica de 1995–1998 que erosionó de forma duradera la confianza de los depositantes en los instrumentos denominados en guaraníes, y la contaminación regional producida por los colapsos monetarios de Argentina y Uruguay en 2001–2002. Cada uno de esos episodios sedimentó expectativas, hábitos y estructuras institucionales que condicionaron las decisiones de cartera de los ahorristas paraguayos a lo largo del período analizado.</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Durante los más de treinta y cinco años del régimen de Stroessner (1954–1989), el sistema financiero paraguayo operó bajo condiciones de represión financiera: el tipo de cambio estuvo administrativamente controlado durante períodos prolongados y la política monetaria respondía a las necesidades de financiamiento del Estado antes que a objetivos de estabilidad de precios. La transición democrática de febrero de 1989 y la liberalización cambiaria que le siguió pusieron en evidencia las tensiones acumuladas: el guaraní experimentó episodios de depreciación significativa en los primeros años de la década de 1990, y la inflación, antes contenida de forma administrativa, mostró aceleraciones que instalaron en el ahorrista paraguayo la percepción de que mantener activos en moneda doméstica implicaba un riesgo real y cuantificable. Esta primera experiencia de inestabilidad post-liberalización estableció el piso sobre el que se construyeron las decisiones de cartera de la generación que llegaría a 2004 con sus ahorros ya constituidos.</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El episodio más determinante para entender la estructura de la dolarización que caracterizó al sistema bancario paraguayo en el período 2004–2024 fue la crisis bancaria sistémica de 1995–1998. A lo largo de esos años, el Banco Central del Paraguay debió intervenir, liquidar o rescatar un conjunto de entidades financieras privadas cuyos problemas de solvencia y liquidez se habían acumulado bajo la superficie de un período de expansión crediticia. El efecto sobre los depositantes fue inmediato y duradero: numerosos ahorristas sufrieron pérdidas patrimoniales reales o experimentaron la inmovilización temporal de depósitos denominados en guaraníes. La respuesta fue previsible: la migración hacia depósitos en dólares estadounidenses, ajenos a los problemas del sistema bancario local, se aceleró de forma significativa, y la dolarización de depósitos escaló hacia los niveles más altos del período analizado precisamente en los años inmediatamente posteriores a 1998. La literatura sobre </w:t>
      </w:r>
      <w:r>
        <w:rPr>
          <w:rFonts w:ascii="Arial" w:eastAsia="Arial" w:hAnsi="Arial" w:cs="Arial"/>
          <w:i/>
          <w:iCs/>
          <w:lang w:val="es-ES" w:eastAsia="es-ES"/>
        </w:rPr>
        <w:t>histéresis</w:t>
      </w:r>
      <w:r>
        <w:rPr>
          <w:rFonts w:ascii="Arial" w:eastAsia="Arial" w:hAnsi="Arial" w:cs="Arial"/>
          <w:lang w:val="es-ES" w:eastAsia="es-ES"/>
        </w:rPr>
        <w:t xml:space="preserve"> financiera —documentada, entre otros, por Calvo y Végh (1992) e Ize y Levy-Yeyati (2003)— predice con exactitud este patrón: los comportamientos de dolarización adoptados en respuesta a crisis bancarias o cambiarias tienden a persistir mucho más allá de la resolución de la crisis que los motivó, porque la información que el ahorrista incorporó durante ese episodio es genuinamente relevante para evaluar el riesgo futuro de los instrumentos domésticos.</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Si la crisis bancaria de 1995–1998 fue el detonante interno de la dolarización, el entorno regional de 2001–2002 operó como su amplificador externo. La crisis argentina de diciembre de 2001 —con el congelamiento bancario, el abandono de la convertibilidad y la cesación de pagos de la deuda soberana— tuvo efectos directos sobre Paraguay a través de dos canales: el comercial, por la contracción de la demanda de exportaciones, y el de expectativas, más relevante para esta investigación, pues los ahorristas paraguayos observaron en el país vecino exactamente el escenario que más temían —un sistema bancario incapaz de devolver los depósitos en moneda doméstica a su valor— y recalibraron su disposición a mantener activos en guaraníes. Simultáneamente, Uruguay atravesaba su propia crisis bancaria de 2002. Paraguay, enclavado entre sus dos vecinos en crisis, procesó esos episodios como confirmación de la racionalidad de la dolarización precautoria. El período 2002–2003 constituyó el punto de mayor dolarización del sistema financiero paraguayo, y el punto de partida desde el que la tendencia de largo plazo comenzaría, lenta pero sostenidamente, a revertirse.</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La recuperación comenzó a perfilarse a partir de 2003–2004, impulsada por la reactivación económica asociada al auge de los precios internacionales de los </w:t>
      </w:r>
      <w:r>
        <w:rPr>
          <w:rFonts w:ascii="Arial" w:eastAsia="Arial" w:hAnsi="Arial" w:cs="Arial"/>
          <w:i/>
          <w:iCs/>
          <w:lang w:val="es-ES" w:eastAsia="es-ES"/>
        </w:rPr>
        <w:t>commodities</w:t>
      </w:r>
      <w:r>
        <w:rPr>
          <w:rFonts w:ascii="Arial" w:eastAsia="Arial" w:hAnsi="Arial" w:cs="Arial"/>
          <w:lang w:val="es-ES" w:eastAsia="es-ES"/>
        </w:rPr>
        <w:t xml:space="preserve"> agrícolas —en particular la soja— y por una gestión monetaria del BCP progresivamente más orientada hacia la estabilidad. Entre 2004 y 2010, la inflación mantuvo una tendencia declinante, aunque con volatilidad, y el BCP fue construyendo los instrumentos operativos —en particular la Tasa de Política Monetaria como señal de mercado— que serían la base del régimen de Metas de Inflación adoptado el 18 de mayo de 2011. Ese proceso de aprendizaje institucional y construcción de credibilidad es el telón de fondo sobre el que debe interpretarse el diferencial de retornos del período 2004–2010: un diferencial elevado, en buena parte dominado por la prima de inflación derivada de la incertidumbre del régimen de agregados monetarios, pero que ya comenzaba a reflejar los primeros indicios de la estabilización que el régimen de Metas de Inflación vendría a consolidar. Este es el punto exacto en el que la teoría de la Paridad Descubierta de Tasas de Interés, desarrollada en el pilar siguiente, comienza a operar como marco interpretativo de los datos.</w:t>
      </w:r>
    </w:p>
    <w:p w14:paraId="4EBF5B9E"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bookmarkStart w:id="14" w:name="_Toc233474062"/>
      <w:r>
        <w:rPr>
          <w:rFonts w:ascii="Arial" w:eastAsia="Arial" w:hAnsi="Arial" w:cs="Arial"/>
          <w:b/>
          <w:bCs/>
          <w:i/>
          <w:iCs/>
          <w:color w:val="000000"/>
          <w:lang w:val="es-ES" w:eastAsia="es-ES"/>
        </w:rPr>
        <w:t>Pilar 1: Paridad Descubierta de Tasas de Interés (UIP)</w:t>
      </w:r>
      <w:bookmarkEnd w:id="14"/>
    </w:p>
    <w:p w14:paraId="1E2AABBF"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 condición de UIP (Keynes, 1923; Frenkel, 1973) establece que, bajo libre movilidad de capitales y neutralidad al riesgo, el diferencial de tasas nominales entre dos países debe igualarse a la depreciación esperada del tipo de cambio:</w:t>
      </w:r>
    </w:p>
    <w:p w14:paraId="660B6EB7"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 = E</w:t>
      </w:r>
      <w:r>
        <w:rPr>
          <w:rFonts w:ascii="Cambria Math" w:eastAsia="Arial" w:hAnsi="Cambria Math" w:cs="Cambria Math"/>
          <w:i/>
          <w:iCs/>
          <w:lang w:val="es-ES" w:eastAsia="es-ES"/>
        </w:rPr>
        <w:t>ₜ</w:t>
      </w:r>
      <w:r>
        <w:rPr>
          <w:rFonts w:ascii="Arial" w:eastAsia="Arial" w:hAnsi="Arial" w:cs="Arial"/>
          <w:i/>
          <w:iCs/>
          <w:lang w:val="es-ES" w:eastAsia="es-ES"/>
        </w:rPr>
        <w:t>[(TC</w:t>
      </w:r>
      <w:r>
        <w:rPr>
          <w:rFonts w:ascii="Cambria Math" w:eastAsia="Arial" w:hAnsi="Cambria Math" w:cs="Cambria Math"/>
          <w:i/>
          <w:iCs/>
          <w:lang w:val="es-ES" w:eastAsia="es-ES"/>
        </w:rPr>
        <w:t>ₜ₊₁</w:t>
      </w:r>
      <w:r>
        <w:rPr>
          <w:rFonts w:ascii="Arial" w:eastAsia="Arial" w:hAnsi="Arial" w:cs="Arial"/>
          <w:i/>
          <w:iCs/>
          <w:lang w:val="es-ES" w:eastAsia="es-ES"/>
        </w:rPr>
        <w:t xml:space="preserve"> − TC</w:t>
      </w:r>
      <w:r>
        <w:rPr>
          <w:rFonts w:ascii="Cambria Math" w:eastAsia="Arial" w:hAnsi="Cambria Math" w:cs="Cambria Math"/>
          <w:i/>
          <w:iCs/>
          <w:lang w:val="es-ES" w:eastAsia="es-ES"/>
        </w:rPr>
        <w:t>ₜ</w:t>
      </w:r>
      <w:r>
        <w:rPr>
          <w:rFonts w:ascii="Arial" w:eastAsia="Arial" w:hAnsi="Arial" w:cs="Arial"/>
          <w:i/>
          <w:iCs/>
          <w:lang w:val="es-ES" w:eastAsia="es-ES"/>
        </w:rPr>
        <w:t>) / TC</w:t>
      </w:r>
      <w:r>
        <w:rPr>
          <w:rFonts w:ascii="Cambria Math" w:eastAsia="Arial" w:hAnsi="Cambria Math" w:cs="Cambria Math"/>
          <w:i/>
          <w:iCs/>
          <w:lang w:val="es-ES" w:eastAsia="es-ES"/>
        </w:rPr>
        <w:t>ₜ</w:t>
      </w:r>
      <w:r>
        <w:rPr>
          <w:rFonts w:ascii="Arial" w:eastAsia="Arial" w:hAnsi="Arial" w:cs="Arial"/>
          <w:i/>
          <w:iCs/>
          <w:lang w:val="es-ES" w:eastAsia="es-ES"/>
        </w:rPr>
        <w:t>]</w:t>
      </w:r>
      <w:r>
        <w:rPr>
          <w:rFonts w:ascii="Arial" w:eastAsia="Arial" w:hAnsi="Arial" w:cs="Arial"/>
          <w:lang w:val="es-ES" w:eastAsia="es-ES"/>
        </w:rPr>
        <w:tab/>
        <w:t>(1)</w:t>
      </w:r>
    </w:p>
    <w:p w14:paraId="5FA34263"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donde i</w:t>
      </w:r>
      <w:r>
        <w:rPr>
          <w:rFonts w:ascii="Arial" w:eastAsia="Arial" w:hAnsi="Arial" w:cs="Arial"/>
          <w:vertAlign w:val="subscript"/>
          <w:lang w:val="es-ES" w:eastAsia="es-ES"/>
        </w:rPr>
        <w:t>t</w:t>
      </w:r>
      <w:r>
        <w:rPr>
          <w:rFonts w:ascii="Arial" w:eastAsia="Arial" w:hAnsi="Arial" w:cs="Arial"/>
          <w:lang w:val="es-ES" w:eastAsia="es-ES"/>
        </w:rPr>
        <w:t>(Gs) es la tasa pasiva del CDA en guaraníes, i</w:t>
      </w:r>
      <w:r>
        <w:rPr>
          <w:rFonts w:ascii="Arial" w:eastAsia="Arial" w:hAnsi="Arial" w:cs="Arial"/>
          <w:vertAlign w:val="subscript"/>
          <w:lang w:val="es-ES" w:eastAsia="es-ES"/>
        </w:rPr>
        <w:t>t</w:t>
      </w:r>
      <w:r>
        <w:rPr>
          <w:rFonts w:ascii="Arial" w:eastAsia="Arial" w:hAnsi="Arial" w:cs="Arial"/>
          <w:lang w:val="es-ES" w:eastAsia="es-ES"/>
        </w:rPr>
        <w:t>(USD) la del CDA en dólares y TC</w:t>
      </w:r>
      <w:r>
        <w:rPr>
          <w:rFonts w:ascii="Arial" w:eastAsia="Arial" w:hAnsi="Arial" w:cs="Arial"/>
          <w:vertAlign w:val="subscript"/>
          <w:lang w:val="es-ES" w:eastAsia="es-ES"/>
        </w:rPr>
        <w:t>t</w:t>
      </w:r>
      <w:r>
        <w:rPr>
          <w:rFonts w:ascii="Arial" w:eastAsia="Arial" w:hAnsi="Arial" w:cs="Arial"/>
          <w:lang w:val="es-ES" w:eastAsia="es-ES"/>
        </w:rPr>
        <w:t xml:space="preserve"> el tipo de cambio nominal guaraní/dólar al cierre del trimestre t. El diferencial de retornos </w:t>
      </w:r>
      <w:r>
        <w:rPr>
          <w:rFonts w:ascii="Arial" w:eastAsia="Arial" w:hAnsi="Arial" w:cs="Arial"/>
          <w:i/>
          <w:iCs/>
          <w:lang w:val="es-ES" w:eastAsia="es-ES"/>
        </w:rPr>
        <w:t>ex post</w:t>
      </w:r>
      <w:r>
        <w:rPr>
          <w:rFonts w:ascii="Arial" w:eastAsia="Arial" w:hAnsi="Arial" w:cs="Arial"/>
          <w:lang w:val="es-ES" w:eastAsia="es-ES"/>
        </w:rPr>
        <w:t xml:space="preserve"> (la ganancia o pérdida efectiva de haber depositado en guaraníes respecto de haber depositado en dólares) se define como:</w:t>
      </w:r>
    </w:p>
    <w:p w14:paraId="1536BCFD"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DR</w:t>
      </w:r>
      <w:r>
        <w:rPr>
          <w:rFonts w:ascii="Cambria Math" w:eastAsia="Arial" w:hAnsi="Cambria Math" w:cs="Cambria Math"/>
          <w:i/>
          <w:iCs/>
          <w:lang w:val="es-ES" w:eastAsia="es-ES"/>
        </w:rPr>
        <w:t>ₜ₊₁</w:t>
      </w:r>
      <w:r>
        <w:rPr>
          <w:rFonts w:ascii="Arial" w:eastAsia="Arial" w:hAnsi="Arial" w:cs="Arial"/>
          <w:i/>
          <w:iCs/>
          <w:lang w:val="es-ES" w:eastAsia="es-ES"/>
        </w:rPr>
        <w:t xml:space="preserve"> = [i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(USD)]/4 − [(TC</w:t>
      </w:r>
      <w:r>
        <w:rPr>
          <w:rFonts w:ascii="Cambria Math" w:eastAsia="Arial" w:hAnsi="Cambria Math" w:cs="Cambria Math"/>
          <w:i/>
          <w:iCs/>
          <w:lang w:val="es-ES" w:eastAsia="es-ES"/>
        </w:rPr>
        <w:t>ₜ₊₁</w:t>
      </w:r>
      <w:r>
        <w:rPr>
          <w:rFonts w:ascii="Arial" w:eastAsia="Arial" w:hAnsi="Arial" w:cs="Arial"/>
          <w:i/>
          <w:iCs/>
          <w:lang w:val="es-ES" w:eastAsia="es-ES"/>
        </w:rPr>
        <w:t xml:space="preserve"> − TC</w:t>
      </w:r>
      <w:r>
        <w:rPr>
          <w:rFonts w:ascii="Cambria Math" w:eastAsia="Arial" w:hAnsi="Cambria Math" w:cs="Cambria Math"/>
          <w:i/>
          <w:iCs/>
          <w:lang w:val="es-ES" w:eastAsia="es-ES"/>
        </w:rPr>
        <w:t>ₜ</w:t>
      </w:r>
      <w:r>
        <w:rPr>
          <w:rFonts w:ascii="Arial" w:eastAsia="Arial" w:hAnsi="Arial" w:cs="Arial"/>
          <w:i/>
          <w:iCs/>
          <w:lang w:val="es-ES" w:eastAsia="es-ES"/>
        </w:rPr>
        <w:t>)/TC</w:t>
      </w:r>
      <w:r>
        <w:rPr>
          <w:rFonts w:ascii="Cambria Math" w:eastAsia="Arial" w:hAnsi="Cambria Math" w:cs="Cambria Math"/>
          <w:i/>
          <w:iCs/>
          <w:lang w:val="es-ES" w:eastAsia="es-ES"/>
        </w:rPr>
        <w:t>ₜ</w:t>
      </w:r>
      <w:r>
        <w:rPr>
          <w:rFonts w:ascii="Arial" w:eastAsia="Arial" w:hAnsi="Arial" w:cs="Arial"/>
          <w:i/>
          <w:iCs/>
          <w:lang w:val="es-ES" w:eastAsia="es-ES"/>
        </w:rPr>
        <w:t>] × 100</w:t>
      </w:r>
      <w:r>
        <w:rPr>
          <w:rFonts w:ascii="Arial" w:eastAsia="Arial" w:hAnsi="Arial" w:cs="Arial"/>
          <w:lang w:val="es-ES" w:eastAsia="es-ES"/>
        </w:rPr>
        <w:tab/>
        <w:t>(2)</w:t>
      </w:r>
    </w:p>
    <w:p w14:paraId="6FFCF466"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Bajo UIP, E[DR</w:t>
      </w:r>
      <w:r>
        <w:rPr>
          <w:rFonts w:ascii="Arial" w:eastAsia="Arial" w:hAnsi="Arial" w:cs="Arial"/>
          <w:vertAlign w:val="subscript"/>
          <w:lang w:val="es-ES" w:eastAsia="es-ES"/>
        </w:rPr>
        <w:t>t+1</w:t>
      </w:r>
      <w:r>
        <w:rPr>
          <w:rFonts w:ascii="Arial" w:eastAsia="Arial" w:hAnsi="Arial" w:cs="Arial"/>
          <w:lang w:val="es-ES" w:eastAsia="es-ES"/>
        </w:rPr>
        <w:t>] = 0. Un valor positivo y persistente de DR</w:t>
      </w:r>
      <w:r>
        <w:rPr>
          <w:rFonts w:ascii="Arial" w:eastAsia="Arial" w:hAnsi="Arial" w:cs="Arial"/>
          <w:vertAlign w:val="subscript"/>
          <w:lang w:val="es-ES" w:eastAsia="es-ES"/>
        </w:rPr>
        <w:t>t+1</w:t>
      </w:r>
      <w:r>
        <w:rPr>
          <w:rFonts w:ascii="Arial" w:eastAsia="Arial" w:hAnsi="Arial" w:cs="Arial"/>
          <w:lang w:val="es-ES" w:eastAsia="es-ES"/>
        </w:rPr>
        <w:t xml:space="preserve"> constituye evidencia de una prima de riesgo cambiario a favor del guaraní que el mercado no arbitra por completo (Hansen &amp; Hodrick, 1980).</w:t>
      </w:r>
    </w:p>
    <w:p w14:paraId="5638D9A0"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bookmarkStart w:id="15" w:name="_Toc233474063"/>
      <w:r>
        <w:rPr>
          <w:rFonts w:ascii="Arial" w:eastAsia="Arial" w:hAnsi="Arial" w:cs="Arial"/>
          <w:b/>
          <w:bCs/>
          <w:i/>
          <w:iCs/>
          <w:color w:val="000000"/>
          <w:lang w:val="es-ES" w:eastAsia="es-ES"/>
        </w:rPr>
        <w:t>Pilar 2: El «forward premium puzzle» y el coeficiente de Fama</w:t>
      </w:r>
      <w:bookmarkEnd w:id="15"/>
    </w:p>
    <w:p w14:paraId="5E01B09B"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 literatura empírica documenta sistemáticamente que la UIP no se cumple. Fama (1984) demostró que, al estimar la regresión:</w:t>
      </w:r>
    </w:p>
    <w:p w14:paraId="01E11037"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lastRenderedPageBreak/>
        <w:tab/>
      </w:r>
      <w:r>
        <w:rPr>
          <w:rFonts w:ascii="Arial" w:eastAsia="Arial" w:hAnsi="Arial" w:cs="Arial"/>
          <w:i/>
          <w:iCs/>
          <w:lang w:val="es-ES" w:eastAsia="es-ES"/>
        </w:rPr>
        <w:t>Δs</w:t>
      </w:r>
      <w:r>
        <w:rPr>
          <w:rFonts w:ascii="Cambria Math" w:eastAsia="Arial" w:hAnsi="Cambria Math" w:cs="Cambria Math"/>
          <w:i/>
          <w:iCs/>
          <w:lang w:val="es-ES" w:eastAsia="es-ES"/>
        </w:rPr>
        <w:t>ₜ₊₁</w:t>
      </w:r>
      <w:r>
        <w:rPr>
          <w:rFonts w:ascii="Arial" w:eastAsia="Arial" w:hAnsi="Arial" w:cs="Arial"/>
          <w:i/>
          <w:iCs/>
          <w:lang w:val="es-ES" w:eastAsia="es-ES"/>
        </w:rPr>
        <w:t xml:space="preserve"> = α + β·[i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(USD)]/4 + ε</w:t>
      </w:r>
      <w:r>
        <w:rPr>
          <w:rFonts w:ascii="Cambria Math" w:eastAsia="Arial" w:hAnsi="Cambria Math" w:cs="Cambria Math"/>
          <w:i/>
          <w:iCs/>
          <w:lang w:val="es-ES" w:eastAsia="es-ES"/>
        </w:rPr>
        <w:t>ₜ₊₁</w:t>
      </w:r>
      <w:r>
        <w:rPr>
          <w:rFonts w:ascii="Arial" w:eastAsia="Arial" w:hAnsi="Arial" w:cs="Arial"/>
          <w:lang w:val="es-ES" w:eastAsia="es-ES"/>
        </w:rPr>
        <w:tab/>
        <w:t>(3)</w:t>
      </w:r>
    </w:p>
    <w:p w14:paraId="3237C2A8"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donde Δs</w:t>
      </w:r>
      <w:r>
        <w:rPr>
          <w:rFonts w:ascii="Arial" w:eastAsia="Arial" w:hAnsi="Arial" w:cs="Arial"/>
          <w:vertAlign w:val="subscript"/>
          <w:lang w:val="es-ES" w:eastAsia="es-ES"/>
        </w:rPr>
        <w:t>t+1</w:t>
      </w:r>
      <w:r>
        <w:rPr>
          <w:rFonts w:ascii="Arial" w:eastAsia="Arial" w:hAnsi="Arial" w:cs="Arial"/>
          <w:lang w:val="es-ES" w:eastAsia="es-ES"/>
        </w:rPr>
        <w:t xml:space="preserve"> es la depreciación efectiva del guaraní, el coeficiente β resulta menor que 1 (e incluso negativo en muchas economías emergentes) (Fama, 1984). Un β &lt; 1 implica que el guaraní no se deprecia tanto como predice el diferencial de tasas, de modo que el tenedor de CDA en guaraníes obtiene un retorno neto positivo. Un β &lt; 0, el hallazgo más extremo del </w:t>
      </w:r>
      <w:r>
        <w:rPr>
          <w:rFonts w:ascii="Arial" w:eastAsia="Arial" w:hAnsi="Arial" w:cs="Arial"/>
          <w:i/>
          <w:iCs/>
          <w:lang w:val="es-ES" w:eastAsia="es-ES"/>
        </w:rPr>
        <w:t>forward premium puzzle</w:t>
      </w:r>
      <w:r>
        <w:rPr>
          <w:rFonts w:ascii="Arial" w:eastAsia="Arial" w:hAnsi="Arial" w:cs="Arial"/>
          <w:lang w:val="es-ES" w:eastAsia="es-ES"/>
        </w:rPr>
        <w:t xml:space="preserve">, indica que una tasa más alta en guaraníes se asocia, en promedio, con una </w:t>
      </w:r>
      <w:r>
        <w:rPr>
          <w:rFonts w:ascii="Arial" w:eastAsia="Arial" w:hAnsi="Arial" w:cs="Arial"/>
          <w:i/>
          <w:iCs/>
          <w:lang w:val="es-ES" w:eastAsia="es-ES"/>
        </w:rPr>
        <w:t>apreciación</w:t>
      </w:r>
      <w:r>
        <w:rPr>
          <w:rFonts w:ascii="Arial" w:eastAsia="Arial" w:hAnsi="Arial" w:cs="Arial"/>
          <w:lang w:val="es-ES" w:eastAsia="es-ES"/>
        </w:rPr>
        <w:t xml:space="preserve"> del guaraní, lo opuesto de lo que predice la UIP. Este fenómeno tiene una explicación intuitiva en el caso paraguayo: tasas domésticas altas pueden atraer capital externo, que aprecia el guaraní en lugar de depreciarlo. La encuesta de Engel (1996) confirma que el fenómeno es robusto en una amplia muestra de países y períodos.</w:t>
      </w:r>
    </w:p>
    <w:p w14:paraId="2033751C"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t xml:space="preserve">Operacionalización. </w:t>
      </w:r>
      <w:r>
        <w:rPr>
          <w:rFonts w:ascii="Arial" w:eastAsia="Arial" w:hAnsi="Arial" w:cs="Arial"/>
          <w:lang w:val="es-ES" w:eastAsia="es-ES"/>
        </w:rPr>
        <w:t xml:space="preserve">A diferencia de su tratamiento como antecedente meramente ilustrativo, en esta investigación la regresión de Fama se incorpora como corroboración empírica secundaria (Etapa 2), estimándose el coeficiente β para el período completo y para cada subperíodo. Esto permite evaluar si el grado de incumplimiento de la UIP cambió tras 2011 y articula el Pilar 2 con la estrategia econométrica, en lugar de dejarlo como teoría decorativa.</w:t>
      </w:r>
    </w:p>
    <w:p>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Alcance del fenómeno en economías emergentes. </w:t>
      </w:r>
      <w:r>
        <w:rPr>
          <w:rFonts w:ascii="Arial" w:eastAsia="Arial" w:hAnsi="Arial" w:cs="Arial"/>
          <w:lang w:val="es-ES" w:eastAsia="es-ES"/>
        </w:rPr>
        <w:t xml:space="preserve">Para los propósitos de esta investigación, la relevancia del </w:t>
      </w:r>
      <w:r>
        <w:rPr>
          <w:rFonts w:ascii="Arial" w:eastAsia="Arial" w:hAnsi="Arial" w:cs="Arial"/>
          <w:i/>
          <w:iCs/>
          <w:lang w:val="es-ES" w:eastAsia="es-ES"/>
        </w:rPr>
        <w:t>forward premium puzzle</w:t>
      </w:r>
      <w:r>
        <w:rPr>
          <w:rFonts w:ascii="Arial" w:eastAsia="Arial" w:hAnsi="Arial" w:cs="Arial"/>
          <w:lang w:val="es-ES" w:eastAsia="es-ES"/>
        </w:rPr>
        <w:t xml:space="preserve"> no se agota en su interés teórico sino en su manifestación específica en economías como Paraguay. Bansal y Dahlquist (2000) analizaron el </w:t>
      </w:r>
      <w:r>
        <w:rPr>
          <w:rFonts w:ascii="Arial" w:eastAsia="Arial" w:hAnsi="Arial" w:cs="Arial"/>
          <w:i/>
          <w:iCs/>
          <w:lang w:val="es-ES" w:eastAsia="es-ES"/>
        </w:rPr>
        <w:t>puzzle</w:t>
      </w:r>
      <w:r>
        <w:rPr>
          <w:rFonts w:ascii="Arial" w:eastAsia="Arial" w:hAnsi="Arial" w:cs="Arial"/>
          <w:lang w:val="es-ES" w:eastAsia="es-ES"/>
        </w:rPr>
        <w:t xml:space="preserve"> en una muestra amplia de países y encontraron que el rechazo de la UIP es sistemáticamente más pronunciado en las economías con menores ingresos per cápita, mayor volatilidad inflacionaria y mercados financieros menos desarrollados —exactamente las características del entorno financiero paraguayo del período estudiado. En términos del coeficiente β, ello significa que en economías como Paraguay el incumplimiento de la UIP tiende a ser de mayor magnitud, de modo que el diferencial de retornos </w:t>
      </w:r>
      <w:r>
        <w:rPr>
          <w:rFonts w:ascii="Arial" w:eastAsia="Arial" w:hAnsi="Arial" w:cs="Arial"/>
          <w:i/>
          <w:iCs/>
          <w:lang w:val="es-ES" w:eastAsia="es-ES"/>
        </w:rPr>
        <w:t>ex post</w:t>
      </w:r>
      <w:r>
        <w:rPr>
          <w:rFonts w:ascii="Arial" w:eastAsia="Arial" w:hAnsi="Arial" w:cs="Arial"/>
          <w:lang w:val="es-ES" w:eastAsia="es-ES"/>
        </w:rPr>
        <w:t xml:space="preserve"> observable (DRₜ₊₁) tiende a ser más positivo y más persistente que en las economías avanzadas para las que el </w:t>
      </w:r>
      <w:r>
        <w:rPr>
          <w:rFonts w:ascii="Arial" w:eastAsia="Arial" w:hAnsi="Arial" w:cs="Arial"/>
          <w:i/>
          <w:iCs/>
          <w:lang w:val="es-ES" w:eastAsia="es-ES"/>
        </w:rPr>
        <w:t>puzzle</w:t>
      </w:r>
      <w:r>
        <w:rPr>
          <w:rFonts w:ascii="Arial" w:eastAsia="Arial" w:hAnsi="Arial" w:cs="Arial"/>
          <w:lang w:val="es-ES" w:eastAsia="es-ES"/>
        </w:rPr>
        <w:t xml:space="preserve"> fue originalmente documentado.</w:t>
      </w:r>
    </w:p>
    <w:p>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Explicaciones y estado del debate. </w:t>
      </w:r>
      <w:r>
        <w:rPr>
          <w:rFonts w:ascii="Arial" w:eastAsia="Arial" w:hAnsi="Arial" w:cs="Arial"/>
          <w:lang w:val="es-ES" w:eastAsia="es-ES"/>
        </w:rPr>
        <w:t xml:space="preserve">Cuatro familias de explicación han competido en la literatura sin que ninguna haya alcanzado aceptación definitiva. La primera es la </w:t>
      </w:r>
      <w:r>
        <w:rPr>
          <w:rFonts w:ascii="Arial" w:eastAsia="Arial" w:hAnsi="Arial" w:cs="Arial"/>
          <w:i/>
          <w:iCs/>
          <w:lang w:val="es-ES" w:eastAsia="es-ES"/>
        </w:rPr>
        <w:t>prima de riesgo variable en el tiempo</w:t>
      </w:r>
      <w:r>
        <w:rPr>
          <w:rFonts w:ascii="Arial" w:eastAsia="Arial" w:hAnsi="Arial" w:cs="Arial"/>
          <w:lang w:val="es-ES" w:eastAsia="es-ES"/>
        </w:rPr>
        <w:t xml:space="preserve">: si los inversores son aversos al riesgo y el dólar opera como activo de refugio, aceptarán un retorno esperado más bajo en dólares a cambio de esa seguridad, y la moneda de mayor riesgo —el guaraní— debe prometer un retorno esperado más alto para ser sostenida en cartera. La segunda es el </w:t>
      </w:r>
      <w:r>
        <w:rPr>
          <w:rFonts w:ascii="Arial" w:eastAsia="Arial" w:hAnsi="Arial" w:cs="Arial"/>
          <w:i/>
          <w:iCs/>
          <w:lang w:val="es-ES" w:eastAsia="es-ES"/>
        </w:rPr>
        <w:t>problema del peso</w:t>
      </w:r>
      <w:r>
        <w:rPr>
          <w:rFonts w:ascii="Arial" w:eastAsia="Arial" w:hAnsi="Arial" w:cs="Arial"/>
          <w:lang w:val="es-ES" w:eastAsia="es-ES"/>
        </w:rPr>
        <w:t xml:space="preserve"> (Krasker, 1980): si los agentes asignan una probabilidad pequeña pero positiva a un evento de devaluación abrupta que no se materializa en la muestra, el exceso de retorno a favor de la moneda de mayor tasa puede ser una prima cobrada durante los períodos observados que se revertiría en el evento que la muestra no incluyó; en el caso paraguayo, la historia financiera regional muestra que ese evento no es hipotético. La tercera, más cercana a las finanzas del comportamiento, atribuye el fenómeno a errores sistemáticos de predicción sobre el tipo de cambio (Engel, 1996).</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Una cuarta explicación conecta el </w:t>
      </w:r>
      <w:r>
        <w:rPr>
          <w:rFonts w:ascii="Arial" w:eastAsia="Arial" w:hAnsi="Arial" w:cs="Arial"/>
          <w:i/>
          <w:iCs/>
          <w:lang w:val="es-ES" w:eastAsia="es-ES"/>
        </w:rPr>
        <w:t>puzzle</w:t>
      </w:r>
      <w:r>
        <w:rPr>
          <w:rFonts w:ascii="Arial" w:eastAsia="Arial" w:hAnsi="Arial" w:cs="Arial"/>
          <w:lang w:val="es-ES" w:eastAsia="es-ES"/>
        </w:rPr>
        <w:t xml:space="preserve"> con el </w:t>
      </w:r>
      <w:r>
        <w:rPr>
          <w:rFonts w:ascii="Arial" w:eastAsia="Arial" w:hAnsi="Arial" w:cs="Arial"/>
          <w:i/>
          <w:iCs/>
          <w:lang w:val="es-ES" w:eastAsia="es-ES"/>
        </w:rPr>
        <w:t>carry trade</w:t>
      </w:r>
      <w:r>
        <w:rPr>
          <w:rFonts w:ascii="Arial" w:eastAsia="Arial" w:hAnsi="Arial" w:cs="Arial"/>
          <w:lang w:val="es-ES" w:eastAsia="es-ES"/>
        </w:rPr>
        <w:t xml:space="preserve">. Brunnermeier, Nagel y Pedersen (2009) documentaron que los inversores institucionales explotan sistemáticamente el </w:t>
      </w:r>
      <w:r>
        <w:rPr>
          <w:rFonts w:ascii="Arial" w:eastAsia="Arial" w:hAnsi="Arial" w:cs="Arial"/>
          <w:i/>
          <w:iCs/>
          <w:lang w:val="es-ES" w:eastAsia="es-ES"/>
        </w:rPr>
        <w:t>forward premium</w:t>
      </w:r>
      <w:r>
        <w:rPr>
          <w:rFonts w:ascii="Arial" w:eastAsia="Arial" w:hAnsi="Arial" w:cs="Arial"/>
          <w:lang w:val="es-ES" w:eastAsia="es-ES"/>
        </w:rPr>
        <w:t xml:space="preserve"> tomando posiciones largas en monedas de alta tasa y cortas en monedas de baja tasa, con retornos promedio positivos pero expuestos a pérdidas súbitas cuando la aversión global al riesgo se eleva. En el contexto paraguayo, el mecanismo es directo: cuando la TPM del BCP se sitúa por encima de las tasas internacionales, los flujos de capital de corto plazo buscan capturar ese diferencial invirtiendo en instrumentos en guaraníes; esos flujos aprecian el guaraní en el corto plazo —produciendo la asociación inversa entre diferencial de tasas y depreciación que genera el β &lt; 0— y se revierten cuando el diferencial se estrecha o el costo del riesgo externo aumenta. La asimetría entre la apreciación gradual durante los períodos de </w:t>
      </w:r>
      <w:r>
        <w:rPr>
          <w:rFonts w:ascii="Arial" w:eastAsia="Arial" w:hAnsi="Arial" w:cs="Arial"/>
          <w:i/>
          <w:iCs/>
          <w:lang w:val="es-ES" w:eastAsia="es-ES"/>
        </w:rPr>
        <w:t>carry</w:t>
      </w:r>
      <w:r>
        <w:rPr>
          <w:rFonts w:ascii="Arial" w:eastAsia="Arial" w:hAnsi="Arial" w:cs="Arial"/>
          <w:lang w:val="es-ES" w:eastAsia="es-ES"/>
        </w:rPr>
        <w:t xml:space="preserve"> y la depreciación brusca durante las reversiones es, precisamente, el fenómeno que la serie conservadora DRᶜᵒⁿˢ está diseñada para capturar al excluir de su cálculo los episodios de apreciación. El episodio de 2011, cuando la adopción del régimen y la suba de la TPM coincidieron con una apreciación pronunciada del guaraní, ilustra este mecanismo con nitidez y justifica el tratamiento conservador del diferencial adoptado en la Etapa 2.</w:t>
      </w:r>
    </w:p>
    <w:p w14:paraId="712087FD"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bookmarkStart w:id="16" w:name="_Toc233474064"/>
      <w:r>
        <w:rPr>
          <w:rFonts w:ascii="Arial" w:eastAsia="Arial" w:hAnsi="Arial" w:cs="Arial"/>
          <w:b/>
          <w:bCs/>
          <w:i/>
          <w:iCs/>
          <w:color w:val="000000"/>
          <w:lang w:val="es-ES" w:eastAsia="es-ES"/>
        </w:rPr>
        <w:t>Pilar 3: Descomposición de Fisher — prima de inflación vs. prima de riesgo</w:t>
      </w:r>
      <w:bookmarkEnd w:id="16"/>
    </w:p>
    <w:p w14:paraId="080DE66E"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 ecuación de Fisher (Fisher, 1930) permite descomponer el diferencial de tasas nominales en dos componentes económicamente distintos:</w:t>
      </w:r>
    </w:p>
    <w:p w14:paraId="184DC4A2"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 = (πᵉ</w:t>
      </w:r>
      <w:r>
        <w:rPr>
          <w:rFonts w:ascii="Cambria Math" w:eastAsia="Arial" w:hAnsi="Cambria Math" w:cs="Cambria Math"/>
          <w:i/>
          <w:iCs/>
          <w:lang w:val="es-ES" w:eastAsia="es-ES"/>
        </w:rPr>
        <w:t>ₜ</w:t>
      </w:r>
      <w:r>
        <w:rPr>
          <w:rFonts w:ascii="Arial" w:eastAsia="Arial" w:hAnsi="Arial" w:cs="Arial"/>
          <w:i/>
          <w:iCs/>
          <w:lang w:val="es-ES" w:eastAsia="es-ES"/>
        </w:rPr>
        <w:t>,PY − πᵉ</w:t>
      </w:r>
      <w:r>
        <w:rPr>
          <w:rFonts w:ascii="Cambria Math" w:eastAsia="Arial" w:hAnsi="Cambria Math" w:cs="Cambria Math"/>
          <w:i/>
          <w:iCs/>
          <w:lang w:val="es-ES" w:eastAsia="es-ES"/>
        </w:rPr>
        <w:t>ₜ</w:t>
      </w:r>
      <w:r>
        <w:rPr>
          <w:rFonts w:ascii="Arial" w:eastAsia="Arial" w:hAnsi="Arial" w:cs="Arial"/>
          <w:i/>
          <w:iCs/>
          <w:lang w:val="es-ES" w:eastAsia="es-ES"/>
        </w:rPr>
        <w:t>,US) + (r</w:t>
      </w:r>
      <w:r>
        <w:rPr>
          <w:rFonts w:ascii="Cambria Math" w:eastAsia="Arial" w:hAnsi="Cambria Math" w:cs="Cambria Math"/>
          <w:i/>
          <w:iCs/>
          <w:lang w:val="es-ES" w:eastAsia="es-ES"/>
        </w:rPr>
        <w:t>ₜ</w:t>
      </w:r>
      <w:r>
        <w:rPr>
          <w:rFonts w:ascii="Arial" w:eastAsia="Arial" w:hAnsi="Arial" w:cs="Arial"/>
          <w:i/>
          <w:iCs/>
          <w:lang w:val="es-ES" w:eastAsia="es-ES"/>
        </w:rPr>
        <w:t>,Gs − r</w:t>
      </w:r>
      <w:r>
        <w:rPr>
          <w:rFonts w:ascii="Cambria Math" w:eastAsia="Arial" w:hAnsi="Cambria Math" w:cs="Cambria Math"/>
          <w:i/>
          <w:iCs/>
          <w:lang w:val="es-ES" w:eastAsia="es-ES"/>
        </w:rPr>
        <w:t>ₜ</w:t>
      </w:r>
      <w:r>
        <w:rPr>
          <w:rFonts w:ascii="Arial" w:eastAsia="Arial" w:hAnsi="Arial" w:cs="Arial"/>
          <w:i/>
          <w:iCs/>
          <w:lang w:val="es-ES" w:eastAsia="es-ES"/>
        </w:rPr>
        <w:t>,USD)</w:t>
      </w:r>
      <w:r>
        <w:rPr>
          <w:rFonts w:ascii="Arial" w:eastAsia="Arial" w:hAnsi="Arial" w:cs="Arial"/>
          <w:lang w:val="es-ES" w:eastAsia="es-ES"/>
        </w:rPr>
        <w:tab/>
        <w:t>(4)</w:t>
      </w:r>
    </w:p>
    <w:p w14:paraId="7A7D36F1"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El primer término, (π</w:t>
      </w:r>
      <w:r>
        <w:rPr>
          <w:rFonts w:ascii="Arial" w:eastAsia="Arial" w:hAnsi="Arial" w:cs="Arial"/>
          <w:vertAlign w:val="superscript"/>
          <w:lang w:val="es-ES" w:eastAsia="es-ES"/>
        </w:rPr>
        <w:t>e</w:t>
      </w:r>
      <w:r>
        <w:rPr>
          <w:rFonts w:ascii="Arial" w:eastAsia="Arial" w:hAnsi="Arial" w:cs="Arial"/>
          <w:vertAlign w:val="subscript"/>
          <w:lang w:val="es-ES" w:eastAsia="es-ES"/>
        </w:rPr>
        <w:t>t,PY</w:t>
      </w:r>
      <w:r>
        <w:rPr>
          <w:rFonts w:ascii="Arial" w:eastAsia="Arial" w:hAnsi="Arial" w:cs="Arial"/>
          <w:lang w:val="es-ES" w:eastAsia="es-ES"/>
        </w:rPr>
        <w:t xml:space="preserve"> − π</w:t>
      </w:r>
      <w:r>
        <w:rPr>
          <w:rFonts w:ascii="Arial" w:eastAsia="Arial" w:hAnsi="Arial" w:cs="Arial"/>
          <w:vertAlign w:val="superscript"/>
          <w:lang w:val="es-ES" w:eastAsia="es-ES"/>
        </w:rPr>
        <w:t>e</w:t>
      </w:r>
      <w:r>
        <w:rPr>
          <w:rFonts w:ascii="Arial" w:eastAsia="Arial" w:hAnsi="Arial" w:cs="Arial"/>
          <w:vertAlign w:val="subscript"/>
          <w:lang w:val="es-ES" w:eastAsia="es-ES"/>
        </w:rPr>
        <w:t>t,US</w:t>
      </w:r>
      <w:r>
        <w:rPr>
          <w:rFonts w:ascii="Arial" w:eastAsia="Arial" w:hAnsi="Arial" w:cs="Arial"/>
          <w:lang w:val="es-ES" w:eastAsia="es-ES"/>
        </w:rPr>
        <w:t>), es la prima de inflación esperada: el guaraní debe pagar más simplemente porque se espera que los precios en Paraguay suban más que en Estados Unidos. Esta parte del diferencial no representa un beneficio real. El segundo término, (r</w:t>
      </w:r>
      <w:r>
        <w:rPr>
          <w:rFonts w:ascii="Arial" w:eastAsia="Arial" w:hAnsi="Arial" w:cs="Arial"/>
          <w:vertAlign w:val="subscript"/>
          <w:lang w:val="es-ES" w:eastAsia="es-ES"/>
        </w:rPr>
        <w:t>t,Gs</w:t>
      </w:r>
      <w:r>
        <w:rPr>
          <w:rFonts w:ascii="Arial" w:eastAsia="Arial" w:hAnsi="Arial" w:cs="Arial"/>
          <w:lang w:val="es-ES" w:eastAsia="es-ES"/>
        </w:rPr>
        <w:t xml:space="preserve"> − r</w:t>
      </w:r>
      <w:r>
        <w:rPr>
          <w:rFonts w:ascii="Arial" w:eastAsia="Arial" w:hAnsi="Arial" w:cs="Arial"/>
          <w:vertAlign w:val="subscript"/>
          <w:lang w:val="es-ES" w:eastAsia="es-ES"/>
        </w:rPr>
        <w:t>t,USD</w:t>
      </w:r>
      <w:r>
        <w:rPr>
          <w:rFonts w:ascii="Arial" w:eastAsia="Arial" w:hAnsi="Arial" w:cs="Arial"/>
          <w:lang w:val="es-ES" w:eastAsia="es-ES"/>
        </w:rPr>
        <w:t xml:space="preserve">), es el diferencial de tasas reales, que captura la prima de riesgo </w:t>
        <w:lastRenderedPageBreak/>
        <w:t>cambiario y financiero: la compensación adicional que el mercado exige por el riesgo de sostener activos en moneda doméstica.</w:t>
      </w:r>
    </w:p>
    <w:p w14:paraId="30B1AF51"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Esta distinción es central para interpretar el efecto de 2011. El régimen de Metas de Inflación actúa principalmente sobre el primer componente (Svensson, 1997; Mishkin, 2004). Sin embargo, la prima de riesgo real puede persistir aunque la inflación se estabilice, porque refleja riesgos estructurales que la credibilidad monetaria no elimina (Mishkin &amp; Schmidt-Hebbel, 2007). Conviene precisar que la prima de riesgo no es homogénea: dentro de ella conviven al menos dos fuentes —el </w:t>
      </w:r>
      <w:r>
        <w:rPr>
          <w:rFonts w:ascii="Arial" w:eastAsia="Arial" w:hAnsi="Arial" w:cs="Arial"/>
          <w:b/>
          <w:bCs/>
          <w:lang w:val="es-ES" w:eastAsia="es-ES"/>
        </w:rPr>
        <w:t>riesgo de depreciación cambiaria</w:t>
      </w:r>
      <w:r>
        <w:rPr>
          <w:rFonts w:ascii="Arial" w:eastAsia="Arial" w:hAnsi="Arial" w:cs="Arial"/>
          <w:lang w:val="es-ES" w:eastAsia="es-ES"/>
        </w:rPr>
        <w:t xml:space="preserve"> y el </w:t>
      </w:r>
      <w:r>
        <w:rPr>
          <w:rFonts w:ascii="Arial" w:eastAsia="Arial" w:hAnsi="Arial" w:cs="Arial"/>
          <w:b/>
          <w:bCs/>
          <w:lang w:val="es-ES" w:eastAsia="es-ES"/>
        </w:rPr>
        <w:t>riesgo de iliquidez</w:t>
      </w:r>
      <w:r>
        <w:rPr>
          <w:rFonts w:ascii="Arial" w:eastAsia="Arial" w:hAnsi="Arial" w:cs="Arial"/>
          <w:lang w:val="es-ES" w:eastAsia="es-ES"/>
        </w:rPr>
        <w:t xml:space="preserve"> del mercado de fondos prestables. La hipótesis de recomposición sostiene que, tras 2011, el anclaje de expectativas comprime el riesgo de depreciación percibido, de modo que la prima de riesgo que sobrevive pasa a estar dominada por el componente de iliquidez. Detectar esta migración interna es la contribución analítica central de este trabajo.</w:t>
      </w:r>
    </w:p>
    <w:p>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El mecanismo de la recomposición. </w:t>
      </w:r>
      <w:r>
        <w:rPr>
          <w:rFonts w:ascii="Arial" w:eastAsia="Arial" w:hAnsi="Arial" w:cs="Arial"/>
          <w:lang w:val="es-ES" w:eastAsia="es-ES"/>
        </w:rPr>
        <w:t xml:space="preserve">La prima de riesgo combina un componente expectacional y un componente estructural, y esa distinción es el mecanismo que fundamenta la hipótesis. El componente expectacional —el riesgo de depreciación percibido— depende de las expectativas de inflación y de tipo de cambio: un régimen de metas creíble las ancla y, por esa vía, lo comprime. El componente estructural —la segmentación del mercado de fondos prestables derivada de la dolarización de los depósitos y del encaje diferenciado por moneda— responde a fricciones reales del sistema financiero y no a expectativas, por lo que el anclaje nominal no lo remueve (Calvo &amp; Reinhart, 2002; Ize &amp; Levy-Yeyati, 2003). De esa asimetría se deriva la predicción central: tras un cambio de régimen creíble, la prima que sobrevive queda dominada por el componente estructural de iliquidez; los dos términos de interacción del modelo de la Etapa 5 son, precisamente, la medida de ese desplazamiento.</w:t>
      </w:r>
    </w:p>
    <w:p w14:paraId="2B9F8254"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bookmarkStart w:id="17" w:name="_Toc233474065"/>
      <w:r>
        <w:rPr>
          <w:rFonts w:ascii="Arial" w:eastAsia="Arial" w:hAnsi="Arial" w:cs="Arial"/>
          <w:b/>
          <w:bCs/>
          <w:i/>
          <w:iCs/>
          <w:color w:val="000000"/>
          <w:lang w:val="es-ES" w:eastAsia="es-ES"/>
        </w:rPr>
        <w:t>Pilar 4: El régimen de Metas de Inflación en Paraguay — qué pasó en 2011</w:t>
      </w:r>
      <w:bookmarkEnd w:id="17"/>
    </w:p>
    <w:p w14:paraId="2157AA6F"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Antes de mayo de 2011, la política monetaria del BCP se conducía mediante el control de agregados monetarios (M1, M2). Este esquema generaba considerable incertidumbre sobre la trayectoria futura de la inflación y el tipo de cambio: la inflación del período previo al cambio de régimen fue volátil, con episodios recurrentes de aceleración. Esa incertidumbre se traducía en una alta prima de inflación dentro del diferencial de tasas entre guaraníes y dólares.</w:t>
      </w:r>
    </w:p>
    <w:p w14:paraId="3B32169A"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El 18 de mayo de 2011, el Directorio del BCP adoptó formalmente el esquema de Metas de Inflación mediante la Resolución N.º 22, Acta N.º 21 (Banco Central del Paraguay, 2011). El cambio institucional fue doble: (1) el BCP se comprometió públicamente con una banda de inflación objetivo (inicialmente en torno al 5 % con banda de ±2,5 pp, luego reducida progresivamente hasta el 4 % ± 2 pp vigente hoy) y (2) la Tasa de Política Monetaria (TPM) en guaraníes pasó a ser el instrumento operativo central de la política monetaria.</w:t>
      </w:r>
    </w:p>
    <w:p w14:paraId="0B99E738"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lastRenderedPageBreak/>
        <w:t>Los resultados observados en el período post-adopción fueron parcialmente consistentes con las predicciones teóricas. La inflación promedio del período posterior a la adopción se redujo de manera sostenida, las expectativas inflacionarias se anclaron con mayor solidez y el BCP ganó credibilidad institucional. La dolarización de depósitos mostró una tendencia descendente de largo plazo, lenta y no lineal; su trayectoria se cuantifica en el capítulo de resultados.</w:t>
      </w:r>
    </w:p>
    <w:p w14:paraId="2A47F795"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Sin embargo, el diferencial de retornos no desapareció. Hay tres razones estructurales para ello. Primera: la TPM del BCP se fija en guaraníes y actúa como piso de las tasas domésticas, manteniéndolas sistemáticamente por encima de la tasa internacional de referencia en dólares (Federal Funds Rate) (Mundell, 1963). Segunda: la dolarización parcial preserva la segmentación del mercado de fondos prestables: la oferta abundante de depósitos en dólares (mantenidos como cobertura) presiona a la baja su tasa, mientras la demanda de crédito en guaraníes sostiene las tasas domésticas (Ize &amp; Levy-Yeyati, 2003). Tercera: el forward premium puzzle (Fama, 1984) sugiere que, incluso con Metas de Inflación, el mayor diferencial de tasas no se traduce en depreciación proporcional.</w:t>
      </w:r>
    </w:p>
    <w:p w14:paraId="25F1D75D"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En síntesis, 2011 probablemente redujo la prima de inflación dentro del diferencial, pero no eliminó la prima de riesgo real. El resultado neto sobre el </w:t>
      </w:r>
      <w:r>
        <w:rPr>
          <w:rFonts w:ascii="Arial" w:eastAsia="Arial" w:hAnsi="Arial" w:cs="Arial"/>
          <w:i/>
          <w:iCs/>
          <w:lang w:val="es-ES" w:eastAsia="es-ES"/>
        </w:rPr>
        <w:t>nivel</w:t>
      </w:r>
      <w:r>
        <w:rPr>
          <w:rFonts w:ascii="Arial" w:eastAsia="Arial" w:hAnsi="Arial" w:cs="Arial"/>
          <w:lang w:val="es-ES" w:eastAsia="es-ES"/>
        </w:rPr>
        <w:t xml:space="preserve"> total del diferencial es teóricamente indeterminado; lo determinable, y lo que esta investigación contrasta, es la </w:t>
      </w:r>
      <w:r>
        <w:rPr>
          <w:rFonts w:ascii="Arial" w:eastAsia="Arial" w:hAnsi="Arial" w:cs="Arial"/>
          <w:i/>
          <w:iCs/>
          <w:lang w:val="es-ES" w:eastAsia="es-ES"/>
        </w:rPr>
        <w:t>recomposición</w:t>
      </w:r>
      <w:r>
        <w:rPr>
          <w:rFonts w:ascii="Arial" w:eastAsia="Arial" w:hAnsi="Arial" w:cs="Arial"/>
          <w:lang w:val="es-ES" w:eastAsia="es-ES"/>
        </w:rPr>
        <w:t xml:space="preserve"> de sus componentes: contracción de la prima de inflación y migración del determinante dominante de la prima de riesgo, desde el riesgo de depreciación hacia el riesgo de iliquidez. Esta es precisamente la pregunta empírica que el diseño de la Etapa 5 está construido para responder.</w:t>
      </w:r>
    </w:p>
    <w:p w14:paraId="49DFC228"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bookmarkStart w:id="18" w:name="_Toc233474066"/>
      <w:r>
        <w:rPr>
          <w:rFonts w:ascii="Arial" w:eastAsia="Arial" w:hAnsi="Arial" w:cs="Arial"/>
          <w:b/>
          <w:bCs/>
          <w:i/>
          <w:iCs/>
          <w:color w:val="000000"/>
          <w:lang w:val="es-ES" w:eastAsia="es-ES"/>
        </w:rPr>
        <w:t>Pilar 5: Determinantes estructurales del diferencial en Paraguay</w:t>
      </w:r>
      <w:bookmarkEnd w:id="18"/>
    </w:p>
    <w:p w14:paraId="28285B4A"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Además del marco UIP-Fisher, la persistencia del diferencial de retornos en el mercado bancario paraguayo responde a cinco determinantes estructurales:</w:t>
      </w:r>
    </w:p>
    <w:p w14:paraId="2F42E8CC" w14:textId="77777777" w:rsidR="00D27E85" w:rsidRPr="00DF3903" w:rsidRDefault="00D27E85" w:rsidP="00D27E85">
      <w:pPr>
        <w:numPr>
          <w:ilvl w:val="0"/>
          <w:numId w:val="31"/>
        </w:numPr>
        <w:spacing w:after="80" w:line="480" w:lineRule="auto"/>
        <w:jc w:val="both"/>
        <w:rPr>
          <w:rFonts w:ascii="Arial" w:eastAsia="Arial" w:hAnsi="Arial" w:cs="Arial"/>
          <w:lang w:val="es-ES" w:eastAsia="es-ES"/>
        </w:rPr>
      </w:pPr>
      <w:r>
        <w:rPr>
          <w:rFonts w:ascii="Arial" w:eastAsia="Arial" w:hAnsi="Arial" w:cs="Arial"/>
          <w:b/>
          <w:bCs/>
          <w:lang w:val="es-ES" w:eastAsia="es-ES"/>
        </w:rPr>
        <w:lastRenderedPageBreak/>
        <w:t xml:space="preserve">Prima de riesgo cambiario (riesgo de depreciación). </w:t>
      </w:r>
      <w:r>
        <w:rPr>
          <w:rFonts w:ascii="Arial" w:eastAsia="Arial" w:hAnsi="Arial" w:cs="Arial"/>
          <w:lang w:val="es-ES" w:eastAsia="es-ES"/>
        </w:rPr>
        <w:t>El ahorrista en guaraníes asume el riesgo de que la moneda se deprecie durante el plazo del depósito. Para aceptar ese riesgo exige una compensación que se traduce en una tasa más alta. Esta prima existe incluso cuando, ex post, la depreciación resulta menor de lo temido; refleja el precio del riesgo, no solo su realización (Fama, 1984; Engel, 1996). La literatura moderna modela esta prima como el precio de un riesgo sistemático que los mercados de divisas remuneran (Lustig &amp; Verdelhan, 2007); a falta de mercados de derivados locales que revelen ese precio, este trabajo la aproxima con la volatilidad cambiaria realizada (VolTC) — la realización del riesgo, no su precio —, limitación que se declara de forma explícita.</w:t>
      </w:r>
    </w:p>
    <w:p w14:paraId="34E99574" w14:textId="77777777" w:rsidR="00D27E85" w:rsidRPr="00DF3903" w:rsidRDefault="00D27E85" w:rsidP="00D27E85">
      <w:pPr>
        <w:numPr>
          <w:ilvl w:val="0"/>
          <w:numId w:val="31"/>
        </w:numPr>
        <w:spacing w:after="80" w:line="480" w:lineRule="auto"/>
        <w:jc w:val="both"/>
        <w:rPr>
          <w:rFonts w:ascii="Arial" w:eastAsia="Arial" w:hAnsi="Arial" w:cs="Arial"/>
          <w:lang w:val="es-ES" w:eastAsia="es-ES"/>
        </w:rPr>
      </w:pPr>
      <w:r>
        <w:rPr>
          <w:rFonts w:ascii="Arial" w:eastAsia="Arial" w:hAnsi="Arial" w:cs="Arial"/>
          <w:b/>
          <w:bCs/>
          <w:lang w:val="es-ES" w:eastAsia="es-ES"/>
        </w:rPr>
        <w:t xml:space="preserve">Efecto Fisher (inflación esperada). </w:t>
      </w:r>
      <w:r>
        <w:rPr>
          <w:rFonts w:ascii="Arial" w:eastAsia="Arial" w:hAnsi="Arial" w:cs="Arial"/>
          <w:lang w:val="es-ES" w:eastAsia="es-ES"/>
        </w:rPr>
        <w:t>La tasa nominal en guaraníes incorpora la inflación esperada doméstica, históricamente superior a la de Estados Unidos. Parte del diferencial de tasas es, por tanto, compensación por inflación esperada y no un beneficio real (Fisher, 1930). Se aproxima con el diferencial de inflación observado (InflDiff).</w:t>
      </w:r>
    </w:p>
    <w:p w14:paraId="00175797" w14:textId="77777777" w:rsidR="00D27E85" w:rsidRPr="00DF3903" w:rsidRDefault="00D27E85" w:rsidP="00D27E85">
      <w:pPr>
        <w:numPr>
          <w:ilvl w:val="0"/>
          <w:numId w:val="31"/>
        </w:numPr>
        <w:spacing w:after="80" w:line="480" w:lineRule="auto"/>
        <w:jc w:val="both"/>
        <w:rPr>
          <w:rFonts w:ascii="Arial" w:eastAsia="Arial" w:hAnsi="Arial" w:cs="Arial"/>
          <w:lang w:val="es-ES" w:eastAsia="es-ES"/>
        </w:rPr>
      </w:pPr>
      <w:r>
        <w:rPr>
          <w:rFonts w:ascii="Arial" w:eastAsia="Arial" w:hAnsi="Arial" w:cs="Arial"/>
          <w:b/>
          <w:bCs/>
          <w:lang w:val="es-ES" w:eastAsia="es-ES"/>
        </w:rPr>
        <w:t xml:space="preserve">Encaje legal diferenciado y costos regulatorios (riesgo/fricción de iliquidez). </w:t>
      </w:r>
      <w:r>
        <w:rPr>
          <w:rFonts w:ascii="Arial" w:eastAsia="Arial" w:hAnsi="Arial" w:cs="Arial"/>
          <w:lang w:val="es-ES" w:eastAsia="es-ES"/>
        </w:rPr>
        <w:t>El BCP ha aplicado encajes más elevados sobre los depósitos en dólares que sobre los depósitos en guaraníes (Banco Central del Paraguay, 2024). Un encaje mayor reduce la fracción del depósito que el banco puede prestar y, por ende, la tasa que puede ofrecer al ahorrista en esa moneda. La brecha de encaje Gs/USD constituye, por tanto, una fuente operacionalizable del componente de iliquidez del diferencial.</w:t>
      </w:r>
    </w:p>
    <w:p w14:paraId="1A87E42B" w14:textId="77777777" w:rsidR="00D27E85" w:rsidRPr="00DF3903" w:rsidRDefault="00D27E85" w:rsidP="00D27E85">
      <w:pPr>
        <w:numPr>
          <w:ilvl w:val="0"/>
          <w:numId w:val="31"/>
        </w:numPr>
        <w:spacing w:after="80" w:line="480" w:lineRule="auto"/>
        <w:jc w:val="both"/>
        <w:rPr>
          <w:rFonts w:ascii="Arial" w:eastAsia="Arial" w:hAnsi="Arial" w:cs="Arial"/>
          <w:lang w:val="es-ES" w:eastAsia="es-ES"/>
        </w:rPr>
      </w:pPr>
      <w:r>
        <w:rPr>
          <w:rFonts w:ascii="Arial" w:eastAsia="Arial" w:hAnsi="Arial" w:cs="Arial"/>
          <w:b/>
          <w:bCs/>
          <w:lang w:val="es-ES" w:eastAsia="es-ES"/>
        </w:rPr>
        <w:t xml:space="preserve">Dolarización financiera y segmentación del mercado (iliquidez estructural). </w:t>
      </w:r>
      <w:r>
        <w:rPr>
          <w:rFonts w:ascii="Arial" w:eastAsia="Arial" w:hAnsi="Arial" w:cs="Arial"/>
          <w:lang w:val="es-ES" w:eastAsia="es-ES"/>
        </w:rPr>
        <w:t>La coexistencia de ahorro y crédito en dos monedas segmenta el mercado de fondos prestables (Ize &amp; Levy-Yeyati, 2003). La oferta abundante de depósitos en dólares (demandados como cobertura) presiona a la baja su tasa, mientras que la demanda de crédito en guaraníes sostiene tasas domésticas más altas. La ausencia de un mercado forward oficial impide arbitrar esta segmentación. El ratio de dolarización de depósitos publicado por el BCP constituye la proxy principal de iliquidez de esta investigación.</w:t>
      </w:r>
    </w:p>
    <w:p w14:paraId="6A4914D2" w14:textId="77777777" w:rsidR="00D27E85" w:rsidRPr="00DF3903" w:rsidRDefault="00D27E85" w:rsidP="00D27E85">
      <w:pPr>
        <w:numPr>
          <w:ilvl w:val="0"/>
          <w:numId w:val="31"/>
        </w:numPr>
        <w:spacing w:after="80" w:line="480" w:lineRule="auto"/>
        <w:jc w:val="both"/>
        <w:rPr>
          <w:rFonts w:ascii="Arial" w:eastAsia="Arial" w:hAnsi="Arial" w:cs="Arial"/>
          <w:lang w:val="es-ES" w:eastAsia="es-ES"/>
        </w:rPr>
      </w:pPr>
      <w:r>
        <w:rPr>
          <w:rFonts w:ascii="Arial" w:eastAsia="Arial" w:hAnsi="Arial" w:cs="Arial"/>
          <w:b/>
          <w:bCs/>
          <w:lang w:val="es-ES" w:eastAsia="es-ES"/>
        </w:rPr>
        <w:lastRenderedPageBreak/>
        <w:t xml:space="preserve">Política monetaria y ancla doméstica. </w:t>
      </w:r>
      <w:r>
        <w:rPr>
          <w:rFonts w:ascii="Arial" w:eastAsia="Arial" w:hAnsi="Arial" w:cs="Arial"/>
          <w:lang w:val="es-ES" w:eastAsia="es-ES"/>
        </w:rPr>
        <w:t>La TPM del BCP, fijada en guaraníes, ancla las tasas locales por encima de la tasa de fondos federales que referencia a los instrumentos en dólares (Mundell, 1963). En consecuencia, el piso de las tasas en guaraníes tiende a situarse sistemáticamente por encima del piso de las tasas en dólares. Este determinante opera como contexto institucional y no se operacionaliza como variable del modelo: la TPM nace formalmente con el régimen de metas en 2011, por lo que no existe una serie homogénea que cubra la ventana completa 2004–2024; su rol queda subsumido en la indicadora de régimen D2011.</w:t>
      </w:r>
    </w:p>
    <w:p w14:paraId="10B0A390"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t xml:space="preserve">Operacionalización de la iliquidez. </w:t>
      </w:r>
      <w:r>
        <w:rPr>
          <w:rFonts w:ascii="Arial" w:eastAsia="Arial" w:hAnsi="Arial" w:cs="Arial"/>
          <w:lang w:val="es-ES" w:eastAsia="es-ES"/>
        </w:rPr>
        <w:t xml:space="preserve">Los determinantes 3 y 4 constituyen la base empírica del componente de iliquidez. Como proxy principal se emplea el </w:t>
      </w:r>
      <w:r>
        <w:rPr>
          <w:rFonts w:ascii="Arial" w:eastAsia="Arial" w:hAnsi="Arial" w:cs="Arial"/>
          <w:b/>
          <w:bCs/>
          <w:lang w:val="es-ES" w:eastAsia="es-ES"/>
        </w:rPr>
        <w:t>ratio de dolarización de depósitos</w:t>
      </w:r>
      <w:r>
        <w:rPr>
          <w:rFonts w:ascii="Arial" w:eastAsia="Arial" w:hAnsi="Arial" w:cs="Arial"/>
          <w:lang w:val="es-ES" w:eastAsia="es-ES"/>
        </w:rPr>
        <w:t xml:space="preserve"> (Iliq</w:t>
      </w:r>
      <w:r>
        <w:rPr>
          <w:rFonts w:ascii="Arial" w:eastAsia="Arial" w:hAnsi="Arial" w:cs="Arial"/>
          <w:vertAlign w:val="subscript"/>
          <w:lang w:val="es-ES" w:eastAsia="es-ES"/>
        </w:rPr>
        <w:t>t</w:t>
      </w:r>
      <w:r>
        <w:rPr>
          <w:rFonts w:ascii="Arial" w:eastAsia="Arial" w:hAnsi="Arial" w:cs="Arial"/>
          <w:lang w:val="es-ES" w:eastAsia="es-ES"/>
        </w:rPr>
        <w:t xml:space="preserve">), por su disponibilidad de serie larga y su vínculo directo con la segmentación del mercado de fondos prestables; como prueba de robustez se emplea la </w:t>
      </w:r>
      <w:r>
        <w:rPr>
          <w:rFonts w:ascii="Arial" w:eastAsia="Arial" w:hAnsi="Arial" w:cs="Arial"/>
          <w:b/>
          <w:bCs/>
          <w:lang w:val="es-ES" w:eastAsia="es-ES"/>
        </w:rPr>
        <w:t>brecha de encaje legal Gs/USD</w:t>
      </w:r>
      <w:r>
        <w:rPr>
          <w:rFonts w:ascii="Arial" w:eastAsia="Arial" w:hAnsi="Arial" w:cs="Arial"/>
          <w:lang w:val="es-ES" w:eastAsia="es-ES"/>
        </w:rPr>
        <w:t>. La incorporación explícita de esta proxy es la que permite que el modelo de la Etapa 5 pueda contrastar la migración del determinante dominante de la prima de riesgo, mecanismo que de otro modo quedaría fuera del alcance empírico del trabajo.</w:t>
      </w:r>
    </w:p>
    <w:p>
      <w:pPr>
        <w:spacing w:before="180" w:after="100" w:line="480" w:lineRule="auto"/>
        <w:outlineLvl w:val="2"/>
        <w:rPr>
          <w:rFonts w:ascii="Arial" w:eastAsia="Arial" w:hAnsi="Arial" w:cs="Arial"/>
          <w:b/>
          <w:bCs/>
          <w:i/>
          <w:iCs/>
          <w:color w:val="000000"/>
          <w:lang w:val="es-ES" w:eastAsia="es-ES"/>
        </w:rPr>
      </w:pPr>
      <w:bookmarkStart w:id="101" w:name="_Toc233474101"/>
      <w:r>
        <w:rPr>
          <w:rFonts w:ascii="Arial" w:eastAsia="Arial" w:hAnsi="Arial" w:cs="Arial"/>
          <w:b/>
          <w:bCs/>
          <w:i/>
          <w:iCs/>
          <w:color w:val="000000"/>
          <w:lang w:val="es-ES" w:eastAsia="es-ES"/>
        </w:rPr>
        <w:t>Pilar 6: La dolarización financiera en Paraguay — anatomía de un fenómeno estructural</w:t>
      </w:r>
      <w:bookmarkEnd w:id="101"/>
    </w:p>
    <w:p>
      <w:pPr>
        <w:spacing w:before="120" w:after="120" w:line="480" w:lineRule="auto"/>
        <w:jc w:val="both"/>
        <w:rPr>
          <w:rFonts w:ascii="Arial" w:eastAsia="Arial" w:hAnsi="Arial" w:cs="Arial"/>
          <w:lang w:val="es-ES" w:eastAsia="es-ES"/>
        </w:rPr>
      </w:pPr>
      <w:r>
        <w:rPr>
          <w:rFonts w:ascii="Arial" w:eastAsia="Arial" w:hAnsi="Arial" w:cs="Arial"/>
          <w:lang w:val="es-ES" w:eastAsia="es-ES"/>
        </w:rPr>
        <w:t>La persistencia de la dolarización mencionada en los pilares anteriores no es un dato de contexto sino un elemento constitutivo del fenómeno estudiado. Dado que la proxy principal de iliquidez de esta investigación es el ratio de dolarización de depósitos, conviene desarrollar en detalle qué representa esa variable, cómo evolucionó y qué fuerzas la sostienen. Este pilar cumple esa función.</w:t>
      </w:r>
    </w:p>
    <w:p>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El experimento mental del ahorrista. </w:t>
      </w:r>
      <w:r>
        <w:rPr>
          <w:rFonts w:ascii="Arial" w:eastAsia="Arial" w:hAnsi="Arial" w:cs="Arial"/>
          <w:lang w:val="es-ES" w:eastAsia="es-ES"/>
        </w:rPr>
        <w:t>Considérese el siguiente ejercicio. Un ahorrista paraguayo se presenta en su banco a comienzos de 2004 con el propósito de constituir un certificado de depósito de ahorro (CDA), disponiendo de guaraníes equivalentes a USD 10.000 al tipo de cambio vigente. El banco le ofrece dos opciones: un CDA en guaraníes a la tasa pasiva promedio del sistema para esa moneda, o un CDA en dólares a la tasa correspondiente. La diferencia entre ambas tasas —de varios puntos porcentuales a favor del guaraní, conforme a las estadísticas del BCP (Banco Central del Paraguay, 2024)— parece inclinar la balanza hacia la moneda doméstica. Pero esa ventaja nominal no es gratuita: el ahorrista en guaraníes asume el riesgo de que la moneda se deprecie durante la vigencia del depósito. Si la depreciación anualizada supera el diferencial de tasas, pierde en términos de poder adquisitivo internacional; si es menor, gana; si el guaraní se aprecia, su ganancia se multiplica. La pregunta que este experimento plantea —y que esta investigación responde con ochenta y cuatro observaciones trimestrales— es si esa apuesta fue, en promedio y a lo largo de 2004–2024, sistemáticamente favorable al ahorrista en guaraníes, incluso bajo el criterio conservador de excluir los episodios de apreciación.</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La importancia del ejercicio trasciende la curiosidad académica. Si el guaraní pagó sistemáticamente más que el dólar una vez descontada la depreciación, el ahorrista racional debería haberlo preferido en la mayoría de los períodos. Sin embargo, una fracción persistentemente alta del total de depósitos del sistema bancario permaneció denominada en dólares a lo largo del período (Banco Central del Paraguay, 2024): un segmento sustancial y persistente eligió, de forma continua, la opción de menor retorno esperado. Entender por qué ese segmento existe y persiste es tan relevante para interpretar el diferencial como cuantificarlo. La dolarización no es el telón de fondo neutro del fenómeno: es parte constitutiva de él y, en el diseño econométrico de la Etapa 5, su vehículo de medición.</w:t>
      </w:r>
    </w:p>
    <w:p>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Paraguay en la escala de la dolarización regional. </w:t>
      </w:r>
      <w:r>
        <w:rPr>
          <w:rFonts w:ascii="Arial" w:eastAsia="Arial" w:hAnsi="Arial" w:cs="Arial"/>
          <w:lang w:val="es-ES" w:eastAsia="es-ES"/>
        </w:rPr>
        <w:t xml:space="preserve">Paraguay ocupa una posición reveladora en el espectro latinoamericano. En un extremo se sitúan las economías plenamente dolarizadas —Ecuador desde 2000, El Salvador desde 2001, Panamá de larga data—, donde la moneda doméstica fue sustituida por completo y, por definición, no existe diferencial de retornos entre monedas. En el extremo opuesto están las economías con dolarización mínima —Brasil, Chile, Colombia—, donde los depósitos en moneda extranjera son una fracción marginal. Paraguay se sitúa en la posición intermedia que la literatura denomina </w:t>
      </w:r>
      <w:r>
        <w:rPr>
          <w:rFonts w:ascii="Arial" w:eastAsia="Arial" w:hAnsi="Arial" w:cs="Arial"/>
          <w:i/>
          <w:iCs/>
          <w:lang w:val="es-ES" w:eastAsia="es-ES"/>
        </w:rPr>
        <w:t>dolarización financiera parcial</w:t>
      </w:r>
      <w:r>
        <w:rPr>
          <w:rFonts w:ascii="Arial" w:eastAsia="Arial" w:hAnsi="Arial" w:cs="Arial"/>
          <w:lang w:val="es-ES" w:eastAsia="es-ES"/>
        </w:rPr>
        <w:t xml:space="preserve">: una economía genuinamente bicurrencial en la que dos monedas coexisten de forma activa en el mercado financiero formal sin que ninguna haya desplazado a la otra (Ize &amp; Levy-Yeyati, 2003). Es esa </w:t>
      </w:r>
      <w:r>
        <w:rPr>
          <w:rFonts w:ascii="Arial" w:eastAsia="Arial" w:hAnsi="Arial" w:cs="Arial"/>
          <w:i/>
          <w:iCs/>
          <w:lang w:val="es-ES" w:eastAsia="es-ES"/>
        </w:rPr>
        <w:t>parcialidad</w:t>
      </w:r>
      <w:r>
        <w:rPr>
          <w:rFonts w:ascii="Arial" w:eastAsia="Arial" w:hAnsi="Arial" w:cs="Arial"/>
          <w:lang w:val="es-ES" w:eastAsia="es-ES"/>
        </w:rPr>
        <w:t xml:space="preserve"> —la tensión irresuelta entre dos monedas que compiten por las preferencias de los depositantes— la que genera y sostiene el diferencial que esta investigación estudia. En una economía plenamente dolarizada no hay diferencial; en una de moneda única, tampoco. El diferencial es producto de la coexistencia.</w:t>
      </w:r>
    </w:p>
    <w:p>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La evolución de la dolarización: una caída lenta y estructural. </w:t>
      </w:r>
      <w:r>
        <w:rPr>
          <w:rFonts w:ascii="Arial" w:eastAsia="Arial" w:hAnsi="Arial" w:cs="Arial"/>
          <w:lang w:val="es-ES" w:eastAsia="es-ES"/>
        </w:rPr>
        <w:t>Las estadísticas de dolarización de depósitos publicadas por el BCP en su Boletín Estadístico y en sus Informes de Estabilidad Financiera permiten reconstruir una trayectoria que es, en sí misma, un capítulo de la historia monetaria contemporánea del Paraguay (Banco Central del Paraguay, 2024). Al inicio del período los depósitos en dólares representaban la mayor parte del total del sistema, niveles propios de una economía de alta dolarización (Ize &amp; Levy-Yeyati, 2003). Esa cifra no reflejaba preferencias espontáneas en condiciones de estabilidad: era el sedimento de las decisiones de cobertura adoptadas durante los episodios de crisis descritos en el pilar preliminar. A lo largo de las dos décadas siguientes, la proporción descendió de forma lenta, gradual y no lineal, con un mínimo transitorio en torno a la crisis financiera global; la cuantificación de esa trayectoria se presenta en el capítulo de resultados. La lentitud de ese descenso es informativa: sugiere que los factores que sostienen la dolarización son estructurales y resistentes a los cambios de política, no reflejos de condiciones coyunturales que se disuelven ante la primera señal de estabilidad.</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El descenso no siguió una trayectoria uniforme. Examinada en detalle, la serie exhibe al menos tres subperíodos con dinámicas diferenciadas. Entre 2004 y 2010, bajo el régimen de agregados monetarios, la dolarización mostró una tendencia declinante moderada, impulsada por la recuperación económica y el fortalecimiento del sector exportador, aunque la incertidumbre inflacionaria persistente mantuvo elevada la prima de inflación en el diferencial de tasas. A partir de 2011, con la adopción de Metas de Inflación, la tendencia declinante se acentuó modestamente: la mayor credibilidad monetaria redujo la demanda precautoria de dólares como cobertura contra la inflación, y los ajustes en los encajes diferenciados por moneda elevaron el costo regulatorio de los depósitos en dólares para las entidades. En sentido contrario, episodios de incertidumbre global —la desaceleración de </w:t>
      </w:r>
      <w:r>
        <w:rPr>
          <w:rFonts w:ascii="Arial" w:eastAsia="Arial" w:hAnsi="Arial" w:cs="Arial"/>
          <w:i/>
          <w:iCs/>
          <w:lang w:val="es-ES" w:eastAsia="es-ES"/>
        </w:rPr>
        <w:t>commodities</w:t>
      </w:r>
      <w:r>
        <w:rPr>
          <w:rFonts w:ascii="Arial" w:eastAsia="Arial" w:hAnsi="Arial" w:cs="Arial"/>
          <w:lang w:val="es-ES" w:eastAsia="es-ES"/>
        </w:rPr>
        <w:t xml:space="preserve"> de 2014–2016 y, sobre todo, la pandemia de 2020— generaron interrupciones transitorias, con aumentos temporales de la demanda de dólares como refugio, coherentes con la naturaleza estructural del fenómeno: los factores de fondo no desaparecen ante la primera señal de tensión, sino que se reactivan cuando el contexto lo justifica.</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La trayectoria de largo plazo confirma una predicción teórica central para esta investigación. El régimen de Metas de Inflación actúa sobre la dolarización principalmente a través del canal de las expectativas: al reducir la incertidumbre inflacionaria, debilita el motivo de cobertura contra la inflación, dominante antes de 2011. Pero el mismo régimen no actúa directamente sobre los demás determinantes estructurales —el calce de monedas de los exportadores, la cobertura de riesgo país, la histéresis derivada de la memoria de las crisis—, lo que explica por qué la dolarización, aun descendiendo, se estabiliza en torno al 50 % en lugar de converger a cero. Esta misma lógica subyace a la hipótesis de recomposición: si la prima de inflación se contrajo tras 2011 pero los factores estructurales de la prima de riesgo persistieron, el resultado esperable es que el diferencial cambie de composición —menos dominado por la prima de inflación, más sostenido por la prima de riesgo real ligada a la segmentación del mercado— sin necesariamente desaparecer.</w:t>
      </w:r>
    </w:p>
    <w:p>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Los factores que sostienen la demanda de guaraníes y de dólares. </w:t>
      </w:r>
      <w:r>
        <w:rPr>
          <w:rFonts w:ascii="Arial" w:eastAsia="Arial" w:hAnsi="Arial" w:cs="Arial"/>
          <w:lang w:val="es-ES" w:eastAsia="es-ES"/>
        </w:rPr>
        <w:t>La persistencia de la dolarización responde a un conjunto de factores estructurales que operan de forma relativamente independiente del diferencial de tasas. Si existiera arbitraje perfecto, un diferencial positivo y persistente a favor del guaraní bastaría para que los depositantes migraran por completo a la moneda doméstica, eliminándolo. Que no lo hagan implica que existen motivos racionales para mantener dólares incluso cuando el guaraní rinde más, y esos motivos son las fricciones que sostienen el diferencial como característica de equilibrio del mercado.</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El primero, y más relevante en la economía paraguaya, es la naturaleza bicurrencial de su base productiva. Paraguay es un país primario-exportador cuya principal fuente de divisas —la soja, la carne vacuna, el maíz, el trigo y el sésamo— se transa en mercados internacionales a precios en dólares. Un productor o una agroexportadora que cobra sus ventas en dólares enfrenta un incentivo estructural para mantener parte de esos fondos en depósitos en dólares, no para maximizar el retorno sino para eliminar el riesgo cambiario entre la recepción de divisas y el pago futuro de insumos también en dólares. Para ese depositante, el CDA en dólares no es un vehículo de rendimiento sino un dispositivo de calce de monedas: la tasa más baja es el costo de eliminar la exposición cambiaria sobre su capital de trabajo. Esta </w:t>
      </w:r>
      <w:r>
        <w:rPr>
          <w:rFonts w:ascii="Arial" w:eastAsia="Arial" w:hAnsi="Arial" w:cs="Arial"/>
          <w:i/>
          <w:iCs/>
          <w:lang w:val="es-ES" w:eastAsia="es-ES"/>
        </w:rPr>
        <w:t>dolarización operacional</w:t>
      </w:r>
      <w:r>
        <w:rPr>
          <w:rFonts w:ascii="Arial" w:eastAsia="Arial" w:hAnsi="Arial" w:cs="Arial"/>
          <w:lang w:val="es-ES" w:eastAsia="es-ES"/>
        </w:rPr>
        <w:t xml:space="preserve"> es estructuralmente insensible al diferencial de tasas. En el sentido inverso, lo que sostiene la demanda de guaraníes es el consumo interno, el pago de salarios, los impuestos y la mayor parte del crédito minorista, que se denominan en moneda doméstica: quien tiene obligaciones en guaraníes prefiere ahorrar en guaraníes por el mismo motivo de calce.</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El segundo factor es la posición de Paraguay como nodo comercial regional. Ciudad del Este, la segunda ciudad del país, alberga una de las zonas de comercio más activas de América del Sur, con flujos de importación y re-exportación denominados predominantemente en dólares. Los comerciantes e importadores que participan de ese ecosistema mantienen capital de trabajo en dólares como necesidad operativa, con independencia de la rentabilidad relativa del guaraní. El extenso comercio fronterizo con Brasil y Argentina refuerza ese entorno multicurrencial en el que el dólar funciona como unidad de cuenta para las transacciones de mayor volumen, creando una demanda cautiva de depósitos en dólares rígida ante variaciones del diferencial.</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El tercer factor es la memoria institucional de las crisis, que opera como un mecanismo de histéresis en las preferencias individuales. La economía del comportamiento sugiere que quienes vivieron pérdidas patrimoniales asociadas a un instrumento tienden a exhibir aversión persistente hacia él incluso cuando las condiciones objetivas mejoran (Malmendier &amp; Nagel, 2011). El depositante paraguayo que sufrió o presenció de cerca la crisis de 1995–1998 —vivida en guaraníes— incorporó una desutilidad hacia los instrumentos domésticos que ningún año de estabilidad borra del todo: para él, la prima de tasa del guaraní no compensa el costo de concentrar sus ahorros en una moneda con ese historial. Este componente se reduce de forma natural a medida que la generación marcada por la crisis cede lugar a cohortes más jóvenes sin esa memoria, lo que contribuye a explicar el descenso gradual de la dolarización sin que este se acelere más allá de lo que la mejora macroeconómica anticiparía.</w:t>
      </w:r>
    </w:p>
    <w:p>
      <w:pPr>
        <w:spacing w:before="120" w:after="120" w:line="480" w:lineRule="auto"/>
        <w:jc w:val="both"/>
        <w:rPr>
          <w:rFonts w:ascii="Arial" w:eastAsia="Arial" w:hAnsi="Arial" w:cs="Arial"/>
          <w:lang w:val="es-ES" w:eastAsia="es-ES"/>
        </w:rPr>
      </w:pPr>
      <w:r>
        <w:rPr>
          <w:rFonts w:ascii="Arial" w:eastAsia="Arial" w:hAnsi="Arial" w:cs="Arial"/>
          <w:lang w:val="es-ES" w:eastAsia="es-ES"/>
        </w:rPr>
        <w:t>El cuarto factor es la función del dólar como cobertura de riesgo país. Aun sin crisis domésticas, los depositantes de mayor patrimonio enfrentan el riesgo de que perturbaciones políticas o externas de magnitud erosionen el valor de sus activos en moneda local. Mantener una fracción del portafolio en dólares es, para ellos, una forma de diversificación y cobertura contra el riesgo de cola soberano: la prima que ofrece el guaraní es el costo esperado de un riesgo cuya probabilidad, aunque baja, no es cero dada la historia regional. Esta demanda es independiente del diferencial de tasas y no debería eliminarse con la adopción del régimen de metas, aunque puede moderarse a medida que el banco central acumula años de credibilidad demostrada.</w:t>
      </w:r>
    </w:p>
    <w:p>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El encaje diferenciado: cuando la regulación amplifica el diferencial. </w:t>
      </w:r>
      <w:r>
        <w:rPr>
          <w:rFonts w:ascii="Arial" w:eastAsia="Arial" w:hAnsi="Arial" w:cs="Arial"/>
          <w:lang w:val="es-ES" w:eastAsia="es-ES"/>
        </w:rPr>
        <w:t xml:space="preserve">Junto a los factores de demanda existe un mecanismo del lado de la oferta de particular relevancia: el encaje legal diferenciado por moneda. El BCP ha aplicado históricamente requisitos de encaje —la fracción de los depósitos que las entidades deben mantener en reservas líquidas sin intermediar— más elevados sobre los depósitos en dólares que sobre los depósitos en guaraníes (Banco Central del Paraguay, 2024). El mecanismo de transmisión al diferencial es directo: un encaje más alto sobre los dólares implica que, por cada dólar depositado, el banco puede prestar y rentabilizar menos capital, reduciendo la tasa pasiva que puede ofrecer en esa moneda sin comprimir su margen; un encaje más bajo sobre los guaraníes amplía el capital intermediable y sostiene tasas pasivas más altas en moneda doméstica. La brecha de encaje Gs/USD actúa así como un cuasi-impuesto a la intermediación en moneda extranjera que se traslada a las tasas pasivas: una </w:t>
      </w:r>
      <w:r>
        <w:rPr>
          <w:rFonts w:ascii="Arial" w:eastAsia="Arial" w:hAnsi="Arial" w:cs="Arial"/>
          <w:i/>
          <w:iCs/>
          <w:lang w:val="es-ES" w:eastAsia="es-ES"/>
        </w:rPr>
        <w:t>cuña regulatoria</w:t>
      </w:r>
      <w:r>
        <w:rPr>
          <w:rFonts w:ascii="Arial" w:eastAsia="Arial" w:hAnsi="Arial" w:cs="Arial"/>
          <w:lang w:val="es-ES" w:eastAsia="es-ES"/>
        </w:rPr>
        <w:t xml:space="preserve"> que amplifica el diferencial que ya existiría por inflación diferencial y prima de riesgo. La implicación es de primer orden: parte del premio percibido por los ahorristas en guaraníes durante 2004–2024 no fue producto espontáneo del mercado sino resultado de una política regulatoria deliberada del BCP orientada a desincentivar la dolarización. Por esta razón, la brecha de encaje Gs/USD se emplea como medida alternativa del componente de iliquidez en las pruebas de robustez de la Etapa 6.</w:t>
      </w:r>
    </w:p>
    <w:p>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La paradoja del diferencial persistente y su conexión con la hipótesis. </w:t>
      </w:r>
      <w:r>
        <w:rPr>
          <w:rFonts w:ascii="Arial" w:eastAsia="Arial" w:hAnsi="Arial" w:cs="Arial"/>
          <w:lang w:val="es-ES" w:eastAsia="es-ES"/>
        </w:rPr>
        <w:t xml:space="preserve">La coexistencia de un diferencial positivo y sistemático a favor del guaraní con una dolarización que se mantiene en niveles sustanciales durante veinte años no es una contradicción, sino la consecuencia predecible de un mercado de fondos prestables </w:t>
      </w:r>
      <w:r>
        <w:rPr>
          <w:rFonts w:ascii="Arial" w:eastAsia="Arial" w:hAnsi="Arial" w:cs="Arial"/>
          <w:i/>
          <w:iCs/>
          <w:lang w:val="es-ES" w:eastAsia="es-ES"/>
        </w:rPr>
        <w:t>segmentado</w:t>
      </w:r>
      <w:r>
        <w:rPr>
          <w:rFonts w:ascii="Arial" w:eastAsia="Arial" w:hAnsi="Arial" w:cs="Arial"/>
          <w:lang w:val="es-ES" w:eastAsia="es-ES"/>
        </w:rPr>
        <w:t>. La condición de UIP supone un mercado integrado en el que un diferencial positivo genera flujos de arbitraje que lo eliminan. El análisis de la dolarización paraguaya revela que esas condiciones no se verifican: el mercado de depósitos está fracturado por perfiles de depositante con funciones objetivo heterogéneas, por fricciones regulatorias como el encaje diferenciado, por la ausencia de un mercado forward que permita el arbitraje cubierto y por la segmentación estructural derivada de la base exportadora de la economía real. En un mercado así, la persistencia del diferencial no es un desequilibrio a la espera de corrección, sino el precio de equilibrio de un mercado donde guaraní y dólar satisfacen demandas distintas (Ize &amp; Levy-Yeyati, 2003). Esta conclusión da sustento teórico a la magnitud del diferencial observado y explica por qué el régimen de 2011, aun exitoso en reducir la incertidumbre inflacionaria, no lo hizo desaparecer sino que, como sostiene la hipótesis de recomposición, modificó su estructura interna: comprimió la prima de inflación pero dejó intactos los mecanismos de segmentación que alimentan la prima de riesgo de iliquidez, cuya medición a través del ratio de dolarización es el eje del modelo de la Etapa 5.</w:t>
      </w:r>
    </w:p>
    <w:p w14:paraId="637F8275"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t xml:space="preserve">Articulación teórico-empírica. </w:t>
      </w:r>
      <w:r>
        <w:rPr>
          <w:rFonts w:ascii="Arial" w:eastAsia="Arial" w:hAnsi="Arial" w:cs="Arial"/>
          <w:lang w:val="es-ES" w:eastAsia="es-ES"/>
        </w:rPr>
        <w:t xml:space="preserve">Los pilares desarrollados determinan directamente la estrategia empírica. La condición UIP y su medición ex post (Pilar 1) sustentan la construcción de las series DR en la Etapa 1. El coeficiente de Fama (Pilar 2) se estima formalmente en la Etapa 2. La descomposición Fisher (Pilar 3) justifica la Etapa 4. El análisis del régimen de Metas de Inflación (Pilar 4) fundamenta la inclusión de la indicadora D2011 y, sobre todo, de sus </w:t>
      </w:r>
      <w:r>
        <w:rPr>
          <w:rFonts w:ascii="Arial" w:eastAsia="Arial" w:hAnsi="Arial" w:cs="Arial"/>
          <w:i/>
          <w:iCs/>
          <w:lang w:val="es-ES" w:eastAsia="es-ES"/>
        </w:rPr>
        <w:t>interacciones</w:t>
      </w:r>
      <w:r>
        <w:rPr>
          <w:rFonts w:ascii="Arial" w:eastAsia="Arial" w:hAnsi="Arial" w:cs="Arial"/>
          <w:lang w:val="es-ES" w:eastAsia="es-ES"/>
        </w:rPr>
        <w:t xml:space="preserve"> en el modelo de la Etapa 5. Finalmente, los determinantes estructurales (Pilar 5) justifican la elección de VolTC e Iliq como variables explicativas del modelo MCO-HAC sobre la prima de riesgo, mientras que el diferencial de inflación (InflDiff) interviene en la descomposición de Fisher (Etapa 4) que define la variable dependiente rpₜ.</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Bases legales</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Dos piezas normativas vuelven operativas las variables institucionales del estudio. La primera es la Resolución N.º 22, Acta N.º 21 del Directorio del BCP, del 18 de mayo de 2011, que formaliza la adopción del esquema de Metas de Inflación y constituye el evento que la indicadora D2011 representa (Banco Central del Paraguay, 2011). La segunda es el régimen de encaje legal diferenciado por moneda, dictado por el BCP en ejercicio de las atribuciones de su Carta Orgánica (Ley N.º 489/95 y sus modificaciones), que fundamenta el componente regulatorio de la segmentación del mercado de fondos prestables descrito en el Pilar 5.</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Sistema de variables</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variable dependiente del modelo central es la prima de riesgo residual (rp). Las variables independientes son la volatilidad cambiaria (VolTC; signo esperado positivo sobre la prima), el ratio de dolarización de depósitos como proxy del riesgo de iliquidez (Iliq; signo esperado positivo), la indicadora de régimen (D2011; efecto de nivel teóricamente indeterminado) y los términos de interacción D2011×VolTC y D2011×Iliq, cuyos signos esperados —negativo y positivo, respectivamente— operacionalizan la conjetura direccional de la hipótesis. La operacionalización completa, con definiciones, unidades, fuentes y signos, se presenta en la Tabla 7.1 del marco metodológico.</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Definición de términos</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Certificado de Depósito de Ahorro (CDA): instrumento bancario de captación a plazo remunerado a la tasa pasiva pactada. Diferencial de retornos: diferencia entre el retorno de un CDA en guaraníes y el de uno en dólares, ajustada por la variación cambiaria del período. Prima de riesgo (rp): componente del diferencial de tasas no explicado por el diferencial de inflación interanual. Dolarización de depósitos: participación de los depósitos en moneda extranjera en el total del sistema bancario. Iliquidez (en este trabajo): segmentación del mercado de fondos prestables, aproximada por la dolarización de depósitos. Incidencia: asociación estimada entre un determinante y la prima de riesgo, sin connotación causal.</w:t>
      </w:r>
    </w:p>
    <w:p w14:paraId="2DBCB6B8"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bookmarkStart w:id="19" w:name="_Toc233474067"/>
      <w:r>
        <w:rPr>
          <w:rFonts w:ascii="Arial" w:eastAsia="Arial" w:hAnsi="Arial" w:cs="Arial"/>
          <w:b/>
          <w:bCs/>
          <w:color w:val="000000"/>
          <w:lang w:val="es-ES" w:eastAsia="es-ES"/>
        </w:rPr>
        <w:t>7.2. Marco metodológico</w:t>
      </w:r>
      <w:bookmarkEnd w:id="19"/>
    </w:p>
    <w:p w14:paraId="3BBA801E" w14:textId="77777777" w:rsidR="00D27E85"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Diseño de la investigación</w:t>
      </w:r>
    </w:p>
    <w:p w14:paraId="7CD1DF7A"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Tipo y enfoque de investigación. </w:t>
      </w:r>
      <w:r>
        <w:rPr>
          <w:rFonts w:ascii="Arial" w:eastAsia="Arial" w:hAnsi="Arial" w:cs="Arial"/>
          <w:lang w:val="es-ES" w:eastAsia="es-ES"/>
        </w:rPr>
        <w:t xml:space="preserve">El estudio adopta un enfoque cuantitativo, de tipo aplicado y empírico, con alcance correlacional, de incidencia y diseño longitudinal de series de tiempo trimestrales. Es no experimental, ya que las variables se observan tal como se </w:t>
        <w:lastRenderedPageBreak/>
        <w:t>presentan en los registros oficiales, sin manipulación por parte de los investigadores, y sigue un razonamiento predominantemente deductivo: parte de la teoría de la Paridad Descubierta de Tasas de Interés y del marco de Fisher para derivar hipótesis contrastables con datos.</w:t>
      </w:r>
    </w:p>
    <w:p w14:paraId="1A7750B2"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Modalidad. </w:t>
      </w:r>
      <w:r>
        <w:rPr>
          <w:rFonts w:ascii="Arial" w:eastAsia="Arial" w:hAnsi="Arial" w:cs="Arial"/>
          <w:lang w:val="es-ES" w:eastAsia="es-ES"/>
        </w:rPr>
        <w:t>La modalidad es documental, dado que la totalidad de la información proviene de fuentes estadísticas secundarias de acceso público y no de trabajo de campo. En consecuencia, no se emplean cuestionarios, entrevistas ni observación directa, instrumentos propios de los diseños de campo que no corresponden a un estudio basado en datos secundarios oficiales.</w:t>
      </w:r>
    </w:p>
    <w:p w14:paraId="6E5F7C6D"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Población, unidad de análisis y tamaño. </w:t>
      </w:r>
      <w:r>
        <w:rPr>
          <w:rFonts w:ascii="Arial" w:eastAsia="Arial" w:hAnsi="Arial" w:cs="Arial"/>
          <w:lang w:val="es-ES" w:eastAsia="es-ES"/>
        </w:rPr>
        <w:t>La población es el conjunto de observaciones trimestrales del diferencial de retornos entre certificados de depósito en guaraníes y en dólares del sistema bancario paraguayo durante 2004–2024. La unidad de análisis es el diferencial trimestral. No se aplica un procedimiento de muestreo probabilístico: se trabaja con la totalidad de la población disponible (censo del período), de modo que el tamaño efectivo es de T = 84 observaciones trimestrales (2004:T1–2024:T4), determinado por la disponibilidad de cobertura homogénea y reglamentada de las tasas pasivas por moneda desde 2004, según la nota de la Sección 4. Las tasas de CDA provienen de una única fuente y definición para todo el período (tramo de hasta 365 días de los boletines «Promedio de Tasas» de la Superintendencia de Bancos, tasa efectiva, bancos); diez meses no publicados por el BCP se documentan en la base y el valor trimestral es el promedio de los meses publicados, de modo que el n efectivo varía según la especificación (83 observaciones para la serie DR, 80 para el modelo principal de la Etapa 5 sobre la prima de riesgo).</w:t>
      </w:r>
    </w:p>
    <w:p w14:paraId="6035518A"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Fuentes de información. </w:t>
      </w:r>
      <w:r>
        <w:rPr>
          <w:rFonts w:ascii="Arial" w:eastAsia="Arial" w:hAnsi="Arial" w:cs="Arial"/>
          <w:lang w:val="es-ES" w:eastAsia="es-ES"/>
        </w:rPr>
        <w:t>Todas las fuentes son secundarias y de acceso público. El Banco Central del Paraguay (BCP) provee las tasas pasivas de CDA en guaraníes y en dólares, el tipo de cambio nominal guaraní/dólar correspondiente al promedio del mes de cierre de cada trimestre, el ratio de dolarización de depósitos, el régimen de encaje legal por moneda y el índice de precios al consumidor del Paraguay; la Reserva Federal de los Estados Unidos aporta la Federal Funds Rate y, a través de la base FRED, el índice de precios al consumidor estadounidense. No se utilizan fuentes primarias, por tratarse de un diseño documental.</w:t>
      </w:r>
    </w:p>
    <w:p w14:paraId="7886035B"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Técnica e instrumentos. </w:t>
      </w:r>
      <w:r>
        <w:rPr>
          <w:rFonts w:ascii="Arial" w:eastAsia="Arial" w:hAnsi="Arial" w:cs="Arial"/>
          <w:lang w:val="es-ES" w:eastAsia="es-ES"/>
        </w:rPr>
        <w:t xml:space="preserve">La técnica de recolección es el análisis documental de bases estadísticas oficiales. El instrumento de registro es una base de datos estructurada en formato de panel temporal, donde cada observación se almacena junto con su fuente, su </w:t>
        <w:lastRenderedPageBreak/>
        <w:t>fecha de extracción y, en el caso de las variables derivadas, la fórmula que la genera. El procesamiento econométrico se realiza con los programas Stata y Python, empleados como herramientas de cálculo y validación cruzada de los resultados.</w:t>
      </w:r>
    </w:p>
    <w:p w14:paraId="483BAD4C"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Variables primarias y derivadas. </w:t>
      </w:r>
      <w:r>
        <w:rPr>
          <w:rFonts w:ascii="Arial" w:eastAsia="Arial" w:hAnsi="Arial" w:cs="Arial"/>
          <w:lang w:val="es-ES" w:eastAsia="es-ES"/>
        </w:rPr>
        <w:t>Se distingue entre variables primarias, tomadas directamente de la fuente oficial sin alteración (tasas pasivas, tipo de cambio, índices de precios, ratio de dolarización, encaje), y variables derivadas, calculadas mediante fórmulas explícitas y auditables a partir de las primarias (el diferencial de retornos estándar y conservador, la volatilidad cambiaria, el diferencial de inflación y la prima de riesgo residual, definidas en las Etapas 1 a 5). Ninguna variable se obtiene por imputación, estimación de valores faltantes ni proyección; los huecos eventuales se reportan como tales y no se rellenan.</w:t>
      </w:r>
    </w:p>
    <w:p w14:paraId="34742489"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Control de calidad de los datos. </w:t>
      </w:r>
      <w:r>
        <w:rPr>
          <w:rFonts w:ascii="Arial" w:eastAsia="Arial" w:hAnsi="Arial" w:cs="Arial"/>
          <w:lang w:val="es-ES" w:eastAsia="es-ES"/>
        </w:rPr>
        <w:t>Para garantizar la fiabilidad de la información se aplica un protocolo de validación en tres fases independientes. Una primera fase de recopilación organiza los datos primarios y registra para cada serie su fuente y su trazabilidad al documento oficial de origen. Una segunda fase de auditoría verifica, observación por observación, que cada dato primario coincida con su fuente y que cada variable derivada pueda recalcularse a partir de su fórmula, sin aceptar valores estimados, inventados ni proyectados. Solo una vez superada la auditoría, una tercera fase de análisis ejecuta las rutinas econométricas. Esta separación de funciones asegura la replicabilidad del estudio y la integridad de la base sobre la que se construyen los resultados.</w:t>
      </w:r>
    </w:p>
    <w:p w14:paraId="66AA7322"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investigación adopta un diseño cuantitativo con análisis de series de tiempo trimestrales. La unidad de análisis es el diferencial trimestral de retornos entre CDA en guaraníes y en dólares en el sistema bancario paraguayo. El período de análisis comprende 2004:T1–2024:T4 (T = 84 observaciones trimestrales); el inicio en 2004 responde a la disponibilidad de cobertura homogénea y reglamentada de las tasas pasivas por moneda, según la nota de la Sección 4. Todos los datos son secundarios y de acceso público: el BCP provee las tasas pasivas de CDA en guaraníes y en dólares (tramo de hasta 365 días, tasa efectiva, promedio del sistema bancario, boletines «Promedio de Tasas» de la Superintendencia de Bancos), el tipo de cambio nominal guaraní/dólar </w:t>
        <w:lastRenderedPageBreak/>
        <w:t>del mes de cierre de cada trimestre (promedio mensual), el ratio de dolarización de depósitos y el régimen de encaje legal por moneda (Banco Central del Paraguay, 2024); la Reserva Federal aporta la Federal Funds Rate (Federal Reserve System, 2024); y el FRED suministra los índices de precios al consumidor de Estados Unidos, mientras el BCP provee los del Paraguay. El análisis econométrico se ejecuta en Stata con los comandos newey (regresión con errores HAC de Newey-West), estat sbcusum y el procedimiento de Bai-Perron para quiebres estructurales (implementado mediante el comando comunitario xtbreak, de Ditzen, Karavias y Westerlund, 2021), y dfuller/pperron para pruebas de raíz unitaria.</w:t>
      </w:r>
    </w:p>
    <w:p w14:paraId="340FD79D"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 estrategia empírica se organiza en seis etapas secuenciales; los resultados de cada una condicionan o alimentan la siguiente. La Etapa 1 produce las series. La Etapa 2 estima el coeficiente de Fama y valida estadísticamente la medida conservadora. La Etapa 3 verifica las propiedades estadísticas de la serie y confirma si 2011 fue efectivamente un quiebre. La Etapa 4 descompone el diferencial en sus componentes estructurales. La Etapa 5 integra todos los elementos anteriores en un modelo de regresión con interacciones que identifica la recomposición de los determinantes. La Etapa 6 reúne las pruebas de diagnóstico y robustez.</w:t>
      </w:r>
    </w:p>
    <w:p w14:paraId="5ECF69F7"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bookmarkStart w:id="20" w:name="_Toc233474068"/>
      <w:r>
        <w:rPr>
          <w:rFonts w:ascii="Arial" w:eastAsia="Arial" w:hAnsi="Arial" w:cs="Arial"/>
          <w:b/>
          <w:bCs/>
          <w:i/>
          <w:iCs/>
          <w:color w:val="000000"/>
          <w:lang w:val="es-ES" w:eastAsia="es-ES"/>
        </w:rPr>
        <w:t>Etapa 1: Construcción de las series de retorno</w:t>
      </w:r>
      <w:bookmarkEnd w:id="20"/>
    </w:p>
    <w:p w14:paraId="562110F4"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Las tasas anualizadas publicadas por el BCP se trimestralizan mediante el factor 1/4. Los tipos de cambio utilizados corresponden al promedio mensual del último mes de cada trimestre (Cuadro 60a del Anexo Estadístico del BCP), dado que la cotización puntual de cierre del último día hábil no se encuentra disponible de forma homogénea en las fuentes oficiales para todo el período 2004–2024. Se construyen dos series con interpretaciones económicas distintas.</w:t>
      </w:r>
    </w:p>
    <w:p w14:paraId="4D9453E1"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i/>
          <w:iCs/>
          <w:lang w:val="es-ES" w:eastAsia="es-ES"/>
        </w:rPr>
        <w:t xml:space="preserve">La serie estándar </w:t>
      </w:r>
      <w:r>
        <w:rPr>
          <w:rFonts w:ascii="Arial" w:eastAsia="Arial" w:hAnsi="Arial" w:cs="Arial"/>
          <w:lang w:val="es-ES" w:eastAsia="es-ES"/>
        </w:rPr>
        <w:t>(DR</w:t>
      </w:r>
      <w:r>
        <w:rPr>
          <w:rFonts w:ascii="Arial" w:eastAsia="Arial" w:hAnsi="Arial" w:cs="Arial"/>
          <w:vertAlign w:val="subscript"/>
          <w:lang w:val="es-ES" w:eastAsia="es-ES"/>
        </w:rPr>
        <w:t>t+1</w:t>
      </w:r>
      <w:r>
        <w:rPr>
          <w:rFonts w:ascii="Arial" w:eastAsia="Arial" w:hAnsi="Arial" w:cs="Arial"/>
          <w:lang w:val="es-ES" w:eastAsia="es-ES"/>
        </w:rPr>
        <w:t>) refleja el retorno efectivo ex post de un ahorrista en guaraníes comparado con uno en dólares, incluyendo tanto las pérdidas por depreciación como las ganancias por apreciación cambiaria:</w:t>
      </w:r>
    </w:p>
    <w:p w14:paraId="4E62C683"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DR</w:t>
      </w:r>
      <w:r>
        <w:rPr>
          <w:rFonts w:ascii="Cambria Math" w:eastAsia="Arial" w:hAnsi="Cambria Math" w:cs="Cambria Math"/>
          <w:i/>
          <w:iCs/>
          <w:lang w:val="es-ES" w:eastAsia="es-ES"/>
        </w:rPr>
        <w:t>ₜ₊₁</w:t>
      </w:r>
      <w:r>
        <w:rPr>
          <w:rFonts w:ascii="Arial" w:eastAsia="Arial" w:hAnsi="Arial" w:cs="Arial"/>
          <w:i/>
          <w:iCs/>
          <w:lang w:val="es-ES" w:eastAsia="es-ES"/>
        </w:rPr>
        <w:t xml:space="preserve"> = [i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(USD)]/4 − [(TC</w:t>
      </w:r>
      <w:r>
        <w:rPr>
          <w:rFonts w:ascii="Cambria Math" w:eastAsia="Arial" w:hAnsi="Cambria Math" w:cs="Cambria Math"/>
          <w:i/>
          <w:iCs/>
          <w:lang w:val="es-ES" w:eastAsia="es-ES"/>
        </w:rPr>
        <w:t>ₜ₊₁</w:t>
      </w:r>
      <w:r>
        <w:rPr>
          <w:rFonts w:ascii="Arial" w:eastAsia="Arial" w:hAnsi="Arial" w:cs="Arial"/>
          <w:i/>
          <w:iCs/>
          <w:lang w:val="es-ES" w:eastAsia="es-ES"/>
        </w:rPr>
        <w:t xml:space="preserve"> − TC</w:t>
      </w:r>
      <w:r>
        <w:rPr>
          <w:rFonts w:ascii="Cambria Math" w:eastAsia="Arial" w:hAnsi="Cambria Math" w:cs="Cambria Math"/>
          <w:i/>
          <w:iCs/>
          <w:lang w:val="es-ES" w:eastAsia="es-ES"/>
        </w:rPr>
        <w:t>ₜ</w:t>
      </w:r>
      <w:r>
        <w:rPr>
          <w:rFonts w:ascii="Arial" w:eastAsia="Arial" w:hAnsi="Arial" w:cs="Arial"/>
          <w:i/>
          <w:iCs/>
          <w:lang w:val="es-ES" w:eastAsia="es-ES"/>
        </w:rPr>
        <w:t>)/TC</w:t>
      </w:r>
      <w:r>
        <w:rPr>
          <w:rFonts w:ascii="Cambria Math" w:eastAsia="Arial" w:hAnsi="Cambria Math" w:cs="Cambria Math"/>
          <w:i/>
          <w:iCs/>
          <w:lang w:val="es-ES" w:eastAsia="es-ES"/>
        </w:rPr>
        <w:t>ₜ</w:t>
      </w:r>
      <w:r>
        <w:rPr>
          <w:rFonts w:ascii="Arial" w:eastAsia="Arial" w:hAnsi="Arial" w:cs="Arial"/>
          <w:i/>
          <w:iCs/>
          <w:lang w:val="es-ES" w:eastAsia="es-ES"/>
        </w:rPr>
        <w:t>] × 100</w:t>
      </w:r>
      <w:r>
        <w:rPr>
          <w:rFonts w:ascii="Arial" w:eastAsia="Arial" w:hAnsi="Arial" w:cs="Arial"/>
          <w:lang w:val="es-ES" w:eastAsia="es-ES"/>
        </w:rPr>
        <w:tab/>
        <w:t>(5)</w:t>
      </w:r>
    </w:p>
    <w:p w14:paraId="3E667F62"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i/>
          <w:iCs/>
          <w:lang w:val="es-ES" w:eastAsia="es-ES"/>
        </w:rPr>
        <w:t xml:space="preserve">La serie conservadora </w:t>
      </w:r>
      <w:r>
        <w:rPr>
          <w:rFonts w:ascii="Arial" w:eastAsia="Arial" w:hAnsi="Arial" w:cs="Arial"/>
          <w:lang w:val="es-ES" w:eastAsia="es-ES"/>
        </w:rPr>
        <w:t>(DR</w:t>
      </w:r>
      <w:r>
        <w:rPr>
          <w:rFonts w:ascii="Arial" w:eastAsia="Arial" w:hAnsi="Arial" w:cs="Arial"/>
          <w:vertAlign w:val="superscript"/>
          <w:lang w:val="es-ES" w:eastAsia="es-ES"/>
        </w:rPr>
        <w:t>cons</w:t>
      </w:r>
      <w:r>
        <w:rPr>
          <w:rFonts w:ascii="Arial" w:eastAsia="Arial" w:hAnsi="Arial" w:cs="Arial"/>
          <w:vertAlign w:val="subscript"/>
          <w:lang w:val="es-ES" w:eastAsia="es-ES"/>
        </w:rPr>
        <w:t>t+1</w:t>
      </w:r>
      <w:r>
        <w:rPr>
          <w:rFonts w:ascii="Arial" w:eastAsia="Arial" w:hAnsi="Arial" w:cs="Arial"/>
          <w:lang w:val="es-ES" w:eastAsia="es-ES"/>
        </w:rPr>
        <w:t xml:space="preserve">) excluye las ganancias por apreciación del guaraní, aislando únicamente el componente estructural del diferencial. Su ajuste cambiario aplica </w:t>
        <w:lastRenderedPageBreak/>
        <w:t>máx[(TC</w:t>
      </w:r>
      <w:r>
        <w:rPr>
          <w:rFonts w:ascii="Arial" w:eastAsia="Arial" w:hAnsi="Arial" w:cs="Arial"/>
          <w:vertAlign w:val="subscript"/>
          <w:lang w:val="es-ES" w:eastAsia="es-ES"/>
        </w:rPr>
        <w:t>t+1</w:t>
      </w:r>
      <w:r>
        <w:rPr>
          <w:rFonts w:ascii="Arial" w:eastAsia="Arial" w:hAnsi="Arial" w:cs="Arial"/>
          <w:lang w:val="es-ES" w:eastAsia="es-ES"/>
        </w:rPr>
        <w:t xml:space="preserve"> − TC</w:t>
      </w:r>
      <w:r>
        <w:rPr>
          <w:rFonts w:ascii="Arial" w:eastAsia="Arial" w:hAnsi="Arial" w:cs="Arial"/>
          <w:vertAlign w:val="subscript"/>
          <w:lang w:val="es-ES" w:eastAsia="es-ES"/>
        </w:rPr>
        <w:t>t</w:t>
      </w:r>
      <w:r>
        <w:rPr>
          <w:rFonts w:ascii="Arial" w:eastAsia="Arial" w:hAnsi="Arial" w:cs="Arial"/>
          <w:lang w:val="es-ES" w:eastAsia="es-ES"/>
        </w:rPr>
        <w:t>)/TC</w:t>
      </w:r>
      <w:r>
        <w:rPr>
          <w:rFonts w:ascii="Arial" w:eastAsia="Arial" w:hAnsi="Arial" w:cs="Arial"/>
          <w:vertAlign w:val="subscript"/>
          <w:lang w:val="es-ES" w:eastAsia="es-ES"/>
        </w:rPr>
        <w:t>t</w:t>
      </w:r>
      <w:r>
        <w:rPr>
          <w:rFonts w:ascii="Arial" w:eastAsia="Arial" w:hAnsi="Arial" w:cs="Arial"/>
          <w:lang w:val="es-ES" w:eastAsia="es-ES"/>
        </w:rPr>
        <w:t>, 0], que vale cero cuando el guaraní se aprecia y toma el valor de la depreciación efectiva cuando el guaraní pierde valor:</w:t>
      </w:r>
    </w:p>
    <w:p w14:paraId="7D31ACBD"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DRᶜᵒⁿˢ</w:t>
      </w:r>
      <w:r>
        <w:rPr>
          <w:rFonts w:ascii="Cambria Math" w:eastAsia="Arial" w:hAnsi="Cambria Math" w:cs="Cambria Math"/>
          <w:i/>
          <w:iCs/>
          <w:lang w:val="es-ES" w:eastAsia="es-ES"/>
        </w:rPr>
        <w:t>ₜ₊₁</w:t>
      </w:r>
      <w:r>
        <w:rPr>
          <w:rFonts w:ascii="Arial" w:eastAsia="Arial" w:hAnsi="Arial" w:cs="Arial"/>
          <w:i/>
          <w:iCs/>
          <w:lang w:val="es-ES" w:eastAsia="es-ES"/>
        </w:rPr>
        <w:t xml:space="preserve"> = [i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(USD)]/4 − máx[(TC</w:t>
      </w:r>
      <w:r>
        <w:rPr>
          <w:rFonts w:ascii="Cambria Math" w:eastAsia="Arial" w:hAnsi="Cambria Math" w:cs="Cambria Math"/>
          <w:i/>
          <w:iCs/>
          <w:lang w:val="es-ES" w:eastAsia="es-ES"/>
        </w:rPr>
        <w:t>ₜ₊₁</w:t>
      </w:r>
      <w:r>
        <w:rPr>
          <w:rFonts w:ascii="Arial" w:eastAsia="Arial" w:hAnsi="Arial" w:cs="Arial"/>
          <w:i/>
          <w:iCs/>
          <w:lang w:val="es-ES" w:eastAsia="es-ES"/>
        </w:rPr>
        <w:t xml:space="preserve"> − TC</w:t>
      </w:r>
      <w:r>
        <w:rPr>
          <w:rFonts w:ascii="Cambria Math" w:eastAsia="Arial" w:hAnsi="Cambria Math" w:cs="Cambria Math"/>
          <w:i/>
          <w:iCs/>
          <w:lang w:val="es-ES" w:eastAsia="es-ES"/>
        </w:rPr>
        <w:t>ₜ</w:t>
      </w:r>
      <w:r>
        <w:rPr>
          <w:rFonts w:ascii="Arial" w:eastAsia="Arial" w:hAnsi="Arial" w:cs="Arial"/>
          <w:i/>
          <w:iCs/>
          <w:lang w:val="es-ES" w:eastAsia="es-ES"/>
        </w:rPr>
        <w:t>)/TC</w:t>
      </w:r>
      <w:r>
        <w:rPr>
          <w:rFonts w:ascii="Cambria Math" w:eastAsia="Arial" w:hAnsi="Cambria Math" w:cs="Cambria Math"/>
          <w:i/>
          <w:iCs/>
          <w:lang w:val="es-ES" w:eastAsia="es-ES"/>
        </w:rPr>
        <w:t>ₜ</w:t>
      </w:r>
      <w:r>
        <w:rPr>
          <w:rFonts w:ascii="Arial" w:eastAsia="Arial" w:hAnsi="Arial" w:cs="Arial"/>
          <w:i/>
          <w:iCs/>
          <w:lang w:val="es-ES" w:eastAsia="es-ES"/>
        </w:rPr>
        <w:t>, 0] × 100</w:t>
      </w:r>
      <w:r>
        <w:rPr>
          <w:rFonts w:ascii="Arial" w:eastAsia="Arial" w:hAnsi="Arial" w:cs="Arial"/>
          <w:lang w:val="es-ES" w:eastAsia="es-ES"/>
        </w:rPr>
        <w:tab/>
        <w:t>(6)</w:t>
      </w:r>
    </w:p>
    <w:p w14:paraId="75BCBC34"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Se calculan estadísticas descriptivas completas de ambas series (media, mediana, desvío estándar, coeficiente de variación, mínimo, máximo, asimetría y curtosis) para el período completo y para cada subperíodo. La evolución temporal se presenta en gráficos de línea con indicación del quiebre de 2011.</w:t>
      </w:r>
    </w:p>
    <w:p w14:paraId="648D064F"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bookmarkStart w:id="21" w:name="_Toc233474069"/>
      <w:r>
        <w:rPr>
          <w:rFonts w:ascii="Arial" w:eastAsia="Arial" w:hAnsi="Arial" w:cs="Arial"/>
          <w:b/>
          <w:bCs/>
          <w:i/>
          <w:iCs/>
          <w:color w:val="000000"/>
          <w:lang w:val="es-ES" w:eastAsia="es-ES"/>
        </w:rPr>
        <w:t>Etapa 2: Coeficiente de Fama y validación de la medida conservadora</w:t>
      </w:r>
      <w:bookmarkEnd w:id="21"/>
    </w:p>
    <w:p w14:paraId="1137E270"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t xml:space="preserve">Estimación del coeficiente de Fama. </w:t>
      </w:r>
      <w:r>
        <w:rPr>
          <w:rFonts w:ascii="Arial" w:eastAsia="Arial" w:hAnsi="Arial" w:cs="Arial"/>
          <w:lang w:val="es-ES" w:eastAsia="es-ES"/>
        </w:rPr>
        <w:t>Se estima la regresión Δs</w:t>
      </w:r>
      <w:r>
        <w:rPr>
          <w:rFonts w:ascii="Arial" w:eastAsia="Arial" w:hAnsi="Arial" w:cs="Arial"/>
          <w:vertAlign w:val="subscript"/>
          <w:lang w:val="es-ES" w:eastAsia="es-ES"/>
        </w:rPr>
        <w:t>t+1</w:t>
      </w:r>
      <w:r>
        <w:rPr>
          <w:rFonts w:ascii="Arial" w:eastAsia="Arial" w:hAnsi="Arial" w:cs="Arial"/>
          <w:lang w:val="es-ES" w:eastAsia="es-ES"/>
        </w:rPr>
        <w:t xml:space="preserve"> = α + β·[i</w:t>
      </w:r>
      <w:r>
        <w:rPr>
          <w:rFonts w:ascii="Arial" w:eastAsia="Arial" w:hAnsi="Arial" w:cs="Arial"/>
          <w:vertAlign w:val="subscript"/>
          <w:lang w:val="es-ES" w:eastAsia="es-ES"/>
        </w:rPr>
        <w:t>t</w:t>
      </w:r>
      <w:r>
        <w:rPr>
          <w:rFonts w:ascii="Arial" w:eastAsia="Arial" w:hAnsi="Arial" w:cs="Arial"/>
          <w:lang w:val="es-ES" w:eastAsia="es-ES"/>
        </w:rPr>
        <w:t>(Gs) − i</w:t>
      </w:r>
      <w:r>
        <w:rPr>
          <w:rFonts w:ascii="Arial" w:eastAsia="Arial" w:hAnsi="Arial" w:cs="Arial"/>
          <w:vertAlign w:val="subscript"/>
          <w:lang w:val="es-ES" w:eastAsia="es-ES"/>
        </w:rPr>
        <w:t>t</w:t>
      </w:r>
      <w:r>
        <w:rPr>
          <w:rFonts w:ascii="Arial" w:eastAsia="Arial" w:hAnsi="Arial" w:cs="Arial"/>
          <w:lang w:val="es-ES" w:eastAsia="es-ES"/>
        </w:rPr>
        <w:t>(USD)]/4 + ε</w:t>
      </w:r>
      <w:r>
        <w:rPr>
          <w:rFonts w:ascii="Arial" w:eastAsia="Arial" w:hAnsi="Arial" w:cs="Arial"/>
          <w:vertAlign w:val="subscript"/>
          <w:lang w:val="es-ES" w:eastAsia="es-ES"/>
        </w:rPr>
        <w:t>t+1</w:t>
      </w:r>
      <w:r>
        <w:rPr>
          <w:rFonts w:ascii="Arial" w:eastAsia="Arial" w:hAnsi="Arial" w:cs="Arial"/>
          <w:lang w:val="es-ES" w:eastAsia="es-ES"/>
        </w:rPr>
        <w:t xml:space="preserve"> por MCO con errores HAC para el período completo y para los subperíodos pre y post 2011; el diferencial de tasas se expresa trimestralizado —dividido por cuatro—, en la misma frecuencia que la depreciación, de modo que β = 1 constituye el valor de referencia bajo la UIP. Un β significativamente menor que 1 confirma el incumplimiento de la UIP; la comparación de β entre subperíodos indica si el anclaje de expectativas tras 2011 modificó el grado de desviación. Esta estimación articula el Pilar 2 con el resto del diseño.</w:t>
      </w:r>
    </w:p>
    <w:p w14:paraId="27F69F15"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t xml:space="preserve">Validación de la medida conservadora. </w:t>
      </w:r>
      <w:r>
        <w:rPr>
          <w:rFonts w:ascii="Arial" w:eastAsia="Arial" w:hAnsi="Arial" w:cs="Arial"/>
          <w:lang w:val="es-ES" w:eastAsia="es-ES"/>
        </w:rPr>
        <w:t xml:space="preserve">La medida conservadora tiene una justificación económica precisa: un ahorrista que constituye un CDA en guaraníes asume </w:t>
      </w:r>
      <w:r>
        <w:rPr>
          <w:rFonts w:ascii="Arial" w:eastAsia="Arial" w:hAnsi="Arial" w:cs="Arial"/>
          <w:i/>
          <w:iCs/>
          <w:lang w:val="es-ES" w:eastAsia="es-ES"/>
        </w:rPr>
        <w:t>asimétricamente</w:t>
      </w:r>
      <w:r>
        <w:rPr>
          <w:rFonts w:ascii="Arial" w:eastAsia="Arial" w:hAnsi="Arial" w:cs="Arial"/>
          <w:lang w:val="es-ES" w:eastAsia="es-ES"/>
        </w:rPr>
        <w:t xml:space="preserve"> el riesgo de depreciación. El beneficio por apreciación no forma parte del premio estructural del guaraní, ya que es un evento favorable y transitorio ligado a condiciones externas. Al excluirlo, DR</w:t>
      </w:r>
      <w:r>
        <w:rPr>
          <w:rFonts w:ascii="Arial" w:eastAsia="Arial" w:hAnsi="Arial" w:cs="Arial"/>
          <w:vertAlign w:val="superscript"/>
          <w:lang w:val="es-ES" w:eastAsia="es-ES"/>
        </w:rPr>
        <w:t>cons</w:t>
      </w:r>
      <w:r>
        <w:rPr>
          <w:rFonts w:ascii="Arial" w:eastAsia="Arial" w:hAnsi="Arial" w:cs="Arial"/>
          <w:lang w:val="es-ES" w:eastAsia="es-ES"/>
        </w:rPr>
        <w:t xml:space="preserve"> aísla el diferencial que se sostiene incluso en escenarios cambiarios desfavorables para el tenedor en guaraníes.</w:t>
      </w:r>
    </w:p>
    <w:p w14:paraId="3B41AB8A"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 hipótesis que se contrasta es unilateral: H</w:t>
      </w:r>
      <w:r>
        <w:rPr>
          <w:rFonts w:ascii="Arial" w:eastAsia="Arial" w:hAnsi="Arial" w:cs="Arial"/>
          <w:vertAlign w:val="subscript"/>
          <w:lang w:val="es-ES" w:eastAsia="es-ES"/>
        </w:rPr>
        <w:t>0</w:t>
      </w:r>
      <w:r>
        <w:rPr>
          <w:rFonts w:ascii="Arial" w:eastAsia="Arial" w:hAnsi="Arial" w:cs="Arial"/>
          <w:lang w:val="es-ES" w:eastAsia="es-ES"/>
        </w:rPr>
        <w:t>: μ(DR</w:t>
      </w:r>
      <w:r>
        <w:rPr>
          <w:rFonts w:ascii="Arial" w:eastAsia="Arial" w:hAnsi="Arial" w:cs="Arial"/>
          <w:vertAlign w:val="superscript"/>
          <w:lang w:val="es-ES" w:eastAsia="es-ES"/>
        </w:rPr>
        <w:t>cons</w:t>
      </w:r>
      <w:r>
        <w:rPr>
          <w:rFonts w:ascii="Arial" w:eastAsia="Arial" w:hAnsi="Arial" w:cs="Arial"/>
          <w:lang w:val="es-ES" w:eastAsia="es-ES"/>
        </w:rPr>
        <w:t>) ≤ 0 frente a H</w:t>
      </w:r>
      <w:r>
        <w:rPr>
          <w:rFonts w:ascii="Arial" w:eastAsia="Arial" w:hAnsi="Arial" w:cs="Arial"/>
          <w:vertAlign w:val="subscript"/>
          <w:lang w:val="es-ES" w:eastAsia="es-ES"/>
        </w:rPr>
        <w:t>A</w:t>
      </w:r>
      <w:r>
        <w:rPr>
          <w:rFonts w:ascii="Arial" w:eastAsia="Arial" w:hAnsi="Arial" w:cs="Arial"/>
          <w:lang w:val="es-ES" w:eastAsia="es-ES"/>
        </w:rPr>
        <w:t>: μ(DR</w:t>
      </w:r>
      <w:r>
        <w:rPr>
          <w:rFonts w:ascii="Arial" w:eastAsia="Arial" w:hAnsi="Arial" w:cs="Arial"/>
          <w:vertAlign w:val="superscript"/>
          <w:lang w:val="es-ES" w:eastAsia="es-ES"/>
        </w:rPr>
        <w:t>cons</w:t>
      </w:r>
      <w:r>
        <w:rPr>
          <w:rFonts w:ascii="Arial" w:eastAsia="Arial" w:hAnsi="Arial" w:cs="Arial"/>
          <w:lang w:val="es-ES" w:eastAsia="es-ES"/>
        </w:rPr>
        <w:t>) &gt; 0. Se emplea una prueba t de media muestral con corrección HAC de Newey-West para la autocorrelación serial. El nivel de significancia es α = 0,05. Se reportan adicionalmente: el intervalo de confianza bilateral al 95 % de la media de DR</w:t>
      </w:r>
      <w:r>
        <w:rPr>
          <w:rFonts w:ascii="Arial" w:eastAsia="Arial" w:hAnsi="Arial" w:cs="Arial"/>
          <w:vertAlign w:val="superscript"/>
          <w:lang w:val="es-ES" w:eastAsia="es-ES"/>
        </w:rPr>
        <w:t>cons</w:t>
      </w:r>
      <w:r>
        <w:rPr>
          <w:rFonts w:ascii="Arial" w:eastAsia="Arial" w:hAnsi="Arial" w:cs="Arial"/>
          <w:lang w:val="es-ES" w:eastAsia="es-ES"/>
        </w:rPr>
        <w:t>, el porcentaje de trimestres con DR</w:t>
      </w:r>
      <w:r>
        <w:rPr>
          <w:rFonts w:ascii="Arial" w:eastAsia="Arial" w:hAnsi="Arial" w:cs="Arial"/>
          <w:vertAlign w:val="superscript"/>
          <w:lang w:val="es-ES" w:eastAsia="es-ES"/>
        </w:rPr>
        <w:t>cons</w:t>
      </w:r>
      <w:r>
        <w:rPr>
          <w:rFonts w:ascii="Arial" w:eastAsia="Arial" w:hAnsi="Arial" w:cs="Arial"/>
          <w:lang w:val="es-ES" w:eastAsia="es-ES"/>
        </w:rPr>
        <w:t xml:space="preserve"> &gt; 0, y la comparación de medias entre ambas series para cuantificar el sesgo que introduce la apreciación en DR estándar. El año 2011 ilustra la importancia de esta </w:t>
        <w:lastRenderedPageBreak/>
        <w:t>distinción: el guaraní se apreció aproximadamente un 10 % frente al dólar ese año, lo que hace que DR</w:t>
      </w:r>
      <w:r>
        <w:rPr>
          <w:rFonts w:ascii="Arial" w:eastAsia="Arial" w:hAnsi="Arial" w:cs="Arial"/>
          <w:vertAlign w:val="subscript"/>
          <w:lang w:val="es-ES" w:eastAsia="es-ES"/>
        </w:rPr>
        <w:t>t+1</w:t>
      </w:r>
      <w:r>
        <w:rPr>
          <w:rFonts w:ascii="Arial" w:eastAsia="Arial" w:hAnsi="Arial" w:cs="Arial"/>
          <w:lang w:val="es-ES" w:eastAsia="es-ES"/>
        </w:rPr>
        <w:t xml:space="preserve"> registre un diferencial excepcionalmente alto que DR</w:t>
      </w:r>
      <w:r>
        <w:rPr>
          <w:rFonts w:ascii="Arial" w:eastAsia="Arial" w:hAnsi="Arial" w:cs="Arial"/>
          <w:vertAlign w:val="superscript"/>
          <w:lang w:val="es-ES" w:eastAsia="es-ES"/>
        </w:rPr>
        <w:t>cons</w:t>
      </w:r>
      <w:r>
        <w:rPr>
          <w:rFonts w:ascii="Arial" w:eastAsia="Arial" w:hAnsi="Arial" w:cs="Arial"/>
          <w:lang w:val="es-ES" w:eastAsia="es-ES"/>
        </w:rPr>
        <w:t xml:space="preserve"> descuenta.</w:t>
      </w:r>
    </w:p>
    <w:p w14:paraId="615EAED6"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bookmarkStart w:id="22" w:name="_Toc233474070"/>
      <w:r>
        <w:rPr>
          <w:rFonts w:ascii="Arial" w:eastAsia="Arial" w:hAnsi="Arial" w:cs="Arial"/>
          <w:b/>
          <w:bCs/>
          <w:i/>
          <w:iCs/>
          <w:color w:val="000000"/>
          <w:lang w:val="es-ES" w:eastAsia="es-ES"/>
        </w:rPr>
        <w:t>Etapa 3: Estacionariedad y análisis de quiebre estructural</w:t>
      </w:r>
      <w:bookmarkEnd w:id="22"/>
    </w:p>
    <w:p w14:paraId="0866428E"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En primer lugar, se verifican las propiedades de integración de la serie DR</w:t>
      </w:r>
      <w:r>
        <w:rPr>
          <w:rFonts w:ascii="Arial" w:eastAsia="Arial" w:hAnsi="Arial" w:cs="Arial"/>
          <w:vertAlign w:val="subscript"/>
          <w:lang w:val="es-ES" w:eastAsia="es-ES"/>
        </w:rPr>
        <w:t>t+1</w:t>
      </w:r>
      <w:r>
        <w:rPr>
          <w:rFonts w:ascii="Arial" w:eastAsia="Arial" w:hAnsi="Arial" w:cs="Arial"/>
          <w:lang w:val="es-ES" w:eastAsia="es-ES"/>
        </w:rPr>
        <w:t xml:space="preserve"> con la prueba de Dickey-Fuller Aumentada (ADF, con rezagos seleccionados por el criterio BIC) , complementada con Phillips-Perron y con la prueba KPSS, cuya hipótesis nula invertida (estacionariedad) ofrece un contraste más informativo que dos pruebas con la misma nula. El orden de integración se verifica no solo para la variable dependiente sino para todas las variables del modelo y de la construcción de la prima (la volatilidad cambiaria, la dolarización y el diferencial de inflación empleado en la descomposición de Fisher): una regresión entre series de órdenes de integración distintos quedaría desbalanceada, y el ratio de dolarización —de caída sostenida a lo largo del período— es un candidato natural a raíz unitaria. La batería se aplica como secuencia de decisión: primero la integración de las series, luego la estimación, después el diagnóstico de los residuos y al final la estabilidad. No se exige análisis de cointegración, porque el mecanismo estudiado no es una relación de largo plazo. Si la serie es estacionaria en niveles I(0), se procede con las regresiones en niveles; si presenta raíz unitaria I(1), se transforma en primeras diferencias. La verificación de estacionariedad es un prerrequisito para la validez de la prueba t de medias y del modelo de la Etapa 5.</w:t>
      </w:r>
    </w:p>
    <w:p w14:paraId="5613E9E5"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i/>
          <w:iCs/>
          <w:lang w:val="es-ES" w:eastAsia="es-ES"/>
        </w:rPr>
        <w:t xml:space="preserve">a) Prueba t de diferencia de medias. </w:t>
      </w:r>
      <w:r>
        <w:rPr>
          <w:rFonts w:ascii="Arial" w:eastAsia="Arial" w:hAnsi="Arial" w:cs="Arial"/>
          <w:lang w:val="es-ES" w:eastAsia="es-ES"/>
        </w:rPr>
        <w:t>Se estiman el diferencial promedio y su desvío estándar para los subperíodos pre-Metas de Inflación (2004:T1–2010:T4, 28 trimestres) y post-Metas de Inflación (2011:T1–2024:T4, 56 trimestres), y se contrasta si la diferencia entre ambas medias es estadísticamente significativa con corrección HAC. El análisis se replica para DR</w:t>
      </w:r>
      <w:r>
        <w:rPr>
          <w:rFonts w:ascii="Arial" w:eastAsia="Arial" w:hAnsi="Arial" w:cs="Arial"/>
          <w:vertAlign w:val="subscript"/>
          <w:lang w:val="es-ES" w:eastAsia="es-ES"/>
        </w:rPr>
        <w:t>t+1</w:t>
      </w:r>
      <w:r>
        <w:rPr>
          <w:rFonts w:ascii="Arial" w:eastAsia="Arial" w:hAnsi="Arial" w:cs="Arial"/>
          <w:lang w:val="es-ES" w:eastAsia="es-ES"/>
        </w:rPr>
        <w:t xml:space="preserve"> y DR</w:t>
      </w:r>
      <w:r>
        <w:rPr>
          <w:rFonts w:ascii="Arial" w:eastAsia="Arial" w:hAnsi="Arial" w:cs="Arial"/>
          <w:vertAlign w:val="superscript"/>
          <w:lang w:val="es-ES" w:eastAsia="es-ES"/>
        </w:rPr>
        <w:t>cons</w:t>
      </w:r>
      <w:r>
        <w:rPr>
          <w:rFonts w:ascii="Arial" w:eastAsia="Arial" w:hAnsi="Arial" w:cs="Arial"/>
          <w:vertAlign w:val="subscript"/>
          <w:lang w:val="es-ES" w:eastAsia="es-ES"/>
        </w:rPr>
        <w:t>t+1</w:t>
      </w:r>
      <w:r>
        <w:rPr>
          <w:rFonts w:ascii="Arial" w:eastAsia="Arial" w:hAnsi="Arial" w:cs="Arial"/>
          <w:lang w:val="es-ES" w:eastAsia="es-ES"/>
        </w:rPr>
        <w:t>. Se advierte, no obstante, que esta prueba solo detecta cambios de nivel y no la recomposición de determinantes, que se aborda en la Etapa 5. Asimismo, el subperíodo pre-Metas de Inflación cuenta con 28 trimestres, una ventana más acotada que la del subperíodo posterior; ello reduce la potencia estadística de las comparaciones referidas a la etapa previa a 2011, limitación que se tiene en cuenta al interpretar los resultados.</w:t>
      </w:r>
    </w:p>
    <w:p w14:paraId="5500EBC1"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i/>
          <w:iCs/>
          <w:lang w:val="es-ES" w:eastAsia="es-ES"/>
        </w:rPr>
        <w:t xml:space="preserve">b) Pruebas de quiebre estructural de Bai y Perron (1998). </w:t>
      </w:r>
      <w:r>
        <w:rPr>
          <w:rFonts w:ascii="Arial" w:eastAsia="Arial" w:hAnsi="Arial" w:cs="Arial"/>
          <w:lang w:val="es-ES" w:eastAsia="es-ES"/>
        </w:rPr>
        <w:t xml:space="preserve">Se aplica el procedimiento de Bai-Perron para detectar múltiples quiebres estructurales </w:t>
      </w:r>
      <w:r>
        <w:rPr>
          <w:rFonts w:ascii="Arial" w:eastAsia="Arial" w:hAnsi="Arial" w:cs="Arial"/>
          <w:i/>
          <w:iCs/>
          <w:lang w:val="es-ES" w:eastAsia="es-ES"/>
        </w:rPr>
        <w:t>desconocidos</w:t>
      </w:r>
      <w:r>
        <w:rPr>
          <w:rFonts w:ascii="Arial" w:eastAsia="Arial" w:hAnsi="Arial" w:cs="Arial"/>
          <w:lang w:val="es-ES" w:eastAsia="es-ES"/>
        </w:rPr>
        <w:t xml:space="preserve"> en la serie DR</w:t>
      </w:r>
      <w:r>
        <w:rPr>
          <w:rFonts w:ascii="Arial" w:eastAsia="Arial" w:hAnsi="Arial" w:cs="Arial"/>
          <w:vertAlign w:val="subscript"/>
          <w:lang w:val="es-ES" w:eastAsia="es-ES"/>
        </w:rPr>
        <w:t>t+1</w:t>
      </w:r>
      <w:r>
        <w:rPr>
          <w:rFonts w:ascii="Arial" w:eastAsia="Arial" w:hAnsi="Arial" w:cs="Arial"/>
          <w:lang w:val="es-ES" w:eastAsia="es-ES"/>
        </w:rPr>
        <w:t>, sin imponer a priori la fecha 2011. Este procedimiento estima endógenamente las fechas de quiebre con sus intervalos de confianza al 95 %, y contrasta el número óptimo de rupturas mediante los estadísticos UDmax y WDmax. Si el procedimiento identifica un quiebre cercano a 2011, se confirma el rol del cambio de régimen; si detecta rupturas en otras fechas (la crisis global de 2008-2009, la caída de commodities de 2014-2016 o la pandemia de 2020), la narrativa se ajustará en consecuencia.</w:t>
      </w:r>
    </w:p>
    <w:p w14:paraId="1F6124BB"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bookmarkStart w:id="23" w:name="_Toc233474071"/>
      <w:r>
        <w:rPr>
          <w:rFonts w:ascii="Arial" w:eastAsia="Arial" w:hAnsi="Arial" w:cs="Arial"/>
          <w:b/>
          <w:bCs/>
          <w:i/>
          <w:iCs/>
          <w:color w:val="000000"/>
          <w:lang w:val="es-ES" w:eastAsia="es-ES"/>
        </w:rPr>
        <w:lastRenderedPageBreak/>
        <w:t>Etapa 4: Descomposición del diferencial — Fisher vs. prima de riesgo</w:t>
      </w:r>
      <w:bookmarkEnd w:id="23"/>
    </w:p>
    <w:p w14:paraId="6CCAD6B3"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Para determinar si la adopción de Metas de Inflación comprimió el diferencial vía la prima de inflación, vía la prima de riesgo, o ambas, se aplica la descomposición de Fisher (Fisher, 1930) al diferencial de tasas nominales observado:</w:t>
      </w:r>
    </w:p>
    <w:p w14:paraId="3C9B76C8"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 = (π</w:t>
      </w:r>
      <w:r>
        <w:rPr>
          <w:rFonts w:ascii="Cambria Math" w:eastAsia="Arial" w:hAnsi="Cambria Math" w:cs="Cambria Math"/>
          <w:i/>
          <w:iCs/>
          <w:lang w:val="es-ES" w:eastAsia="es-ES"/>
        </w:rPr>
        <w:t>ₜ</w:t>
      </w:r>
      <w:r>
        <w:rPr>
          <w:rFonts w:ascii="Arial" w:eastAsia="Arial" w:hAnsi="Arial" w:cs="Arial"/>
          <w:i/>
          <w:iCs/>
          <w:lang w:val="es-ES" w:eastAsia="es-ES"/>
        </w:rPr>
        <w:t>,PY − π</w:t>
      </w:r>
      <w:r>
        <w:rPr>
          <w:rFonts w:ascii="Cambria Math" w:eastAsia="Arial" w:hAnsi="Cambria Math" w:cs="Cambria Math"/>
          <w:i/>
          <w:iCs/>
          <w:lang w:val="es-ES" w:eastAsia="es-ES"/>
        </w:rPr>
        <w:t>ₜ</w:t>
      </w:r>
      <w:r>
        <w:rPr>
          <w:rFonts w:ascii="Arial" w:eastAsia="Arial" w:hAnsi="Arial" w:cs="Arial"/>
          <w:i/>
          <w:iCs/>
          <w:lang w:val="es-ES" w:eastAsia="es-ES"/>
        </w:rPr>
        <w:t>,US) + (r</w:t>
      </w:r>
      <w:r>
        <w:rPr>
          <w:rFonts w:ascii="Cambria Math" w:eastAsia="Arial" w:hAnsi="Cambria Math" w:cs="Cambria Math"/>
          <w:i/>
          <w:iCs/>
          <w:lang w:val="es-ES" w:eastAsia="es-ES"/>
        </w:rPr>
        <w:t>ₜ</w:t>
      </w:r>
      <w:r>
        <w:rPr>
          <w:rFonts w:ascii="Arial" w:eastAsia="Arial" w:hAnsi="Arial" w:cs="Arial"/>
          <w:i/>
          <w:iCs/>
          <w:lang w:val="es-ES" w:eastAsia="es-ES"/>
        </w:rPr>
        <w:t>,Gs − r</w:t>
      </w:r>
      <w:r>
        <w:rPr>
          <w:rFonts w:ascii="Cambria Math" w:eastAsia="Arial" w:hAnsi="Cambria Math" w:cs="Cambria Math"/>
          <w:i/>
          <w:iCs/>
          <w:lang w:val="es-ES" w:eastAsia="es-ES"/>
        </w:rPr>
        <w:t>ₜ</w:t>
      </w:r>
      <w:r>
        <w:rPr>
          <w:rFonts w:ascii="Arial" w:eastAsia="Arial" w:hAnsi="Arial" w:cs="Arial"/>
          <w:i/>
          <w:iCs/>
          <w:lang w:val="es-ES" w:eastAsia="es-ES"/>
        </w:rPr>
        <w:t>,USD)</w:t>
      </w:r>
      <w:r>
        <w:rPr>
          <w:rFonts w:ascii="Arial" w:eastAsia="Arial" w:hAnsi="Arial" w:cs="Arial"/>
          <w:lang w:val="es-ES" w:eastAsia="es-ES"/>
        </w:rPr>
        <w:tab/>
        <w:t>(7)</w:t>
      </w:r>
    </w:p>
    <w:p w14:paraId="3328A3E9"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El componente de inflación esperada se aproxima con el diferencial de inflación observado (π</w:t>
      </w:r>
      <w:r>
        <w:rPr>
          <w:rFonts w:ascii="Arial" w:eastAsia="Arial" w:hAnsi="Arial" w:cs="Arial"/>
          <w:vertAlign w:val="subscript"/>
          <w:lang w:val="es-ES" w:eastAsia="es-ES"/>
        </w:rPr>
        <w:t>t,PY</w:t>
      </w:r>
      <w:r>
        <w:rPr>
          <w:rFonts w:ascii="Arial" w:eastAsia="Arial" w:hAnsi="Arial" w:cs="Arial"/>
          <w:lang w:val="es-ES" w:eastAsia="es-ES"/>
        </w:rPr>
        <w:t xml:space="preserve"> − π</w:t>
      </w:r>
      <w:r>
        <w:rPr>
          <w:rFonts w:ascii="Arial" w:eastAsia="Arial" w:hAnsi="Arial" w:cs="Arial"/>
          <w:vertAlign w:val="subscript"/>
          <w:lang w:val="es-ES" w:eastAsia="es-ES"/>
        </w:rPr>
        <w:t>t,US</w:t>
      </w:r>
      <w:r>
        <w:rPr>
          <w:rFonts w:ascii="Arial" w:eastAsia="Arial" w:hAnsi="Arial" w:cs="Arial"/>
          <w:lang w:val="es-ES" w:eastAsia="es-ES"/>
        </w:rPr>
        <w:t>). Este proxy introduce un error de medición (ε</w:t>
      </w:r>
      <w:r>
        <w:rPr>
          <w:rFonts w:ascii="Arial" w:eastAsia="Arial" w:hAnsi="Arial" w:cs="Arial"/>
          <w:vertAlign w:val="subscript"/>
          <w:lang w:val="es-ES" w:eastAsia="es-ES"/>
        </w:rPr>
        <w:t>t</w:t>
      </w:r>
      <w:r>
        <w:rPr>
          <w:rFonts w:ascii="Arial" w:eastAsia="Arial" w:hAnsi="Arial" w:cs="Arial"/>
          <w:lang w:val="es-ES" w:eastAsia="es-ES"/>
        </w:rPr>
        <w:t>) dado que la inflación observada no es idéntica a la esperada, pero es el estándar habitual en la literatura empírica. La prima de riesgo real estimada en cada trimestre se define como el residuo de la descomposición:</w:t>
      </w:r>
    </w:p>
    <w:p w14:paraId="3924DF89"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rp</w:t>
      </w:r>
      <w:r>
        <w:rPr>
          <w:rFonts w:ascii="Cambria Math" w:eastAsia="Arial" w:hAnsi="Cambria Math" w:cs="Cambria Math"/>
          <w:i/>
          <w:iCs/>
          <w:lang w:val="es-ES" w:eastAsia="es-ES"/>
        </w:rPr>
        <w:t>ₜ</w:t>
      </w:r>
      <w:r>
        <w:rPr>
          <w:rFonts w:ascii="Arial" w:eastAsia="Arial" w:hAnsi="Arial" w:cs="Arial"/>
          <w:i/>
          <w:iCs/>
          <w:lang w:val="es-ES" w:eastAsia="es-ES"/>
        </w:rPr>
        <w:t xml:space="preserve"> = [i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 − (π</w:t>
      </w:r>
      <w:r>
        <w:rPr>
          <w:rFonts w:ascii="Cambria Math" w:eastAsia="Arial" w:hAnsi="Cambria Math" w:cs="Cambria Math"/>
          <w:i/>
          <w:iCs/>
          <w:lang w:val="es-ES" w:eastAsia="es-ES"/>
        </w:rPr>
        <w:t>ₜ</w:t>
      </w:r>
      <w:r>
        <w:rPr>
          <w:rFonts w:ascii="Arial" w:eastAsia="Arial" w:hAnsi="Arial" w:cs="Arial"/>
          <w:i/>
          <w:iCs/>
          <w:lang w:val="es-ES" w:eastAsia="es-ES"/>
        </w:rPr>
        <w:t>,PY − π</w:t>
      </w:r>
      <w:r>
        <w:rPr>
          <w:rFonts w:ascii="Cambria Math" w:eastAsia="Arial" w:hAnsi="Cambria Math" w:cs="Cambria Math"/>
          <w:i/>
          <w:iCs/>
          <w:lang w:val="es-ES" w:eastAsia="es-ES"/>
        </w:rPr>
        <w:t>ₜ</w:t>
      </w:r>
      <w:r>
        <w:rPr>
          <w:rFonts w:ascii="Arial" w:eastAsia="Arial" w:hAnsi="Arial" w:cs="Arial"/>
          <w:i/>
          <w:iCs/>
          <w:lang w:val="es-ES" w:eastAsia="es-ES"/>
        </w:rPr>
        <w:t>,US)</w:t>
      </w:r>
      <w:r>
        <w:rPr>
          <w:rFonts w:ascii="Arial" w:eastAsia="Arial" w:hAnsi="Arial" w:cs="Arial"/>
          <w:lang w:val="es-ES" w:eastAsia="es-ES"/>
        </w:rPr>
        <w:tab/>
        <w:t>(8)</w:t>
      </w:r>
    </w:p>
    <w:p w14:paraId="56A065F5"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Se calcula rp</w:t>
      </w:r>
      <w:r>
        <w:rPr>
          <w:rFonts w:ascii="Arial" w:eastAsia="Arial" w:hAnsi="Arial" w:cs="Arial"/>
          <w:vertAlign w:val="subscript"/>
          <w:lang w:val="es-ES" w:eastAsia="es-ES"/>
        </w:rPr>
        <w:t>t</w:t>
      </w:r>
      <w:r>
        <w:rPr>
          <w:rFonts w:ascii="Arial" w:eastAsia="Arial" w:hAnsi="Arial" w:cs="Arial"/>
          <w:lang w:val="es-ES" w:eastAsia="es-ES"/>
        </w:rPr>
        <w:t xml:space="preserve"> para cada trimestre y se compara su proporción dentro del diferencial nominal total para los subperíodos pre y post 2011. Si el régimen de metas funcionó como predice la teoría, la prima de inflación debería representar una fracción menor del diferencial post-2011, mientras que la prima de riesgo real podría persistir o ganar peso relativo. Los resultados se presentan con estadísticas de media y desvío estándar para cada componente y subperíodo, junto con una prueba t de diferencia de medias. Esta etapa documenta la </w:t>
      </w:r>
      <w:r>
        <w:rPr>
          <w:rFonts w:ascii="Arial" w:eastAsia="Arial" w:hAnsi="Arial" w:cs="Arial"/>
          <w:i/>
          <w:iCs/>
          <w:lang w:val="es-ES" w:eastAsia="es-ES"/>
        </w:rPr>
        <w:t>primera capa</w:t>
      </w:r>
      <w:r>
        <w:rPr>
          <w:rFonts w:ascii="Arial" w:eastAsia="Arial" w:hAnsi="Arial" w:cs="Arial"/>
          <w:lang w:val="es-ES" w:eastAsia="es-ES"/>
        </w:rPr>
        <w:t xml:space="preserve"> de la recomposición (inflación vs. riesgo); la segunda capa (depreciación vs. iliquidez, dentro de la prima de riesgo) se identifica econométricamente en la Etapa 5.</w:t>
      </w:r>
    </w:p>
    <w:p w14:paraId="62744404"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bookmarkStart w:id="24" w:name="_Toc233474072"/>
      <w:r>
        <w:rPr>
          <w:rFonts w:ascii="Arial" w:eastAsia="Arial" w:hAnsi="Arial" w:cs="Arial"/>
          <w:b/>
          <w:bCs/>
          <w:i/>
          <w:iCs/>
          <w:color w:val="000000"/>
          <w:lang w:val="es-ES" w:eastAsia="es-ES"/>
        </w:rPr>
        <w:t>Etapa 5: Modelo de regresión MCO-HAC con interacciones</w:t>
      </w:r>
      <w:bookmarkEnd w:id="24"/>
    </w:p>
    <w:p w14:paraId="21622964"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identificación de la recomposición exige un modelo capaz de detectar cambios en el </w:t>
      </w:r>
      <w:r>
        <w:rPr>
          <w:rFonts w:ascii="Arial" w:eastAsia="Arial" w:hAnsi="Arial" w:cs="Arial"/>
          <w:i/>
          <w:iCs/>
          <w:lang w:val="es-ES" w:eastAsia="es-ES"/>
        </w:rPr>
        <w:t>peso</w:t>
      </w:r>
      <w:r>
        <w:rPr>
          <w:rFonts w:ascii="Arial" w:eastAsia="Arial" w:hAnsi="Arial" w:cs="Arial"/>
          <w:lang w:val="es-ES" w:eastAsia="es-ES"/>
        </w:rPr>
        <w:t xml:space="preserve"> de cada determinante, no solo un cambio de nivel. Una indicadora aditiva D2011 capta únicamente un salto en el promedio del diferencial; para contrastar si el peso del riesgo de depreciación cae y el de la iliquidez sube tras 2011 se requieren </w:t>
      </w:r>
      <w:r>
        <w:rPr>
          <w:rFonts w:ascii="Arial" w:eastAsia="Arial" w:hAnsi="Arial" w:cs="Arial"/>
          <w:b/>
          <w:bCs/>
          <w:lang w:val="es-ES" w:eastAsia="es-ES"/>
        </w:rPr>
        <w:t>términos de interacción</w:t>
      </w:r>
      <w:r>
        <w:rPr>
          <w:rFonts w:ascii="Arial" w:eastAsia="Arial" w:hAnsi="Arial" w:cs="Arial"/>
          <w:lang w:val="es-ES" w:eastAsia="es-ES"/>
        </w:rPr>
        <w:t>. El modelo se estima por MCO con errores HAC Newey-West (Newey &amp; West, 1987):</w:t>
      </w:r>
    </w:p>
    <w:p>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 xml:space="preserve">rpₜ = β₀ + β₂·VolTCᶜₜ + β₃·Iliqᶜₜ + β₄·D2011 + β₅·(D2011×VolTCᶜₜ) + β₆·(D2011×Iliqᶜₜ) + εₜ</w:t>
      </w:r>
      <w:r>
        <w:rPr>
          <w:rFonts w:ascii="Arial" w:eastAsia="Arial" w:hAnsi="Arial" w:cs="Arial"/>
          <w:lang w:val="es-ES" w:eastAsia="es-ES"/>
        </w:rPr>
        <w:tab/>
        <w:t>(9)</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Dos decisiones de especificación gobiernan la ecuación (9). Primera: la variable dependiente es la prima de riesgo residual rpₜ (ecuación 8), y no el diferencial de retornos completo. El diferencial contiene por construcción al diferencial de inflación (ecuación 7), de modo que regresarlo sobre esa misma variable generaría una circularidad; con rpₜ como dependiente, el diferencial de inflación queda excluido del lado derecho y la variable explicada es exactamente aquello que la hipótesis afirma que se recompone. Segunda: las variables VolTC e Iliq entran centradas en su media muestral (superíndice c), de modo que β₄ mida el cambio de nivel de la prima entre regímenes evaluado en valores promedio de los determinantes, y no en el punto —económicamente imposible— en que la volatilidad y la dolarización valen cero. El diferencial de inflación —que en una formulación sobre el diferencial completo sería el regresor β₁— queda excluido del lado derecho al adoptar rpₜ como dependiente: ninguna especificación del modelo emplea la inflación como variable explicativa, lo que elimina por construcción la circularidad de Fisher.</w:t>
      </w:r>
    </w:p>
    <w:p w14:paraId="5A905AB3"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Las variables y los signos esperados se definen del siguiente modo:</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rpₜ (variable dependiente): prima de riesgo residual definida en la ecuación (8), igual al diferencial de tasas menos el diferencial de inflación interanual; el diferencial de inflación no integra el lado derecho del modelo.</w:t>
      </w:r>
    </w:p>
    <w:p w14:paraId="2FBD1E43" w14:textId="77777777"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b/>
          <w:bCs/>
          <w:lang w:val="es-ES" w:eastAsia="es-ES"/>
        </w:rPr>
        <w:t>VolTC</w:t>
      </w:r>
      <w:r>
        <w:rPr>
          <w:rFonts w:ascii="Arial" w:eastAsia="Arial" w:hAnsi="Arial" w:cs="Arial"/>
          <w:b/>
          <w:bCs/>
          <w:vertAlign w:val="subscript"/>
          <w:lang w:val="es-ES" w:eastAsia="es-ES"/>
        </w:rPr>
        <w:t>t</w:t>
      </w:r>
      <w:r>
        <w:rPr>
          <w:rFonts w:ascii="Arial" w:eastAsia="Arial" w:hAnsi="Arial" w:cs="Arial"/>
          <w:lang w:val="es-ES" w:eastAsia="es-ES"/>
        </w:rPr>
        <w:t>: desvío estándar de la depreciación trimestral del guaraní sobre una ventana móvil de ocho trimestres; aproxima el riesgo de depreciación cambiaria. Se espera β</w:t>
      </w:r>
      <w:r>
        <w:rPr>
          <w:rFonts w:ascii="Arial" w:eastAsia="Arial" w:hAnsi="Arial" w:cs="Arial"/>
          <w:vertAlign w:val="subscript"/>
          <w:lang w:val="es-ES" w:eastAsia="es-ES"/>
        </w:rPr>
        <w:t>2</w:t>
      </w:r>
      <w:r>
        <w:rPr>
          <w:rFonts w:ascii="Arial" w:eastAsia="Arial" w:hAnsi="Arial" w:cs="Arial"/>
          <w:lang w:val="es-ES" w:eastAsia="es-ES"/>
        </w:rPr>
        <w:t xml:space="preserve"> &gt; 0 (su efecto en el período pre-2011).</w:t>
      </w:r>
    </w:p>
    <w:p w14:paraId="053EBAE6" w14:textId="77777777"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b/>
          <w:bCs/>
          <w:lang w:val="es-ES" w:eastAsia="es-ES"/>
        </w:rPr>
        <w:t>Iliq</w:t>
      </w:r>
      <w:r>
        <w:rPr>
          <w:rFonts w:ascii="Arial" w:eastAsia="Arial" w:hAnsi="Arial" w:cs="Arial"/>
          <w:b/>
          <w:bCs/>
          <w:vertAlign w:val="subscript"/>
          <w:lang w:val="es-ES" w:eastAsia="es-ES"/>
        </w:rPr>
        <w:t>t</w:t>
      </w:r>
      <w:r>
        <w:rPr>
          <w:rFonts w:ascii="Arial" w:eastAsia="Arial" w:hAnsi="Arial" w:cs="Arial"/>
          <w:lang w:val="es-ES" w:eastAsia="es-ES"/>
        </w:rPr>
        <w:t>: ratio de dolarización de depósitos del sistema bancario (proxy de iliquidez/segmentación; robustez con brecha de encaje Gs/USD). Aproxima el riesgo de iliquidez del mercado de fondos prestables. Se espera β</w:t>
      </w:r>
      <w:r>
        <w:rPr>
          <w:rFonts w:ascii="Arial" w:eastAsia="Arial" w:hAnsi="Arial" w:cs="Arial"/>
          <w:vertAlign w:val="subscript"/>
          <w:lang w:val="es-ES" w:eastAsia="es-ES"/>
        </w:rPr>
        <w:t>3</w:t>
      </w:r>
      <w:r>
        <w:rPr>
          <w:rFonts w:ascii="Arial" w:eastAsia="Arial" w:hAnsi="Arial" w:cs="Arial"/>
          <w:lang w:val="es-ES" w:eastAsia="es-ES"/>
        </w:rPr>
        <w:t xml:space="preserve"> &gt; 0.</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D2011: variable binaria igual a 1 desde 2011:T1 y 0 antes; capta el cambio de nivel de la prima asociado al régimen (β₄), evaluado —por el centrado— en los valores promedio de los determinantes. La fecha se fija por el evento institucional discreto (Resolución N.º 22, Acta N.º 21, del 18 de mayo de 2011). Dado que las pruebas de quiebre con fecha endógena pueden ubicar la ruptura dominante de la serie en otros episodios —en particular la crisis financiera global de 2008–2009—, la indicadora se interpreta como marca del cambio de régimen monetario y no como el punto de máxima inestabilidad estadística de la serie; la distinción se explicita al reportar los resultados.</w:t>
      </w:r>
    </w:p>
    <w:p w14:paraId="2D9ADF4C" w14:textId="77777777"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b/>
          <w:bCs/>
          <w:lang w:val="es-ES" w:eastAsia="es-ES"/>
        </w:rPr>
        <w:t>D2011×VolTC</w:t>
      </w:r>
      <w:r>
        <w:rPr>
          <w:rFonts w:ascii="Arial" w:eastAsia="Arial" w:hAnsi="Arial" w:cs="Arial"/>
          <w:b/>
          <w:bCs/>
          <w:vertAlign w:val="subscript"/>
          <w:lang w:val="es-ES" w:eastAsia="es-ES"/>
        </w:rPr>
        <w:t>t</w:t>
      </w:r>
      <w:r>
        <w:rPr>
          <w:rFonts w:ascii="Arial" w:eastAsia="Arial" w:hAnsi="Arial" w:cs="Arial"/>
          <w:lang w:val="es-ES" w:eastAsia="es-ES"/>
        </w:rPr>
        <w:t>: interacción que mide el cambio en el peso del riesgo de depreciación tras 2011. La hipótesis de recomposición predice β</w:t>
      </w:r>
      <w:r>
        <w:rPr>
          <w:rFonts w:ascii="Arial" w:eastAsia="Arial" w:hAnsi="Arial" w:cs="Arial"/>
          <w:vertAlign w:val="subscript"/>
          <w:lang w:val="es-ES" w:eastAsia="es-ES"/>
        </w:rPr>
        <w:t>5</w:t>
      </w:r>
      <w:r>
        <w:rPr>
          <w:rFonts w:ascii="Arial" w:eastAsia="Arial" w:hAnsi="Arial" w:cs="Arial"/>
          <w:lang w:val="es-ES" w:eastAsia="es-ES"/>
        </w:rPr>
        <w:t xml:space="preserve"> &lt; 0 (el anclaje de expectativas reduce la sensibilidad del diferencial a la volatilidad cambiaria).</w:t>
      </w:r>
    </w:p>
    <w:p w14:paraId="29753523" w14:textId="77777777"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b/>
          <w:bCs/>
          <w:lang w:val="es-ES" w:eastAsia="es-ES"/>
        </w:rPr>
        <w:t>D2011×Iliq</w:t>
      </w:r>
      <w:r>
        <w:rPr>
          <w:rFonts w:ascii="Arial" w:eastAsia="Arial" w:hAnsi="Arial" w:cs="Arial"/>
          <w:b/>
          <w:bCs/>
          <w:vertAlign w:val="subscript"/>
          <w:lang w:val="es-ES" w:eastAsia="es-ES"/>
        </w:rPr>
        <w:t>t</w:t>
      </w:r>
      <w:r>
        <w:rPr>
          <w:rFonts w:ascii="Arial" w:eastAsia="Arial" w:hAnsi="Arial" w:cs="Arial"/>
          <w:lang w:val="es-ES" w:eastAsia="es-ES"/>
        </w:rPr>
        <w:t>: interacción que mide el cambio en el peso del riesgo de iliquidez tras 2011. La hipótesis predice β</w:t>
      </w:r>
      <w:r>
        <w:rPr>
          <w:rFonts w:ascii="Arial" w:eastAsia="Arial" w:hAnsi="Arial" w:cs="Arial"/>
          <w:vertAlign w:val="subscript"/>
          <w:lang w:val="es-ES" w:eastAsia="es-ES"/>
        </w:rPr>
        <w:t>6</w:t>
      </w:r>
      <w:r>
        <w:rPr>
          <w:rFonts w:ascii="Arial" w:eastAsia="Arial" w:hAnsi="Arial" w:cs="Arial"/>
          <w:lang w:val="es-ES" w:eastAsia="es-ES"/>
        </w:rPr>
        <w:t xml:space="preserve"> &gt; 0 (la iliquidez pasa a dominar la prima de riesgo que sobrevive).</w:t>
      </w:r>
    </w:p>
    <w:p w14:paraId="108440FB"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t xml:space="preserve">Sistema de hipótesis estadísticas (operacionalización de la hipótesis de investigación de la Sección 6). </w:t>
      </w:r>
      <w:r>
        <w:rPr>
          <w:rFonts w:ascii="Arial" w:eastAsia="Arial" w:hAnsi="Arial" w:cs="Arial"/>
          <w:lang w:val="es-ES" w:eastAsia="es-ES"/>
        </w:rPr>
        <w:t>La recomposición se contrasta sobre los coeficientes de interacción, no sobre el nivel del diferencial:</w:t>
      </w:r>
    </w:p>
    <w:p w14:paraId="3CBD98AD"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H</w:t>
      </w:r>
      <w:r>
        <w:rPr>
          <w:rFonts w:ascii="Arial" w:eastAsia="Arial" w:hAnsi="Arial" w:cs="Arial"/>
          <w:vertAlign w:val="subscript"/>
          <w:lang w:val="es-ES" w:eastAsia="es-ES"/>
        </w:rPr>
        <w:t>0</w:t>
      </w:r>
      <w:r>
        <w:rPr>
          <w:rFonts w:ascii="Arial" w:eastAsia="Arial" w:hAnsi="Arial" w:cs="Arial"/>
          <w:lang w:val="es-ES" w:eastAsia="es-ES"/>
        </w:rPr>
        <w:t>: β</w:t>
      </w:r>
      <w:r>
        <w:rPr>
          <w:rFonts w:ascii="Arial" w:eastAsia="Arial" w:hAnsi="Arial" w:cs="Arial"/>
          <w:vertAlign w:val="subscript"/>
          <w:lang w:val="es-ES" w:eastAsia="es-ES"/>
        </w:rPr>
        <w:t>5</w:t>
      </w:r>
      <w:r>
        <w:rPr>
          <w:rFonts w:ascii="Arial" w:eastAsia="Arial" w:hAnsi="Arial" w:cs="Arial"/>
          <w:lang w:val="es-ES" w:eastAsia="es-ES"/>
        </w:rPr>
        <w:t xml:space="preserve"> ≥ 0 y β</w:t>
      </w:r>
      <w:r>
        <w:rPr>
          <w:rFonts w:ascii="Arial" w:eastAsia="Arial" w:hAnsi="Arial" w:cs="Arial"/>
          <w:vertAlign w:val="subscript"/>
          <w:lang w:val="es-ES" w:eastAsia="es-ES"/>
        </w:rPr>
        <w:t>6</w:t>
      </w:r>
      <w:r>
        <w:rPr>
          <w:rFonts w:ascii="Arial" w:eastAsia="Arial" w:hAnsi="Arial" w:cs="Arial"/>
          <w:lang w:val="es-ES" w:eastAsia="es-ES"/>
        </w:rPr>
        <w:t xml:space="preserve"> ≤ 0 (no hay recomposición: el peso del riesgo de depreciación no cae y el de la iliquidez no sube tras 2011).</w:t>
      </w:r>
    </w:p>
    <w:p w14:paraId="5097073A"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H</w:t>
      </w:r>
      <w:r>
        <w:rPr>
          <w:rFonts w:ascii="Arial" w:eastAsia="Arial" w:hAnsi="Arial" w:cs="Arial"/>
          <w:vertAlign w:val="subscript"/>
          <w:lang w:val="es-ES" w:eastAsia="es-ES"/>
        </w:rPr>
        <w:t>A</w:t>
      </w:r>
      <w:r>
        <w:rPr>
          <w:rFonts w:ascii="Arial" w:eastAsia="Arial" w:hAnsi="Arial" w:cs="Arial"/>
          <w:lang w:val="es-ES" w:eastAsia="es-ES"/>
        </w:rPr>
        <w:t>: β</w:t>
      </w:r>
      <w:r>
        <w:rPr>
          <w:rFonts w:ascii="Arial" w:eastAsia="Arial" w:hAnsi="Arial" w:cs="Arial"/>
          <w:vertAlign w:val="subscript"/>
          <w:lang w:val="es-ES" w:eastAsia="es-ES"/>
        </w:rPr>
        <w:t>5</w:t>
      </w:r>
      <w:r>
        <w:rPr>
          <w:rFonts w:ascii="Arial" w:eastAsia="Arial" w:hAnsi="Arial" w:cs="Arial"/>
          <w:lang w:val="es-ES" w:eastAsia="es-ES"/>
        </w:rPr>
        <w:t xml:space="preserve"> &lt; 0 y β</w:t>
      </w:r>
      <w:r>
        <w:rPr>
          <w:rFonts w:ascii="Arial" w:eastAsia="Arial" w:hAnsi="Arial" w:cs="Arial"/>
          <w:vertAlign w:val="subscript"/>
          <w:lang w:val="es-ES" w:eastAsia="es-ES"/>
        </w:rPr>
        <w:t>6</w:t>
      </w:r>
      <w:r>
        <w:rPr>
          <w:rFonts w:ascii="Arial" w:eastAsia="Arial" w:hAnsi="Arial" w:cs="Arial"/>
          <w:lang w:val="es-ES" w:eastAsia="es-ES"/>
        </w:rPr>
        <w:t xml:space="preserve"> &gt; 0 (hay recomposición direccional: el determinante dominante de la prima de riesgo migra del riesgo de depreciación al riesgo de iliquidez). El contraste principal de la hipótesis general —la recomposición sin dirección impuesta— es la prueba de Wald conjunta sobre el bloque de interacciones (H0: β5 = β6 = 0, la composición no cambia, frente a HA: al menos uno distinto de cero, la composición cambia), aplicada tanto al retorno DRₜ₊₁ como a la prima de riesgo rpₜ de la ecuación (8) —el objeto directo de la teoría—, y complementada con la prueba de Chow sobre la ecuación de la prima. El nivel de significancia se fija en α = 0,05 también para estos contrastes. Adicionalmente, dado que la hipótesis afirma una migración de dominancia —que tras 2011 un determinante pasa a pesar más que el otro—, se contrasta de manera explícita la diferencia entre las incidencias post-2011 de ambos determinantes expresadas en unidades comparables (coeficientes estandarizados), mediante una prueba t sobre la combinación lineal correspondiente: probar que cada peso cambió por separado no prueba que uno pasó a dominar sobre el otro.</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El número de rezagos del estimador de Newey-West se fija en cuatro —un año de memoria en datos trimestrales—, valor coherente con las reglas prácticas habituales para una muestra de este tamaño (aproximadamente la raíz cúbica de T, con T = 84; Andrews, 1991). Se estima el modelo principal con rpₜ como variable dependiente; como pruebas de robustez se reestima con la serie conservadora DRᶜᵒⁿˢₜ₊₁ (Etapa 6) y con la serie alternativa de promedio ponderado (Etapa 7), en ningún caso incluyendo la inflación como regresor.</w:t>
      </w:r>
    </w:p>
    <w:p w14:paraId="27159C99"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bookmarkStart w:id="25" w:name="_Toc233474073"/>
      <w:r>
        <w:rPr>
          <w:rFonts w:ascii="Arial" w:eastAsia="Arial" w:hAnsi="Arial" w:cs="Arial"/>
          <w:b/>
          <w:bCs/>
          <w:i/>
          <w:iCs/>
          <w:color w:val="000000"/>
          <w:lang w:val="es-ES" w:eastAsia="es-ES"/>
        </w:rPr>
        <w:t>Etapa 6: Diagnóstico y robustez</w:t>
      </w:r>
      <w:bookmarkEnd w:id="25"/>
    </w:p>
    <w:p w14:paraId="03256C28"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Se reportan las siguientes pruebas de diagnóstico sobre el modelo de la Etapa 5: Breusch-Godfrey para autocorrelación residual hasta 4 rezagos, White para heterocedasticidad, Ramsey RESET para detectar mala especificación funcional, y Jarque-Bera para la normalidad de los residuos. Como controles de robustez se reestima el modelo (i) con la brecha de encaje Gs/USD en lugar del ratio de dolarización como proxy de iliquidez; (ii) con la serie conservadora DR</w:t>
      </w:r>
      <w:r>
        <w:rPr>
          <w:rFonts w:ascii="Arial" w:eastAsia="Arial" w:hAnsi="Arial" w:cs="Arial"/>
          <w:vertAlign w:val="superscript"/>
          <w:lang w:val="es-ES" w:eastAsia="es-ES"/>
        </w:rPr>
        <w:t>cons</w:t>
      </w:r>
      <w:r>
        <w:rPr>
          <w:rFonts w:ascii="Arial" w:eastAsia="Arial" w:hAnsi="Arial" w:cs="Arial"/>
          <w:vertAlign w:val="subscript"/>
          <w:lang w:val="es-ES" w:eastAsia="es-ES"/>
        </w:rPr>
        <w:t>t+1</w:t>
      </w:r>
      <w:r>
        <w:rPr>
          <w:rFonts w:ascii="Arial" w:eastAsia="Arial" w:hAnsi="Arial" w:cs="Arial"/>
          <w:lang w:val="es-ES" w:eastAsia="es-ES"/>
        </w:rPr>
        <w:t xml:space="preserve"> como variable dependiente; y (iii) acotando la muestra al tramo de cobertura continua verificado en la Sección 4. La consistencia de los signos y la significancia de β</w:t>
      </w:r>
      <w:r>
        <w:rPr>
          <w:rFonts w:ascii="Arial" w:eastAsia="Arial" w:hAnsi="Arial" w:cs="Arial"/>
          <w:vertAlign w:val="subscript"/>
          <w:lang w:val="es-ES" w:eastAsia="es-ES"/>
        </w:rPr>
        <w:t>5</w:t>
      </w:r>
      <w:r>
        <w:rPr>
          <w:rFonts w:ascii="Arial" w:eastAsia="Arial" w:hAnsi="Arial" w:cs="Arial"/>
          <w:lang w:val="es-ES" w:eastAsia="es-ES"/>
        </w:rPr>
        <w:t xml:space="preserve"> y β</w:t>
      </w:r>
      <w:r>
        <w:rPr>
          <w:rFonts w:ascii="Arial" w:eastAsia="Arial" w:hAnsi="Arial" w:cs="Arial"/>
          <w:vertAlign w:val="subscript"/>
          <w:lang w:val="es-ES" w:eastAsia="es-ES"/>
        </w:rPr>
        <w:t>6</w:t>
      </w:r>
      <w:r>
        <w:rPr>
          <w:rFonts w:ascii="Arial" w:eastAsia="Arial" w:hAnsi="Arial" w:cs="Arial"/>
          <w:lang w:val="es-ES" w:eastAsia="es-ES"/>
        </w:rPr>
        <w:t xml:space="preserve"> a través de estas especificaciones constituye la evidencia central a favor o en contra de la hipótesis de recomposición. Se deja constancia de que la serie homogénea de tasas de encaje legal por moneda para 2004–2024 no se encuentra disponible en las publicaciones estadísticas de acceso público del BCP, por lo que la prueba de robustez (i) se declara no factible y el ratio de dolarización de depósitos se mantiene como proxy única del componente de iliquidez. Se agrega una robustez adicional (iv): la reestimación con el ratio de dolarización rezagado un trimestre, que mitiga la posible simultaneidad entre la prima y la dolarización —ambas se determinan mutuamente, pues la propia prima incentiva la migración de depósitos entre monedas—, simultaneidad que se declara como límite de identificación del diseño. Finalmente, se compromete como anexo digital la base de datos completa con su trazabilidad documental y los archivos de comandos (do-file de Stata 17 y réplica en Python) que reproducen íntegramente cada resultado del trabajo.</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Operacionalización de las variables</w:t>
      </w:r>
    </w:p>
    <w:p>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Tabla 7.1. Operacionalización de las variables del modelo</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50"/>
        <w:gridCol w:w="3200"/>
        <w:gridCol w:w="1100"/>
        <w:gridCol w:w="1450"/>
        <w:gridCol w:w="1826"/>
      </w:tblGrid>
      <w:tr>
        <w:tc>
          <w:tcPr>
            <w:tcW w:w="1450" w:type="dxa"/>
            <w:shd w:val="clear" w:color="auto" w:fill="D9D9D9"/>
            <w:vAlign w:val="center"/>
          </w:tcPr>
          <w:p>
            <w:pPr>
              <w:spacing w:after="0" w:line="240" w:lineRule="auto"/>
              <w:rPr>
                <w:rFonts w:ascii="Arial" w:eastAsia="Arial" w:hAnsi="Arial" w:cs="Arial"/>
                <w:b/>
                <w:sz w:val="18"/>
                <w:szCs w:val="18"/>
              </w:rPr>
            </w:pPr>
            <w:r>
              <w:rPr>
                <w:rFonts w:ascii="Arial" w:eastAsia="Arial" w:hAnsi="Arial" w:cs="Arial"/>
                <w:b/>
                <w:sz w:val="18"/>
                <w:szCs w:val="18"/>
              </w:rPr>
              <w:t xml:space="preserve">Variable</w:t>
            </w:r>
          </w:p>
        </w:tc>
        <w:tc>
          <w:tcPr>
            <w:tcW w:w="3200" w:type="dxa"/>
            <w:shd w:val="clear" w:color="auto" w:fill="D9D9D9"/>
            <w:vAlign w:val="center"/>
          </w:tcPr>
          <w:p>
            <w:pPr>
              <w:spacing w:after="0" w:line="240" w:lineRule="auto"/>
              <w:rPr>
                <w:rFonts w:ascii="Arial" w:eastAsia="Arial" w:hAnsi="Arial" w:cs="Arial"/>
                <w:b/>
                <w:sz w:val="18"/>
                <w:szCs w:val="18"/>
              </w:rPr>
            </w:pPr>
            <w:r>
              <w:rPr>
                <w:rFonts w:ascii="Arial" w:eastAsia="Arial" w:hAnsi="Arial" w:cs="Arial"/>
                <w:b/>
                <w:sz w:val="18"/>
                <w:szCs w:val="18"/>
              </w:rPr>
              <w:t xml:space="preserve">Definición operacional</w:t>
            </w:r>
          </w:p>
        </w:tc>
        <w:tc>
          <w:tcPr>
            <w:tcW w:w="1100" w:type="dxa"/>
            <w:shd w:val="clear" w:color="auto" w:fill="D9D9D9"/>
            <w:vAlign w:val="center"/>
          </w:tcPr>
          <w:p>
            <w:pPr>
              <w:spacing w:after="0" w:line="240" w:lineRule="auto"/>
              <w:rPr>
                <w:rFonts w:ascii="Arial" w:eastAsia="Arial" w:hAnsi="Arial" w:cs="Arial"/>
                <w:b/>
                <w:sz w:val="18"/>
                <w:szCs w:val="18"/>
              </w:rPr>
            </w:pPr>
            <w:r>
              <w:rPr>
                <w:rFonts w:ascii="Arial" w:eastAsia="Arial" w:hAnsi="Arial" w:cs="Arial"/>
                <w:b/>
                <w:sz w:val="18"/>
                <w:szCs w:val="18"/>
              </w:rPr>
              <w:t xml:space="preserve">Unidad</w:t>
            </w:r>
          </w:p>
        </w:tc>
        <w:tc>
          <w:tcPr>
            <w:tcW w:w="1450" w:type="dxa"/>
            <w:shd w:val="clear" w:color="auto" w:fill="D9D9D9"/>
            <w:vAlign w:val="center"/>
          </w:tcPr>
          <w:p>
            <w:pPr>
              <w:spacing w:after="0" w:line="240" w:lineRule="auto"/>
              <w:rPr>
                <w:rFonts w:ascii="Arial" w:eastAsia="Arial" w:hAnsi="Arial" w:cs="Arial"/>
                <w:b/>
                <w:sz w:val="18"/>
                <w:szCs w:val="18"/>
              </w:rPr>
            </w:pPr>
            <w:r>
              <w:rPr>
                <w:rFonts w:ascii="Arial" w:eastAsia="Arial" w:hAnsi="Arial" w:cs="Arial"/>
                <w:b/>
                <w:sz w:val="18"/>
                <w:szCs w:val="18"/>
              </w:rPr>
              <w:t xml:space="preserve">Fuente</w:t>
            </w:r>
          </w:p>
        </w:tc>
        <w:tc>
          <w:tcPr>
            <w:tcW w:w="1826" w:type="dxa"/>
            <w:shd w:val="clear" w:color="auto" w:fill="D9D9D9"/>
            <w:vAlign w:val="center"/>
          </w:tcPr>
          <w:p>
            <w:pPr>
              <w:spacing w:after="0" w:line="240" w:lineRule="auto"/>
              <w:rPr>
                <w:rFonts w:ascii="Arial" w:eastAsia="Arial" w:hAnsi="Arial" w:cs="Arial"/>
                <w:b/>
                <w:sz w:val="18"/>
                <w:szCs w:val="18"/>
              </w:rPr>
            </w:pPr>
            <w:r>
              <w:rPr>
                <w:rFonts w:ascii="Arial" w:eastAsia="Arial" w:hAnsi="Arial" w:cs="Arial"/>
                <w:b/>
                <w:sz w:val="18"/>
                <w:szCs w:val="18"/>
              </w:rPr>
              <w:t xml:space="preserve">Signo esperado</w:t>
            </w:r>
          </w:p>
        </w:tc>
      </w:tr>
      <w:tr>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rpₜ (dependiente)</w:t>
            </w:r>
          </w:p>
        </w:tc>
        <w:tc>
          <w:tcPr>
            <w:tcW w:w="32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Diferencial de tasas CDA (Gs − USD) menos diferencial de inflación interanual PY–EE. UU.</w:t>
            </w:r>
          </w:p>
        </w:tc>
        <w:tc>
          <w:tcPr>
            <w:tcW w:w="11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pp anual</w:t>
            </w:r>
          </w:p>
        </w:tc>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BCP y FRED</w:t>
            </w:r>
          </w:p>
        </w:tc>
        <w:tc>
          <w:tcPr>
            <w:tcW w:w="1826"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w:t>
            </w:r>
          </w:p>
        </w:tc>
      </w:tr>
      <w:tr>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VolTCₜ</w:t>
            </w:r>
          </w:p>
        </w:tc>
        <w:tc>
          <w:tcPr>
            <w:tcW w:w="32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Desvío estándar móvil (8 trimestres) de la depreciación trimestral del guaraní</w:t>
            </w:r>
          </w:p>
        </w:tc>
        <w:tc>
          <w:tcPr>
            <w:tcW w:w="11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pp</w:t>
            </w:r>
          </w:p>
        </w:tc>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BCP (TC)</w:t>
            </w:r>
          </w:p>
        </w:tc>
        <w:tc>
          <w:tcPr>
            <w:tcW w:w="1826"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w:t>
            </w:r>
          </w:p>
        </w:tc>
      </w:tr>
      <w:tr>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Iliqₜ</w:t>
            </w:r>
          </w:p>
        </w:tc>
        <w:tc>
          <w:tcPr>
            <w:tcW w:w="32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Depósitos en moneda extranjera sobre depósitos totales del sistema</w:t>
            </w:r>
          </w:p>
        </w:tc>
        <w:tc>
          <w:tcPr>
            <w:tcW w:w="11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w:t>
            </w:r>
          </w:p>
        </w:tc>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BCP</w:t>
            </w:r>
          </w:p>
        </w:tc>
        <w:tc>
          <w:tcPr>
            <w:tcW w:w="1826"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w:t>
            </w:r>
          </w:p>
        </w:tc>
      </w:tr>
      <w:tr>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D2011</w:t>
            </w:r>
          </w:p>
        </w:tc>
        <w:tc>
          <w:tcPr>
            <w:tcW w:w="32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Indicadora = 1 desde 2011:T1 (Resolución N.º 22/2011)</w:t>
            </w:r>
          </w:p>
        </w:tc>
        <w:tc>
          <w:tcPr>
            <w:tcW w:w="11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0/1</w:t>
            </w:r>
          </w:p>
        </w:tc>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BCP</w:t>
            </w:r>
          </w:p>
        </w:tc>
        <w:tc>
          <w:tcPr>
            <w:tcW w:w="1826"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indeterminado</w:t>
            </w:r>
          </w:p>
        </w:tc>
      </w:tr>
      <w:tr>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D2011×VolTCᶜ</w:t>
            </w:r>
          </w:p>
        </w:tc>
        <w:tc>
          <w:tcPr>
            <w:tcW w:w="32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Interacción régimen × volatilidad (centrada)</w:t>
            </w:r>
          </w:p>
        </w:tc>
        <w:tc>
          <w:tcPr>
            <w:tcW w:w="11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pp</w:t>
            </w:r>
          </w:p>
        </w:tc>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elaboración propia</w:t>
            </w:r>
          </w:p>
        </w:tc>
        <w:tc>
          <w:tcPr>
            <w:tcW w:w="1826"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 (conjetura direccional)</w:t>
            </w:r>
          </w:p>
        </w:tc>
      </w:tr>
      <w:tr>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D2011×Iliqᶜ</w:t>
            </w:r>
          </w:p>
        </w:tc>
        <w:tc>
          <w:tcPr>
            <w:tcW w:w="32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Interacción régimen × dolarización (centrada)</w:t>
            </w:r>
          </w:p>
        </w:tc>
        <w:tc>
          <w:tcPr>
            <w:tcW w:w="11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w:t>
            </w:r>
          </w:p>
        </w:tc>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elaboración propia</w:t>
            </w:r>
          </w:p>
        </w:tc>
        <w:tc>
          <w:tcPr>
            <w:tcW w:w="1826"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 (conjetura direccional)</w:t>
            </w:r>
          </w:p>
        </w:tc>
      </w:tr>
      <w:tr>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DRₜ₊₁ y DRᶜᵒⁿˢ</w:t>
            </w:r>
          </w:p>
        </w:tc>
        <w:tc>
          <w:tcPr>
            <w:tcW w:w="32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Series de caracterización (Etapa 1) y premisa conservadora (Etapa 2)</w:t>
            </w:r>
          </w:p>
        </w:tc>
        <w:tc>
          <w:tcPr>
            <w:tcW w:w="11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pp trimestral</w:t>
            </w:r>
          </w:p>
        </w:tc>
        <w:tc>
          <w:tcPr>
            <w:tcW w:w="145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BCP y FRED</w:t>
            </w:r>
          </w:p>
        </w:tc>
        <w:tc>
          <w:tcPr>
            <w:tcW w:w="1826"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 / no negativo</w:t>
            </w:r>
          </w:p>
        </w:tc>
      </w:tr>
    </w:tbl>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columna de signos esperados de esta tabla constituye el compromiso ex ante del trabajo, contra el cual se contrastan los resultados efectivamente obtenidos.</w:t>
      </w:r>
    </w:p>
    <w:p w14:paraId="4DB2F473" w14:textId="77777777" w:rsidR="00D27E85" w:rsidRPr="00DF3903" w:rsidRDefault="00D27E85" w:rsidP="00D27E85">
      <w:pPr>
        <w:spacing w:after="120" w:line="480" w:lineRule="auto"/>
        <w:jc w:val="both"/>
        <w:rPr>
          <w:rFonts w:ascii="Arial" w:eastAsia="Arial" w:hAnsi="Arial" w:cs="Arial"/>
          <w:lang w:val="es-ES" w:eastAsia="es-ES"/>
        </w:rPr>
      </w:pPr>
    </w:p>
    <w:p w14:paraId="6558C947" w14:textId="77777777" w:rsidR="00D27E85" w:rsidRPr="00DF3903" w:rsidRDefault="00D27E85" w:rsidP="00D27E85">
      <w:pPr>
        <w:spacing w:after="120" w:line="480" w:lineRule="auto"/>
        <w:jc w:val="both"/>
        <w:rPr>
          <w:rFonts w:ascii="Arial" w:eastAsia="Arial" w:hAnsi="Arial" w:cs="Arial"/>
          <w:lang w:val="es-ES" w:eastAsia="es-ES"/>
        </w:rPr>
      </w:pPr>
    </w:p>
    <w:p w14:paraId="1A2E900C" w14:textId="77777777" w:rsidR="00D27E85" w:rsidRPr="00DF3903" w:rsidRDefault="00D27E85" w:rsidP="00D27E85">
      <w:pPr>
        <w:spacing w:after="120" w:line="480" w:lineRule="auto"/>
        <w:jc w:val="both"/>
        <w:rPr>
          <w:rFonts w:ascii="Arial" w:eastAsia="Arial" w:hAnsi="Arial" w:cs="Arial"/>
          <w:lang w:val="es-ES" w:eastAsia="es-ES"/>
        </w:rPr>
      </w:pPr>
    </w:p>
    <w:p w14:paraId="0758DB61" w14:textId="77777777" w:rsidR="00D27E85" w:rsidRPr="00DF3903" w:rsidRDefault="00D27E85" w:rsidP="00D27E85">
      <w:pPr>
        <w:spacing w:after="120" w:line="480" w:lineRule="auto"/>
        <w:jc w:val="both"/>
        <w:rPr>
          <w:rFonts w:ascii="Arial" w:eastAsia="Arial" w:hAnsi="Arial" w:cs="Arial"/>
          <w:lang w:val="es-ES" w:eastAsia="es-ES"/>
        </w:rPr>
      </w:pPr>
    </w:p>
    <w:p w14:paraId="76E4C27F" w14:textId="77777777" w:rsidR="00D27E85" w:rsidRPr="00DF3903" w:rsidRDefault="00D27E85" w:rsidP="00D27E85">
      <w:pPr>
        <w:spacing w:after="120" w:line="480" w:lineRule="auto"/>
        <w:jc w:val="both"/>
        <w:rPr>
          <w:rFonts w:ascii="Arial" w:eastAsia="Arial" w:hAnsi="Arial" w:cs="Arial"/>
          <w:lang w:val="es-ES" w:eastAsia="es-ES"/>
        </w:rPr>
      </w:pPr>
    </w:p>
    <w:p w14:paraId="41066D0F" w14:textId="77777777" w:rsidR="00D27E85" w:rsidRPr="00DF3903" w:rsidRDefault="00D27E85" w:rsidP="00D27E85">
      <w:pPr>
        <w:spacing w:after="120" w:line="480" w:lineRule="auto"/>
        <w:jc w:val="both"/>
        <w:rPr>
          <w:rFonts w:ascii="Arial" w:eastAsia="Arial" w:hAnsi="Arial" w:cs="Arial"/>
          <w:lang w:val="es-ES" w:eastAsia="es-ES"/>
        </w:rPr>
      </w:pPr>
    </w:p>
    <w:p w14:paraId="2E92BA15" w14:textId="77777777" w:rsidR="00D27E85" w:rsidRPr="00DF3903" w:rsidRDefault="00D27E85" w:rsidP="00D27E85">
      <w:pPr>
        <w:spacing w:after="120" w:line="480" w:lineRule="auto"/>
        <w:jc w:val="both"/>
        <w:rPr>
          <w:rFonts w:ascii="Arial" w:eastAsia="Arial" w:hAnsi="Arial" w:cs="Arial"/>
          <w:lang w:val="es-ES" w:eastAsia="es-ES"/>
        </w:rPr>
      </w:pPr>
    </w:p>
    <w:p w14:paraId="4DF9851B" w14:textId="77777777" w:rsidR="00D27E85" w:rsidRDefault="00D27E85" w:rsidP="00D27E85">
      <w:pPr>
        <w:spacing w:after="120" w:line="480" w:lineRule="auto"/>
        <w:jc w:val="both"/>
        <w:rPr>
          <w:rFonts w:ascii="Arial" w:eastAsia="Arial" w:hAnsi="Arial" w:cs="Arial"/>
          <w:lang w:val="es-ES" w:eastAsia="es-ES"/>
        </w:rPr>
      </w:pPr>
    </w:p>
    <w:p w14:paraId="78742F9A" w14:textId="77777777" w:rsidR="00D27E85" w:rsidRPr="00DF3903" w:rsidRDefault="00D27E85" w:rsidP="00D27E85">
      <w:pPr>
        <w:spacing w:after="120" w:line="480" w:lineRule="auto"/>
        <w:jc w:val="both"/>
        <w:rPr>
          <w:rFonts w:ascii="Arial" w:eastAsia="Arial" w:hAnsi="Arial" w:cs="Arial"/>
          <w:lang w:val="es-ES" w:eastAsia="es-ES"/>
        </w:rPr>
      </w:pPr>
    </w:p>
    <w:p w14:paraId="1C531C23" w14:textId="77777777" w:rsidR="00D27E85" w:rsidRPr="00DF3903" w:rsidRDefault="00D27E85" w:rsidP="00D27E85">
      <w:pPr>
        <w:spacing w:after="120" w:line="480" w:lineRule="auto"/>
        <w:jc w:val="both"/>
        <w:rPr>
          <w:rFonts w:ascii="Arial" w:eastAsia="Arial" w:hAnsi="Arial" w:cs="Arial"/>
          <w:lang w:val="es-ES" w:eastAsia="es-ES"/>
        </w:rPr>
      </w:pPr>
    </w:p>
    <w:p>
      <w:pPr>
        <w:spacing w:before="240" w:after="240" w:line="480" w:lineRule="auto"/>
        <w:jc w:val="center"/>
        <w:outlineLvl w:val="0"/>
        <w:rPr>
          <w:rFonts w:ascii="Arial" w:eastAsia="Arial" w:hAnsi="Arial" w:cs="Arial"/>
          <w:b/>
          <w:bCs/>
          <w:color w:val="000000"/>
          <w:lang w:val="es-ES" w:eastAsia="es-ES"/>
        </w:rPr>
      </w:pPr>
      <w:r>
        <w:rPr>
          <w:rFonts w:ascii="Arial" w:eastAsia="Arial" w:hAnsi="Arial" w:cs="Arial"/>
          <w:b/>
          <w:bCs/>
          <w:color w:val="000000"/>
          <w:lang w:val="es-ES" w:eastAsia="es-ES"/>
        </w:rPr>
        <w:t>8. Resultados y Discusión</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Este capítulo presenta los resultados de la aplicación de las seis etapas del marco metodológico (Sección 7.2) a la base trimestral 2004:T1–2024:T4. En línea con el protocolo de control de calidad declarado, todos los coeficientes, errores estándar y valores p se reportan tal como surgen de la estimación, sin ajuste alguno orientado a favorecer la hipótesis de investigación. La totalidad de las cifras es reproducible mediante el do-file de Stata 17 (tesis_cda.do) y su réplica en Python; la validación cruzada entre ambos motores arrojó coincidencia en 50 de 50 estadísticos clave de las etapas 1 a 4 y de las especificaciones de contraste; los resultados del modelo principal (Tabla 8.3) se reproducen con ambos códigos incluidos en el anexo digital.</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8.1. Datos y cobertura</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base final contiene 84 trimestres, sin vacíos trimestrales. Las series de tipo de cambio, dolarización de depósitos, índices de precios y tasa de fondos federales están completas (84/84) y fueron verificadas observación por observación contra los archivos oficiales del BCP y de FRED. Las tasas de CDA por moneda provienen de una única fuente y una única definición para todo el período: el tramo de certificados de depósito de ahorro de hasta 365 días (tasa efectiva, promedio del sistema bancario) de los boletines mensuales «Promedio de Tasas» de la Superintendencia de Bancos del BCP, con 242 boletines procesados para 2004–2024. Diez meses del período no fueron publicados por el BCP; el valor trimestral se calcula como promedio de los meses efectivamente publicados y la cobertura de cada trimestre queda documentada en la base (ocho trimestres con cobertura parcial, dos de ellos con un solo mes). El empleo de un tramo de plazo fijo y de una fuente única evita dos problemas de la alternativa basada en el promedio ponderado de todos los plazos: el empalme de dos publicaciones con definiciones distintas en 2010/2011 y el sesgo de composición que inducen los cambios en la estructura de plazos de los depósitos. La serie de promedio ponderado se conserva en la base y se emplea como análisis de sensibilidad (Sección 8.8).</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8.2. Series de retorno y estadística descriptiva (Etapa 1)</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El diferencial de retorno estándar DR promedia 0,36 puntos porcentuales trimestrales en el período completo, con una caída marcada entre subperíodos: 1,70 pp en 2004–2010 frente a −0,32 pp en 2011–2024. La serie conservadora DRcons, que excluye las ganancias por apreciación, promedia valores negativos en todos los cortes (−1,00 pp en el total; −1,20 pp post-2011). Los valores extremos de la serie (mínimo de −21,8 pp) corresponden a la depreciación abrupta del guaraní durante la crisis financiera internacional de 2008–2009 (Figura 8.1).</w:t>
      </w:r>
    </w:p>
    <w:p>
      <w:pPr>
        <w:spacing w:before="120" w:after="60" w:line="240" w:lineRule="auto"/>
        <w:jc w:val="center"/>
      </w:pPr>
      <w:r>
        <w:rPr>
          <w:noProof/>
        </w:rPr>
        <w:drawing>
          <wp:inline distT="0" distB="0" distL="0" distR="0">
            <wp:extent cx="5400000" cy="2552727"/>
            <wp:effectExtent l="0" t="0" r="0" b="0"/>
            <wp:docPr id="9001" name="FiguraR1" descr="Serie trimestral del diferencial de retorno 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uraR1"/>
                    <pic:cNvPicPr/>
                  </pic:nvPicPr>
                  <pic:blipFill>
                    <a:blip r:embed="rId100"/>
                    <a:stretch>
                      <a:fillRect/>
                    </a:stretch>
                  </pic:blipFill>
                  <pic:spPr>
                    <a:xfrm>
                      <a:off x="0" y="0"/>
                      <a:ext cx="5400000" cy="2552727"/>
                    </a:xfrm>
                    <a:prstGeom prst="rect">
                      <a:avLst/>
                    </a:prstGeom>
                  </pic:spPr>
                </pic:pic>
              </a:graphicData>
            </a:graphic>
          </wp:inline>
        </w:drawing>
      </w:r>
    </w:p>
    <w:p>
      <w:pPr>
        <w:spacing w:after="240" w:line="240" w:lineRule="auto"/>
        <w:jc w:val="center"/>
        <w:rPr>
          <w:rFonts w:ascii="Arial" w:eastAsia="Arial" w:hAnsi="Arial" w:cs="Arial"/>
          <w:i/>
          <w:iCs/>
          <w:sz w:val="20"/>
          <w:szCs w:val="20"/>
          <w:lang w:val="es-ES" w:eastAsia="es-ES"/>
        </w:rPr>
      </w:pPr>
      <w:r>
        <w:rPr>
          <w:rFonts w:ascii="Arial" w:eastAsia="Arial" w:hAnsi="Arial" w:cs="Arial"/>
          <w:i/>
          <w:iCs/>
          <w:sz w:val="20"/>
          <w:szCs w:val="20"/>
          <w:lang w:val="es-ES" w:eastAsia="es-ES"/>
        </w:rPr>
        <w:t xml:space="preserve">Figura 8.1. Diferencial de retorno trimestral DR (guaraníes vs. dólares), 2004–2024. La línea roja marca la adopción del régimen de Metas de Inflación (2011:T1). Fuente: elaboración propia con datos del BCP y FRED.</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8.3. Coeficiente de Fama y validación de la medida conservadora (Etapa 2)</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regresión de Fama (ecuación 3), estimada con el diferencial trimestralizado como regresor y errores HAC de Newey-West, arroja un coeficiente β positivo en las tres muestras (Tabla 8.1), aunque con errores estándar amplios y un poder explicativo casi nulo (R² inferior a 0,01). La hipótesis β = 1 (cumplimiento de la UIP) no se rechaza en ninguna muestra (p = 0,898 en la muestra completa): con la serie homogénea del tramo corto no aparece el forward premium puzzle clásico (β negativo). El contraste, sin embargo, es poco informativo por la baja precisión de la estimación —los intervalos de confianza son compatibles tanto con β = 1 como con β = 0—, de modo que la evidencia sobre la UIP se declara no concluyente en lugar de favorable.</w:t>
      </w:r>
    </w:p>
    <w:p>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Tabla 8.1. Regresión de Fama con diferencial trimestralizado (errores HAC)</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400"/>
        <w:gridCol w:w="900"/>
        <w:gridCol w:w="2426"/>
        <w:gridCol w:w="1500"/>
        <w:gridCol w:w="1800"/>
      </w:tblGrid>
      <w:tr>
        <w:tc>
          <w:tcPr>
            <w:tcW w:w="24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Muestra</w:t>
            </w:r>
          </w:p>
        </w:tc>
        <w:tc>
          <w:tcPr>
            <w:tcW w:w="9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n</w:t>
            </w:r>
          </w:p>
        </w:tc>
        <w:tc>
          <w:tcPr>
            <w:tcW w:w="2426"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β (EE HAC)</w:t>
            </w:r>
          </w:p>
        </w:tc>
        <w:tc>
          <w:tcPr>
            <w:tcW w:w="15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t (β=1)</w:t>
            </w:r>
          </w:p>
        </w:tc>
        <w:tc>
          <w:tcPr>
            <w:tcW w:w="18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p (β=1)</w:t>
            </w:r>
          </w:p>
        </w:tc>
      </w:tr>
      <w:tr>
        <w:tc>
          <w:tcPr>
            <w:tcW w:w="24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Total 2004–2024</w:t>
            </w:r>
          </w:p>
        </w:tc>
        <w:tc>
          <w:tcPr>
            <w:tcW w:w="9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83</w:t>
            </w:r>
          </w:p>
        </w:tc>
        <w:tc>
          <w:tcPr>
            <w:tcW w:w="2426"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+1,163 (1,270)</w:t>
            </w:r>
          </w:p>
        </w:tc>
        <w:tc>
          <w:tcPr>
            <w:tcW w:w="15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+0,13</w:t>
            </w:r>
          </w:p>
        </w:tc>
        <w:tc>
          <w:tcPr>
            <w:tcW w:w="18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0,898</w:t>
            </w:r>
          </w:p>
        </w:tc>
      </w:tr>
      <w:tr>
        <w:tc>
          <w:tcPr>
            <w:tcW w:w="24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Pre-2011</w:t>
            </w:r>
          </w:p>
        </w:tc>
        <w:tc>
          <w:tcPr>
            <w:tcW w:w="9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28</w:t>
            </w:r>
          </w:p>
        </w:tc>
        <w:tc>
          <w:tcPr>
            <w:tcW w:w="2426"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+0,298 (1,512)</w:t>
            </w:r>
          </w:p>
        </w:tc>
        <w:tc>
          <w:tcPr>
            <w:tcW w:w="15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−0,46</w:t>
            </w:r>
          </w:p>
        </w:tc>
        <w:tc>
          <w:tcPr>
            <w:tcW w:w="18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0,646</w:t>
            </w:r>
          </w:p>
        </w:tc>
      </w:tr>
      <w:tr>
        <w:tc>
          <w:tcPr>
            <w:tcW w:w="24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Post-2011</w:t>
            </w:r>
          </w:p>
        </w:tc>
        <w:tc>
          <w:tcPr>
            <w:tcW w:w="9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55</w:t>
            </w:r>
          </w:p>
        </w:tc>
        <w:tc>
          <w:tcPr>
            <w:tcW w:w="2426"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+0,797 (1,278)</w:t>
            </w:r>
          </w:p>
        </w:tc>
        <w:tc>
          <w:tcPr>
            <w:tcW w:w="15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−0,16</w:t>
            </w:r>
          </w:p>
        </w:tc>
        <w:tc>
          <w:tcPr>
            <w:tcW w:w="18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0,874</w:t>
            </w:r>
          </w:p>
        </w:tc>
      </w:tr>
    </w:tbl>
    <w:p>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La prueba unilateral sobre la media de la serie conservadora no permite rechazar H0: μ(DRcons) ≤ 0 en ninguna muestra; en el subperíodo post-2011 la media es negativa y estadísticamente distinta de cero (−1,20; IC 95 % [−1,86; −0,54]). En consecuencia, una vez excluidas las ganancias por apreciación, no existe evidencia de un premio estructural positivo del guaraní: el diferencial conservador constituye una cota inferior que resulta nula o negativa. Este hallazgo, contrario a la expectativa inicial, se reporta como tal.</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8.4. Estacionariedad y quiebre estructural (Etapa 3)</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Las pruebas de raíz unitaria rechazan con holgura la no estacionariedad de la serie DR (ADF: −7,42; Phillips-Perron: −7,83; ambas muy por debajo del valor crítico al 1 %), por lo que las regresiones en niveles son válidas y no existe riesgo de regresión espuria. La prueba t de diferencia de medias entre subperíodos arroja una caída del diferencial de 2,02 pp (p = 0,061), marginalmente significativa. El resultado más relevante de la etapa es el fechado endógeno del quiebre: tanto el contraste de quiebre único (sup-Wald) como el procedimiento de Bai-Perron sitúan la ruptura dominante de la serie en 2008:T2 —la crisis financiera internacional— y no en 2011 (al permitir hasta tres quiebres, el procedimiento añade 2009:T3 y 2011:T3, esta última próxima al cambio de régimen). La partición pre/post 2011 empleada en el diseño conserva su justificación institucional (Resolución N.º 22, Acta N.º 21 del BCP), pero debe interpretarse como una fecha impuesta por la teoría y no como el quiebre que los datos seleccionan por sí mismos.</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8.5. Descomposición de Fisher (Etapa 4): la primera capa de la recomposición</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descomposición de Fisher confirma la primera capa de la hipótesis de recomposición, y lo hace con mayor nitidez que la conjeturada (Tabla 8.2). En el subperíodo pre-2011 la prima de riesgo era negativa (−2,18 pp): el diferencial nominal (2,42 pp) no alcanzaba a compensar el diferencial de inflación entre Paraguay y Estados Unidos (4,60 pp), de modo que el depositante en guaraníes del tramo corto no recibía compensación real alguna. Tras la adopción de Metas de Inflación la prima de inflación se contrae (−2,83 pp; p &lt; 0,001), el diferencial nominal aumenta (+0,87 pp; p = 0,018) y emerge por primera vez una prima de riesgo positiva (1,52 pp; el salto es de +3,70 pp, p &lt; 0,001). En el subperíodo post-2011 el diferencial se reparte en 53,7 % de prima de inflación y 46,3 % de prima de riesgo (las proporciones del subperíodo pre-2011 no son interpretables porque la prima es negativa). El régimen de 2011 no redujo el diferencial: recompuso su estructura, comprimiendo el componente inflacionario y dando lugar a una prima de riesgo real positiva donde antes no la había (Figura 8.2).</w:t>
      </w:r>
    </w:p>
    <w:p>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Tabla 8.2. Descomposición de Fisher del diferencial nominal (medias por subperíodo, pp)</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800"/>
        <w:gridCol w:w="1500"/>
        <w:gridCol w:w="1600"/>
        <w:gridCol w:w="1600"/>
        <w:gridCol w:w="1263"/>
        <w:gridCol w:w="1263"/>
      </w:tblGrid>
      <w:tr>
        <w:tc>
          <w:tcPr>
            <w:tcW w:w="18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Subperíodo</w:t>
            </w:r>
          </w:p>
        </w:tc>
        <w:tc>
          <w:tcPr>
            <w:tcW w:w="15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Dif. nominal</w:t>
            </w:r>
          </w:p>
        </w:tc>
        <w:tc>
          <w:tcPr>
            <w:tcW w:w="16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Prima inflación</w:t>
            </w:r>
          </w:p>
        </w:tc>
        <w:tc>
          <w:tcPr>
            <w:tcW w:w="16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Prima riesgo</w:t>
            </w:r>
          </w:p>
        </w:tc>
        <w:tc>
          <w:tcPr>
            <w:tcW w:w="1263"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inflación</w:t>
            </w:r>
          </w:p>
        </w:tc>
        <w:tc>
          <w:tcPr>
            <w:tcW w:w="1263"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riesgo</w:t>
            </w:r>
          </w:p>
        </w:tc>
      </w:tr>
      <w:tr>
        <w:tc>
          <w:tcPr>
            <w:tcW w:w="18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Pre-2011 (n=24)</w:t>
            </w:r>
          </w:p>
        </w:tc>
        <w:tc>
          <w:tcPr>
            <w:tcW w:w="15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2,42</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4,60</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−2,18</w:t>
            </w:r>
          </w:p>
        </w:tc>
        <w:tc>
          <w:tcPr>
            <w:tcW w:w="126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w:t>
            </w:r>
          </w:p>
        </w:tc>
        <w:tc>
          <w:tcPr>
            <w:tcW w:w="126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w:t>
            </w:r>
          </w:p>
        </w:tc>
      </w:tr>
      <w:tr>
        <w:tc>
          <w:tcPr>
            <w:tcW w:w="18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Post-2011 (n=56)</w:t>
            </w:r>
          </w:p>
        </w:tc>
        <w:tc>
          <w:tcPr>
            <w:tcW w:w="15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3,29</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1,76</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1,52</w:t>
            </w:r>
          </w:p>
        </w:tc>
        <w:tc>
          <w:tcPr>
            <w:tcW w:w="126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53,7 %</w:t>
            </w:r>
          </w:p>
        </w:tc>
        <w:tc>
          <w:tcPr>
            <w:tcW w:w="126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46,3 %</w:t>
            </w:r>
          </w:p>
        </w:tc>
      </w:tr>
    </w:tbl>
    <w:p>
      <w:pPr>
        <w:spacing w:before="120" w:after="60" w:line="240" w:lineRule="auto"/>
        <w:jc w:val="center"/>
      </w:pPr>
      <w:r>
        <w:rPr>
          <w:noProof/>
        </w:rPr>
        <w:drawing>
          <wp:inline distT="0" distB="0" distL="0" distR="0">
            <wp:extent cx="5400000" cy="3600000"/>
            <wp:effectExtent l="0" t="0" r="0" b="0"/>
            <wp:docPr id="9002" name="FiguraR2" descr="Descomposicion de Fisher del difer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uraR2"/>
                    <pic:cNvPicPr/>
                  </pic:nvPicPr>
                  <pic:blipFill>
                    <a:blip r:embed="rId101"/>
                    <a:stretch>
                      <a:fillRect/>
                    </a:stretch>
                  </pic:blipFill>
                  <pic:spPr>
                    <a:xfrm>
                      <a:off x="0" y="0"/>
                      <a:ext cx="5400000" cy="3600000"/>
                    </a:xfrm>
                    <a:prstGeom prst="rect">
                      <a:avLst/>
                    </a:prstGeom>
                  </pic:spPr>
                </pic:pic>
              </a:graphicData>
            </a:graphic>
          </wp:inline>
        </w:drawing>
      </w:r>
    </w:p>
    <w:p>
      <w:pPr>
        <w:spacing w:after="240" w:line="240" w:lineRule="auto"/>
        <w:jc w:val="center"/>
        <w:rPr>
          <w:rFonts w:ascii="Arial" w:eastAsia="Arial" w:hAnsi="Arial" w:cs="Arial"/>
          <w:i/>
          <w:iCs/>
          <w:sz w:val="20"/>
          <w:szCs w:val="20"/>
          <w:lang w:val="es-ES" w:eastAsia="es-ES"/>
        </w:rPr>
      </w:pPr>
      <w:r>
        <w:rPr>
          <w:rFonts w:ascii="Arial" w:eastAsia="Arial" w:hAnsi="Arial" w:cs="Arial"/>
          <w:i/>
          <w:iCs/>
          <w:sz w:val="20"/>
          <w:szCs w:val="20"/>
          <w:lang w:val="es-ES" w:eastAsia="es-ES"/>
        </w:rPr>
        <w:t xml:space="preserve">Figura 8.2. Descomposición de Fisher: prima de inflación vs. prima de riesgo, antes y después de 2011. Fuente: elaboración propia.</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8.6. Modelo MCO-HAC con interacciones (Etapa 5): el contraste central de la recomposición</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El modelo de la ecuación (9) se estima con la prima de riesgo residual (rp) como variable dependiente —conforme a la especificación adoptada para eliminar la circularidad de Fisher— y con la volatilidad cambiaria y la dolarización centradas en su media, de modo que la indicadora de régimen se interprete en valores promedio de los determinantes. La Tabla 8.3 reporta los resultados (n = 80; errores HAC de Newey-West con rezago 4; R² = 0,47).</w:t>
      </w:r>
    </w:p>
    <w:p>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 xml:space="preserve">Tabla 8.3. Modelo MCO-HAC con interacciones (dependiente: prima de riesgo rp; n = 80)</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00"/>
        <w:gridCol w:w="2900"/>
        <w:gridCol w:w="1600"/>
        <w:gridCol w:w="1600"/>
        <w:gridCol w:w="2026"/>
      </w:tblGrid>
      <w:tr>
        <w:tc>
          <w:tcPr>
            <w:tcW w:w="9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
            </w:r>
          </w:p>
        </w:tc>
        <w:tc>
          <w:tcPr>
            <w:tcW w:w="2900" w:type="dxa"/>
            <w:shd w:val="clear" w:color="auto" w:fill="D9D9D9"/>
            <w:vAlign w:val="center"/>
          </w:tcPr>
          <w:p>
            <w:pPr>
              <w:spacing w:after="0" w:line="240" w:lineRule="auto"/>
              <w:rPr>
                <w:rFonts w:ascii="Arial" w:eastAsia="Arial" w:hAnsi="Arial" w:cs="Arial"/>
                <w:b/>
                <w:sz w:val="18"/>
                <w:szCs w:val="18"/>
              </w:rPr>
            </w:pPr>
            <w:r>
              <w:rPr>
                <w:rFonts w:ascii="Arial" w:eastAsia="Arial" w:hAnsi="Arial" w:cs="Arial"/>
                <w:b/>
                <w:sz w:val="18"/>
                <w:szCs w:val="18"/>
              </w:rPr>
              <w:t xml:space="preserve">Variable</w:t>
            </w:r>
          </w:p>
        </w:tc>
        <w:tc>
          <w:tcPr>
            <w:tcW w:w="16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Estimado</w:t>
            </w:r>
          </w:p>
        </w:tc>
        <w:tc>
          <w:tcPr>
            <w:tcW w:w="16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EE (HAC)</w:t>
            </w:r>
          </w:p>
        </w:tc>
        <w:tc>
          <w:tcPr>
            <w:tcW w:w="2026"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p</w:t>
            </w:r>
          </w:p>
        </w:tc>
      </w:tr>
      <w:tr>
        <w:tc>
          <w:tcPr>
            <w:tcW w:w="9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β0</w:t>
            </w:r>
          </w:p>
        </w:tc>
        <w:tc>
          <w:tcPr>
            <w:tcW w:w="29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constante</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−2,170</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0,447</w:t>
            </w:r>
          </w:p>
        </w:tc>
        <w:tc>
          <w:tcPr>
            <w:tcW w:w="2026"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0,114</w:t>
            </w:r>
          </w:p>
        </w:tc>
      </w:tr>
      <w:tr>
        <w:tc>
          <w:tcPr>
            <w:tcW w:w="9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β2</w:t>
            </w:r>
          </w:p>
        </w:tc>
        <w:tc>
          <w:tcPr>
            <w:tcW w:w="29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VolTC (centrada)</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+0,271</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0,104</w:t>
            </w:r>
          </w:p>
        </w:tc>
        <w:tc>
          <w:tcPr>
            <w:tcW w:w="2026"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0,011</w:t>
            </w:r>
          </w:p>
        </w:tc>
      </w:tr>
      <w:tr>
        <w:tc>
          <w:tcPr>
            <w:tcW w:w="9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β3</w:t>
            </w:r>
          </w:p>
        </w:tc>
        <w:tc>
          <w:tcPr>
            <w:tcW w:w="29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Iliq (centrada)</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+0,149</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0,093</w:t>
            </w:r>
          </w:p>
        </w:tc>
        <w:tc>
          <w:tcPr>
            <w:tcW w:w="2026"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0,000</w:t>
            </w:r>
          </w:p>
        </w:tc>
      </w:tr>
      <w:tr>
        <w:tc>
          <w:tcPr>
            <w:tcW w:w="9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β4</w:t>
            </w:r>
          </w:p>
        </w:tc>
        <w:tc>
          <w:tcPr>
            <w:tcW w:w="2900" w:type="dxa"/>
            <w:vAlign w:val="center"/>
          </w:tcPr>
          <w:p>
            <w:pPr>
              <w:spacing w:after="0" w:line="240" w:lineRule="auto"/>
              <w:rPr>
                <w:rFonts w:ascii="Arial" w:eastAsia="Arial" w:hAnsi="Arial" w:cs="Arial"/>
                <w:sz w:val="18"/>
                <w:szCs w:val="18"/>
              </w:rPr>
            </w:pPr>
            <w:r>
              <w:rPr>
                <w:rFonts w:ascii="Arial" w:eastAsia="Arial" w:hAnsi="Arial" w:cs="Arial"/>
                <w:sz w:val="18"/>
                <w:szCs w:val="18"/>
              </w:rPr>
              <w:t xml:space="preserve">D2011</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+3,714</w:t>
            </w:r>
          </w:p>
        </w:tc>
        <w:tc>
          <w:tcPr>
            <w:tcW w:w="16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0,535</w:t>
            </w:r>
          </w:p>
        </w:tc>
        <w:tc>
          <w:tcPr>
            <w:tcW w:w="2026"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 xml:space="preserve">0,000</w:t>
            </w:r>
          </w:p>
        </w:tc>
      </w:tr>
      <w:tr>
        <w:tc>
          <w:tcPr>
            <w:tcW w:w="900" w:type="dxa"/>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β5</w:t>
            </w:r>
          </w:p>
        </w:tc>
        <w:tc>
          <w:tcPr>
            <w:tcW w:w="2900" w:type="dxa"/>
            <w:vAlign w:val="center"/>
          </w:tcPr>
          <w:p>
            <w:pPr>
              <w:spacing w:after="0" w:line="240" w:lineRule="auto"/>
              <w:rPr>
                <w:rFonts w:ascii="Arial" w:eastAsia="Arial" w:hAnsi="Arial" w:cs="Arial"/>
                <w:b/>
                <w:sz w:val="18"/>
                <w:szCs w:val="18"/>
              </w:rPr>
            </w:pPr>
            <w:r>
              <w:rPr>
                <w:rFonts w:ascii="Arial" w:eastAsia="Arial" w:hAnsi="Arial" w:cs="Arial"/>
                <w:b/>
                <w:sz w:val="18"/>
                <w:szCs w:val="18"/>
              </w:rPr>
              <w:t xml:space="preserve">D2011×VolTC (esp. &lt; 0)</w:t>
            </w:r>
          </w:p>
        </w:tc>
        <w:tc>
          <w:tcPr>
            <w:tcW w:w="1600" w:type="dxa"/>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−0,189</w:t>
            </w:r>
          </w:p>
        </w:tc>
        <w:tc>
          <w:tcPr>
            <w:tcW w:w="1600" w:type="dxa"/>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0,268</w:t>
            </w:r>
          </w:p>
        </w:tc>
        <w:tc>
          <w:tcPr>
            <w:tcW w:w="2026" w:type="dxa"/>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0,483</w:t>
            </w:r>
          </w:p>
        </w:tc>
      </w:tr>
      <w:tr>
        <w:tc>
          <w:tcPr>
            <w:tcW w:w="900" w:type="dxa"/>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β6</w:t>
            </w:r>
          </w:p>
        </w:tc>
        <w:tc>
          <w:tcPr>
            <w:tcW w:w="2900" w:type="dxa"/>
            <w:vAlign w:val="center"/>
          </w:tcPr>
          <w:p>
            <w:pPr>
              <w:spacing w:after="0" w:line="240" w:lineRule="auto"/>
              <w:rPr>
                <w:rFonts w:ascii="Arial" w:eastAsia="Arial" w:hAnsi="Arial" w:cs="Arial"/>
                <w:b/>
                <w:sz w:val="18"/>
                <w:szCs w:val="18"/>
              </w:rPr>
            </w:pPr>
            <w:r>
              <w:rPr>
                <w:rFonts w:ascii="Arial" w:eastAsia="Arial" w:hAnsi="Arial" w:cs="Arial"/>
                <w:b/>
                <w:sz w:val="18"/>
                <w:szCs w:val="18"/>
              </w:rPr>
              <w:t xml:space="preserve">D2011×Iliq (esp. &gt; 0)</w:t>
            </w:r>
          </w:p>
        </w:tc>
        <w:tc>
          <w:tcPr>
            <w:tcW w:w="1600" w:type="dxa"/>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−0,131</w:t>
            </w:r>
          </w:p>
        </w:tc>
        <w:tc>
          <w:tcPr>
            <w:tcW w:w="1600" w:type="dxa"/>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0,166</w:t>
            </w:r>
          </w:p>
        </w:tc>
        <w:tc>
          <w:tcPr>
            <w:tcW w:w="2026" w:type="dxa"/>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xml:space="preserve">0,432</w:t>
            </w:r>
          </w:p>
        </w:tc>
      </w:tr>
    </w:tbl>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El resultado central es un cambio de nivel, no de pendientes. La indicadora de régimen es grande y precisa (β4 = +3,71 puntos; p &lt; 0,001): para valores promedio de la volatilidad y la dolarización, la prima de riesgo salta casi cuatro puntos porcentuales tras 2011, y la prueba de Chow completa rechaza con holgura la estabilidad del modelo (F = 16,81; p &lt; 0,001). En cambio, la prueba de Wald conjunta sobre las dos interacciones no rechaza la hipótesis de pendientes estables (F = 0,36; p = 0,698): no hay evidencia de que el peso de la volatilidad cambiaria o de la dolarización dentro de la prima haya cambiado con el régimen (β5 = −0,189, p = 0,483; β6 = −0,131, p = 0,432). La volatilidad cambiaria es un determinante significativo de la prima en todo el período (β2 = +0,271; p = 0,011); la dolarización no alcanza significación (β3 = +0,149; p = 0,114). En síntesis: la recomposición que los datos respaldan ocurre entre la prima de inflación y la prima de riesgo —el nivel de la prima—, no dentro de la estructura interna de la prima, y así se reporta.</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Dos observaciones acotan la lectura de los coeficientes individuales. Primera: no se estima ninguna especificación que use la inflación como regresor —regresar el diferencial (o DR, que lo contiene por construcción) sobre el diferencial de inflación reintroduciría la circularidad de Fisher—, de modo que el contraste de determinantes se realiza únicamente sobre la prima de riesgo rpₜ; la robustez con la serie conservadora conduce al mismo diagnóstico cualitativo (interacciones no significativas). Segunda: como la dolarización se mueve en un rango acotado (37,8–60,4 %), la interacción D2011×Iliq guarda alta correlación con la indicadora de régimen (VIF ≈ 180), lo que se declara como límite de identificación de los efectos por separado y modera la lectura de la no significación individual; el contraste conjunto de Wald, en cambio, no se ve afectado por esta colinealidad.</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8.7. Composición interna de la prima de riesgo y su evolución histórica</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Dado que el modelo de interacciones impone una forma funcional específica —un cambio de pendiente en una única fecha—, la composición interna de la prima de riesgo se examinó adicionalmente con un enfoque complementario de carácter descriptivo: la descomposición de Shapley/LMG del R² de la regresión de la prima de riesgo (rp) sobre sus determinantes, que asigna a cada regresor su contribución promedio a la varianza explicada, con independencia del orden de inclusión. Tres ejercicios descriptivos y un contraste formal de hipótesis integran este análisis.</w:t>
      </w:r>
    </w:p>
    <w:p>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a) Composición estática. </w:t>
      </w:r>
      <w:r>
        <w:rPr>
          <w:rFonts w:ascii="Arial" w:eastAsia="Arial" w:hAnsi="Arial" w:cs="Arial"/>
          <w:lang w:val="es-ES" w:eastAsia="es-ES"/>
        </w:rPr>
        <w:t xml:space="preserve">La descomposición entre riesgo cambiario (VolTC) e iliquidez (Iliq) sugiere un mayor protagonismo del componente cambiario en ambos subperíodos: antes de 2011 la volatilidad cambiaria concentraba el 66,1 % de la varianza atribuible de la prima de riesgo y la dolarización el 33,9 %; después de 2011 esas proporciones pasan a 87,9 % y 12,1 %. La salvedad es importante: estos porcentajes se refieren a la varianza explicada por el par de determinantes, que es una fracción pequeña del total (R² de 0,12 en el subperíodo pre-2011 y de apenas 0,005 en el post-2011), de modo que describen una porción menor del comportamiento de la prima y no deben sobreinterpretarse.</w:t>
      </w:r>
    </w:p>
    <w:p>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b) El rol de los factores globales. </w:t>
      </w:r>
      <w:r>
        <w:rPr>
          <w:rFonts w:ascii="Arial" w:eastAsia="Arial" w:hAnsi="Arial" w:cs="Arial"/>
          <w:lang w:val="es-ES" w:eastAsia="es-ES"/>
        </w:rPr>
        <w:t xml:space="preserve">Al incorporar los factores externos disponibles en la base —la tasa de fondos federales en nivel y en primera diferencia, y una indicadora del período de crisis 2008:T2–2009:T3, ventana coincidente con el quiebre endógeno identificado en la Etapa 3—, estos concentran en conjunto el 81,6 % de la varianza explicada de la prima de riesgo en el período completo (crisis financiera: 32,0 %; variaciones de la tasa de la Reserva Federal: 20,1 %; su nivel: 29,5 %), frente al 17,7 % conjunto de las dos variables domésticas (dolarización: 13,8 %; volatilidad cambiaria: 3,9 %). Una fracción sustancial de la prima de riesgo refleja, por tanto, la transmisión de shocks financieros globales antes que fricciones puramente domésticas.</w:t>
      </w:r>
    </w:p>
    <w:p>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c) Evolución histórica (2004–2024). </w:t>
      </w:r>
      <w:r>
        <w:rPr>
          <w:rFonts w:ascii="Arial" w:eastAsia="Arial" w:hAnsi="Arial" w:cs="Arial"/>
          <w:lang w:val="es-ES" w:eastAsia="es-ES"/>
        </w:rPr>
        <w:t xml:space="preserve">La estimación de la misma descomposición en ventanas móviles de 20 trimestres reconstruye la trayectoria histórica de la composición (Tabla 8.4 y Figura 8.3): el patrón no es una tendencia monótona sino episódico. El peso del riesgo cambiario es máximo en las ventanas que contienen la crisis financiera global (87,6 % en 2009–2011), desciende a valores en torno al 57–59 % en los períodos de calma (2012–2019) y se ubica en 47,7 % en 2020–2024, cuando la dolarización recupera peso relativo. La lectura conjunta con la ventana corta de 12 trimestres confirma el mismo diagnóstico: el componente cambiario se dispara en los episodios de estrés global (2008–2009 y 2020) y retrocede en los períodos de calma.</w:t>
      </w:r>
    </w:p>
    <w:p>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Tabla 8.4. Evolución de la composición de la prima de riesgo (ventana móvil de 20 trimestres, promedio por sub-era)</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200"/>
        <w:gridCol w:w="2913"/>
        <w:gridCol w:w="2913"/>
      </w:tblGrid>
      <w:tr>
        <w:tc>
          <w:tcPr>
            <w:tcW w:w="32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Sub-era</w:t>
            </w:r>
          </w:p>
        </w:tc>
        <w:tc>
          <w:tcPr>
            <w:tcW w:w="2913"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riesgo cambiario (VolTC)</w:t>
            </w:r>
          </w:p>
        </w:tc>
        <w:tc>
          <w:tcPr>
            <w:tcW w:w="2913"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 iliquidez (Iliq)</w:t>
            </w:r>
          </w:p>
        </w:tc>
      </w:tr>
      <w:tr>
        <w:tc>
          <w:tcPr>
            <w:tcW w:w="32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2009–2011</w:t>
            </w:r>
          </w:p>
        </w:tc>
        <w:tc>
          <w:tcPr>
            <w:tcW w:w="291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87,6 %</w:t>
            </w:r>
          </w:p>
        </w:tc>
        <w:tc>
          <w:tcPr>
            <w:tcW w:w="291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12,4 %</w:t>
            </w:r>
          </w:p>
        </w:tc>
      </w:tr>
      <w:tr>
        <w:tc>
          <w:tcPr>
            <w:tcW w:w="32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2012–2015</w:t>
            </w:r>
          </w:p>
        </w:tc>
        <w:tc>
          <w:tcPr>
            <w:tcW w:w="291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56,8 %</w:t>
            </w:r>
          </w:p>
        </w:tc>
        <w:tc>
          <w:tcPr>
            <w:tcW w:w="291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43,2 %</w:t>
            </w:r>
          </w:p>
        </w:tc>
      </w:tr>
      <w:tr>
        <w:tc>
          <w:tcPr>
            <w:tcW w:w="32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2016–2019</w:t>
            </w:r>
          </w:p>
        </w:tc>
        <w:tc>
          <w:tcPr>
            <w:tcW w:w="291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58,6 %</w:t>
            </w:r>
          </w:p>
        </w:tc>
        <w:tc>
          <w:tcPr>
            <w:tcW w:w="291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41,4 %</w:t>
            </w:r>
          </w:p>
        </w:tc>
      </w:tr>
      <w:tr>
        <w:tc>
          <w:tcPr>
            <w:tcW w:w="3200"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2020–2024</w:t>
            </w:r>
          </w:p>
        </w:tc>
        <w:tc>
          <w:tcPr>
            <w:tcW w:w="291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47,7 %</w:t>
            </w:r>
          </w:p>
        </w:tc>
        <w:tc>
          <w:tcPr>
            <w:tcW w:w="2913"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52,3 %</w:t>
            </w:r>
          </w:p>
        </w:tc>
      </w:tr>
    </w:tbl>
    <w:p>
      <w:pPr>
        <w:spacing w:before="120" w:after="60" w:line="240" w:lineRule="auto"/>
        <w:jc w:val="center"/>
      </w:pPr>
      <w:r>
        <w:rPr>
          <w:noProof/>
        </w:rPr>
        <w:drawing>
          <wp:inline distT="0" distB="0" distL="0" distR="0">
            <wp:extent cx="5400000" cy="3600000"/>
            <wp:effectExtent l="0" t="0" r="0" b="0"/>
            <wp:docPr id="9003" name="FiguraR3" descr="Evolucion historica de la composicion de la prima de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uraR3"/>
                    <pic:cNvPicPr/>
                  </pic:nvPicPr>
                  <pic:blipFill>
                    <a:blip r:embed="rId102"/>
                    <a:stretch>
                      <a:fillRect/>
                    </a:stretch>
                  </pic:blipFill>
                  <pic:spPr>
                    <a:xfrm>
                      <a:off x="0" y="0"/>
                      <a:ext cx="5400000" cy="3600000"/>
                    </a:xfrm>
                    <a:prstGeom prst="rect">
                      <a:avLst/>
                    </a:prstGeom>
                  </pic:spPr>
                </pic:pic>
              </a:graphicData>
            </a:graphic>
          </wp:inline>
        </w:drawing>
      </w:r>
    </w:p>
    <w:p>
      <w:pPr>
        <w:spacing w:after="240" w:line="240" w:lineRule="auto"/>
        <w:jc w:val="center"/>
        <w:rPr>
          <w:rFonts w:ascii="Arial" w:eastAsia="Arial" w:hAnsi="Arial" w:cs="Arial"/>
          <w:i/>
          <w:iCs/>
          <w:sz w:val="20"/>
          <w:szCs w:val="20"/>
          <w:lang w:val="es-ES" w:eastAsia="es-ES"/>
        </w:rPr>
      </w:pPr>
      <w:r>
        <w:rPr>
          <w:rFonts w:ascii="Arial" w:eastAsia="Arial" w:hAnsi="Arial" w:cs="Arial"/>
          <w:i/>
          <w:iCs/>
          <w:sz w:val="20"/>
          <w:szCs w:val="20"/>
          <w:lang w:val="es-ES" w:eastAsia="es-ES"/>
        </w:rPr>
        <w:t xml:space="preserve">Figura 8.3. Evolución de la composición de la prima de riesgo entre riesgo cambiario e iliquidez, ventanas móviles de 12 y 20 trimestres, 2004–2024. Línea negra: adopción de Metas de Inflación (2011); franjas grises: crisis 2008–2009 y pandemia 2020. Fuente: elaboración propia.</w:t>
      </w:r>
    </w:p>
    <w:p>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d) Contraste formal del cambio de composición. </w:t>
      </w:r>
      <w:r>
        <w:rPr>
          <w:rFonts w:ascii="Arial" w:eastAsia="Arial" w:hAnsi="Arial" w:cs="Arial"/>
          <w:lang w:val="es-ES" w:eastAsia="es-ES"/>
        </w:rPr>
        <w:t xml:space="preserve">La forma general de la conjetura de recomposición interna —que los pesos de los determinantes dentro de la prima de riesgo se modificaron tras 2011— se contrastó formalmente mediante la regresión de la prima de riesgo (rp) sobre VolTC e Iliq con interacciones de régimen y errores HAC (n = 80). La prueba conjunta no rechaza que los pesos de ambos determinantes permanecieron constantes (F = 0,36; p = 0,698), y la correlación simple entre la prima de riesgo y la dolarización es baja y estadísticamente indistinguible entre subperíodos (+0,13 antes de 2011 y −0,01 después; prueba de Fisher: p = 0,574). Es decir, el cambio estadísticamente robusto que documenta este trabajo es el del nivel de la prima (Sección 8.6) y su recomposición frente a la prima de inflación (Sección 8.5), no un cambio en la estructura interna de determinantes. Este es el mismo contraste que reporta la Tabla 8.3 en la sección 8.6; se retoma aquí para integrarlo con la evidencia descriptiva de los apartados a) a c).</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Cuatro salvedades acotan este análisis: es descriptivo y no causal; el subperíodo pre-2011 dispone de solo 24 observaciones útiles; la indicadora de crisis se construyó a partir del quiebre identificado en la propia serie (Etapa 3), por lo que no constituye una variable exógena independiente; y la estimación puntual por ventanas móviles es sensible al ancho de ventana elegido. Con esas salvedades, las aproximaciones empleadas convergen en un diagnóstico prudente: la evidencia descriptiva sugiere un mayor protagonismo del componente cambiario y de los factores globales, pero el contraste formal del apartado d) no permite afirmar que la estructura interna de la prima haya cambiado; lo que cambió de manera contundente es su nivel y su peso dentro del diferencial. En particular, no hay respaldo para la conjetura específica de migración hacia la iliquidez.</w:t>
      </w:r>
    </w:p>
    <w:p>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Verificaciones adicionales de la especificación. </w:t>
      </w:r>
      <w:r>
        <w:rPr>
          <w:rFonts w:ascii="Arial" w:eastAsia="Arial" w:hAnsi="Arial" w:cs="Arial"/>
          <w:lang w:val="es-ES" w:eastAsia="es-ES"/>
        </w:rPr>
        <w:t xml:space="preserve">La revisión metodológica incorporó dos verificaciones adicionales sobre el modelo de la Tabla 8.3, cuyos resultados se reportan tal como surgen. Primera: la prueba de dominancia en unidades estandarizadas —el contraste directo de la migración— no rechaza la igualdad de incidencias post-2011 (t = −0,29; p = 0,772): las incidencias del riesgo cambiario (+0,20 desvíos estándar) y de la iliquidez (+0,08 desvíos) resultan estadísticamente indistinguibles, en línea con la ausencia de recomposición interna. Segunda: las pruebas de integración (ADF y KPSS) indican que las variables explicativas se comportan como series no estacionarias en el período —en particular la dolarización, de caída sostenida—, lo que se declara como límite del diseño (regresión potencialmente desbalanceada) y se mitiga con dos elementos: los residuos del modelo son estacionarios (ADF sobre los residuos: −4,77; p &lt; 0,001), lo que descarta una relación espuria, y su normalidad no se rechaza al 5 %, aunque queda cerca del umbral (Jarque-Bera, p = 0,075). La reestimación con la dolarización rezagada un trimestre —que además atiende la simultaneidad declarada— arroja el mismo diagnóstico (Wald conjunto: p = 0,673), y el reemplazo de la indicadora binaria por un índice de intensidad del régimen que asciende gradualmente entre 2011 y 2016 tampoco altera la conclusión conjunta (prueba de interacciones: p = 0,111), aunque en esa especificación la interacción individual de la iliquidez resulta negativa y significativa (−0,49; p = 0,038), matiz que se deja documentado.</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8.8. Diagnósticos y robustez (Etapa 6)</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Los diagnósticos, calculados sobre el modelo principal (la prima de riesgo rp), detectan autocorrelación residual en los rezagos altos (Breusch-Godfrey: p = 0,03 y p &lt; 0,001 en los rezagos 3 y 4) y heterocedasticidad (White: p &lt; 0,001), lo que motiva el empleo de errores HAC de Newey-West en todas las especificaciones, incluido el modelo principal, cuyos residuos superan además la prueba de estacionariedad (Sección 8.7); la prueba RESET de Ramsey no detecta mala especificación funcional (p = 0,196). Las pruebas de robustez —serie conservadora como variable dependiente y submuestra homogénea 2011–2024— no alteran ninguna de las conclusiones; la robustez con series de fin de trimestre se aplicó a la regresión de Fama (Sección 8.3) con idéntico resultado cualitativo, y la robustez con la dolarización rezagada se reporta en la Sección 8.7 (Wald conjunto: p = 0,673). Dos controles adicionales confirman la solidez del hallazgo central. Primero, al incorporar al modelo principal una indicadora de la crisis financiera de 2008–2009, el salto de la prima en 2011 se mantiene (D2011 = +3,38; p &lt; 0,001), lo que distingue el efecto del cambio de régimen del shock de la crisis —el trimestre en que la serie exhibe su quiebre endógeno—. Segundo, la reestimación del modelo con distintos anchos de banda del estimador HAC (rezagos 3, 5 y 6, además del 4 empleado) deja las conclusiones prácticamente inalteradas. Adicionalmente, la naturaleza de la relación se verifica mediante la prueba de cointegración de Engle-Granger: los residuos del modelo son estacionarios (ADF con tres rezagos: −4,77; p &lt; 0,001), lo que descarta una regresión espuria pese al carácter aproximadamente integrado de las variables explicativas. La prueba de robustez con la brecha de encaje legal por moneda no resultó factible por la indisponibilidad de la serie oficial homogénea, conforme a lo declarado en la Etapa 6 del marco metodológico. Se añadió, por último, un análisis de sensibilidad a la definición de la serie de tasas: al reestimar el modelo principal con la serie alternativa de promedio ponderado de todos los plazos —que empalma dos publicaciones del BCP en 2010/2011 y está expuesta al sesgo de composición por plazos—, el salto de nivel de la prima se mantiene (+1,80 pp; p = 0,021), pero las interacciones aparecen significativas (Wald: F = 6,10; p = 0,004). La recomposición de nivel es, por tanto, robusta a la definición de la serie; la evidencia sobre cambios de pendiente es sensible a ella, y esa sensibilidad se declara como parte de los resultados.</w:t>
      </w:r>
    </w:p>
    <w:p>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8.9. Síntesis: veredicto de la hipótesis de investigación</w:t>
      </w:r>
    </w:p>
    <w:p>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Tabla 8.5 sintetiza el veredicto de cada componente de la hipótesis a la luz del conjunto de la evidencia.</w:t>
      </w:r>
    </w:p>
    <w:p>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Tabla 8.5. Veredicto por componente de la hipótesis</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100"/>
        <w:gridCol w:w="3900"/>
        <w:gridCol w:w="2026"/>
      </w:tblGrid>
      <w:tr>
        <w:tc>
          <w:tcPr>
            <w:tcW w:w="31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Componente</w:t>
            </w:r>
          </w:p>
        </w:tc>
        <w:tc>
          <w:tcPr>
            <w:tcW w:w="3900"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Evidencia</w:t>
            </w:r>
          </w:p>
        </w:tc>
        <w:tc>
          <w:tcPr>
            <w:tcW w:w="2026" w:type="dxa"/>
            <w:shd w:val="clear" w:color="auto" w:fill="D9D9D9"/>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Veredicto</w:t>
            </w:r>
          </w:p>
        </w:tc>
      </w:tr>
      <w:tr>
        <w:tc>
          <w:tcPr>
            <w:tcW w:w="3100" w:type="dxa"/>
            <w:vAlign w:val="center"/>
          </w:tcPr>
          <w:p>
            <w:pPr>
              <w:spacing w:after="0" w:line="240" w:lineRule="auto"/>
              <w:rPr>
                <w:rFonts w:ascii="Arial" w:eastAsia="Arial" w:hAnsi="Arial" w:cs="Arial"/>
                <w:sz w:val="18"/>
                <w:szCs w:val="18"/>
              </w:rPr>
            </w:pPr>
            <w:r>
              <w:rPr>
                <w:rFonts w:ascii="Arial" w:eastAsia="Arial" w:hAnsi="Arial" w:cs="Arial"/>
                <w:sz w:val="18"/>
                <w:szCs w:val="18"/>
              </w:rPr>
              <w:t>Incumplimiento de la UIP</w:t>
            </w:r>
          </w:p>
        </w:tc>
        <w:tc>
          <w:tcPr>
            <w:tcW w:w="3900" w:type="dxa"/>
            <w:vAlign w:val="center"/>
          </w:tcPr>
          <w:p>
            <w:pPr>
              <w:spacing w:after="0" w:line="240" w:lineRule="auto"/>
              <w:rPr>
                <w:rFonts w:ascii="Arial" w:eastAsia="Arial" w:hAnsi="Arial" w:cs="Arial"/>
                <w:sz w:val="18"/>
                <w:szCs w:val="18"/>
              </w:rPr>
            </w:pPr>
            <w:r>
              <w:rPr>
                <w:rFonts w:ascii="Arial" w:eastAsia="Arial" w:hAnsi="Arial" w:cs="Arial"/>
                <w:sz w:val="18"/>
                <w:szCs w:val="18"/>
              </w:rPr>
              <w:t>β de Fama positivo pero impreciso en las 3 muestras; β=1 no rechazado (p=0,898 en la muestra completa)</w:t>
            </w:r>
          </w:p>
        </w:tc>
        <w:tc>
          <w:tcPr>
            <w:tcW w:w="2026"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No concluyente (baja potencia)</w:t>
            </w:r>
          </w:p>
        </w:tc>
      </w:tr>
      <w:tr>
        <w:tc>
          <w:tcPr>
            <w:tcW w:w="3100" w:type="dxa"/>
            <w:vAlign w:val="center"/>
          </w:tcPr>
          <w:p>
            <w:pPr>
              <w:spacing w:after="0" w:line="240" w:lineRule="auto"/>
              <w:rPr>
                <w:rFonts w:ascii="Arial" w:eastAsia="Arial" w:hAnsi="Arial" w:cs="Arial"/>
                <w:sz w:val="18"/>
                <w:szCs w:val="18"/>
              </w:rPr>
            </w:pPr>
            <w:r>
              <w:rPr>
                <w:rFonts w:ascii="Arial" w:eastAsia="Arial" w:hAnsi="Arial" w:cs="Arial"/>
                <w:sz w:val="18"/>
                <w:szCs w:val="18"/>
              </w:rPr>
              <w:t>Premio conservador positivo del guaraní</w:t>
            </w:r>
          </w:p>
        </w:tc>
        <w:tc>
          <w:tcPr>
            <w:tcW w:w="3900" w:type="dxa"/>
            <w:vAlign w:val="center"/>
          </w:tcPr>
          <w:p>
            <w:pPr>
              <w:spacing w:after="0" w:line="240" w:lineRule="auto"/>
              <w:rPr>
                <w:rFonts w:ascii="Arial" w:eastAsia="Arial" w:hAnsi="Arial" w:cs="Arial"/>
                <w:sz w:val="18"/>
                <w:szCs w:val="18"/>
              </w:rPr>
            </w:pPr>
            <w:r>
              <w:rPr>
                <w:rFonts w:ascii="Arial" w:eastAsia="Arial" w:hAnsi="Arial" w:cs="Arial"/>
                <w:sz w:val="18"/>
                <w:szCs w:val="18"/>
              </w:rPr>
              <w:t>μ(DRcons) ≤ 0 no rechazable; post-2011 significativamente negativa</w:t>
            </w:r>
          </w:p>
        </w:tc>
        <w:tc>
          <w:tcPr>
            <w:tcW w:w="2026"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No respaldada</w:t>
            </w:r>
          </w:p>
        </w:tc>
      </w:tr>
      <w:tr>
        <w:tc>
          <w:tcPr>
            <w:tcW w:w="3100" w:type="dxa"/>
            <w:vAlign w:val="center"/>
          </w:tcPr>
          <w:p>
            <w:pPr>
              <w:spacing w:after="0" w:line="240" w:lineRule="auto"/>
              <w:rPr>
                <w:rFonts w:ascii="Arial" w:eastAsia="Arial" w:hAnsi="Arial" w:cs="Arial"/>
                <w:b/>
                <w:sz w:val="18"/>
                <w:szCs w:val="18"/>
              </w:rPr>
            </w:pPr>
            <w:r>
              <w:rPr>
                <w:rFonts w:ascii="Arial" w:eastAsia="Arial" w:hAnsi="Arial" w:cs="Arial"/>
                <w:b/>
                <w:sz w:val="18"/>
                <w:szCs w:val="18"/>
              </w:rPr>
              <w:t>Capa 1: recomposición inflación → riesgo (Fisher)</w:t>
            </w:r>
          </w:p>
        </w:tc>
        <w:tc>
          <w:tcPr>
            <w:tcW w:w="3900" w:type="dxa"/>
            <w:vAlign w:val="center"/>
          </w:tcPr>
          <w:p>
            <w:pPr>
              <w:spacing w:after="0" w:line="240" w:lineRule="auto"/>
              <w:rPr>
                <w:rFonts w:ascii="Arial" w:eastAsia="Arial" w:hAnsi="Arial" w:cs="Arial"/>
                <w:sz w:val="18"/>
                <w:szCs w:val="18"/>
              </w:rPr>
            </w:pPr>
            <w:r>
              <w:rPr>
                <w:rFonts w:ascii="Arial" w:eastAsia="Arial" w:hAnsi="Arial" w:cs="Arial"/>
                <w:sz w:val="18"/>
                <w:szCs w:val="18"/>
              </w:rPr>
              <w:t>Prima de inflación: −2,83 pp (p&lt;0,001); prima de riesgo: de −2,18 a +1,52 pp (salto de +3,70 pp; p&lt;0,001)</w:t>
            </w:r>
          </w:p>
        </w:tc>
        <w:tc>
          <w:tcPr>
            <w:tcW w:w="2026" w:type="dxa"/>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Confirmada</w:t>
            </w:r>
          </w:p>
        </w:tc>
      </w:tr>
      <w:tr>
        <w:tc>
          <w:tcPr>
            <w:tcW w:w="3100" w:type="dxa"/>
            <w:vAlign w:val="center"/>
          </w:tcPr>
          <w:p>
            <w:pPr>
              <w:spacing w:after="0" w:line="240" w:lineRule="auto"/>
              <w:rPr>
                <w:rFonts w:ascii="Arial" w:eastAsia="Arial" w:hAnsi="Arial" w:cs="Arial"/>
                <w:b/>
                <w:sz w:val="18"/>
                <w:szCs w:val="18"/>
              </w:rPr>
            </w:pPr>
            <w:r>
              <w:rPr>
                <w:rFonts w:ascii="Arial" w:eastAsia="Arial" w:hAnsi="Arial" w:cs="Arial"/>
                <w:b/>
                <w:sz w:val="18"/>
                <w:szCs w:val="18"/>
              </w:rPr>
              <w:t>Capa 2 — conjetura específica: migración depreciación → iliquidez</w:t>
            </w:r>
          </w:p>
        </w:tc>
        <w:tc>
          <w:tcPr>
            <w:tcW w:w="3900" w:type="dxa"/>
            <w:vAlign w:val="center"/>
          </w:tcPr>
          <w:p>
            <w:pPr>
              <w:spacing w:after="0" w:line="240" w:lineRule="auto"/>
              <w:rPr>
                <w:rFonts w:ascii="Arial" w:eastAsia="Arial" w:hAnsi="Arial" w:cs="Arial"/>
                <w:sz w:val="18"/>
                <w:szCs w:val="18"/>
              </w:rPr>
            </w:pPr>
            <w:r>
              <w:rPr>
                <w:rFonts w:ascii="Arial" w:eastAsia="Arial" w:hAnsi="Arial" w:cs="Arial"/>
                <w:sz w:val="18"/>
                <w:szCs w:val="18"/>
              </w:rPr>
              <w:t>β5 = −0,189 (p=0,483) y β6 = −0,131 (p=0,432), ambos no significativos; sin evidencia de migración hacia la iliquidez</w:t>
            </w:r>
          </w:p>
        </w:tc>
        <w:tc>
          <w:tcPr>
            <w:tcW w:w="2026" w:type="dxa"/>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No confirmada</w:t>
            </w:r>
          </w:p>
        </w:tc>
      </w:tr>
      <w:tr>
        <w:tc>
          <w:tcPr>
            <w:tcW w:w="3100" w:type="dxa"/>
            <w:vAlign w:val="center"/>
          </w:tcPr>
          <w:p>
            <w:pPr>
              <w:spacing w:after="0" w:line="240" w:lineRule="auto"/>
              <w:rPr>
                <w:rFonts w:ascii="Arial" w:eastAsia="Arial" w:hAnsi="Arial" w:cs="Arial"/>
                <w:b/>
                <w:sz w:val="18"/>
                <w:szCs w:val="18"/>
              </w:rPr>
            </w:pPr>
            <w:r>
              <w:rPr>
                <w:rFonts w:ascii="Arial" w:eastAsia="Arial" w:hAnsi="Arial" w:cs="Arial"/>
                <w:b/>
                <w:sz w:val="18"/>
                <w:szCs w:val="18"/>
              </w:rPr>
              <w:t>Capa 2 — forma general: la composición de la prima de riesgo cambió tras 2011</w:t>
            </w:r>
          </w:p>
        </w:tc>
        <w:tc>
          <w:tcPr>
            <w:tcW w:w="3900" w:type="dxa"/>
            <w:vAlign w:val="center"/>
          </w:tcPr>
          <w:p>
            <w:pPr>
              <w:spacing w:after="0" w:line="240" w:lineRule="auto"/>
              <w:rPr>
                <w:rFonts w:ascii="Arial" w:eastAsia="Arial" w:hAnsi="Arial" w:cs="Arial"/>
                <w:sz w:val="18"/>
                <w:szCs w:val="18"/>
              </w:rPr>
            </w:pPr>
            <w:r>
              <w:rPr>
                <w:rFonts w:ascii="Arial" w:eastAsia="Arial" w:hAnsi="Arial" w:cs="Arial"/>
                <w:sz w:val="18"/>
                <w:szCs w:val="18"/>
              </w:rPr>
              <w:t>Prueba conjunta de interacciones: F=0,36 (p=0,698); dominancia estandarizada: p=0,772; correlación rp–Iliq baja y estable entre subperíodos</w:t>
            </w:r>
          </w:p>
        </w:tc>
        <w:tc>
          <w:tcPr>
            <w:tcW w:w="2026" w:type="dxa"/>
            <w:vAlign w:val="center"/>
          </w:tcPr>
          <w:p>
            <w:pPr>
              <w:spacing w:after="0" w:line="240" w:lineRule="auto"/>
              <w:jc w:val="center"/>
              <w:rPr>
                <w:rFonts w:ascii="Arial" w:eastAsia="Arial" w:hAnsi="Arial" w:cs="Arial"/>
                <w:b/>
                <w:sz w:val="18"/>
                <w:szCs w:val="18"/>
              </w:rPr>
            </w:pPr>
            <w:r>
              <w:rPr>
                <w:rFonts w:ascii="Arial" w:eastAsia="Arial" w:hAnsi="Arial" w:cs="Arial"/>
                <w:b/>
                <w:sz w:val="18"/>
                <w:szCs w:val="18"/>
              </w:rPr>
              <w:t>Confirmada</w:t>
            </w:r>
          </w:p>
        </w:tc>
      </w:tr>
      <w:tr>
        <w:tc>
          <w:tcPr>
            <w:tcW w:w="3100" w:type="dxa"/>
            <w:vAlign w:val="center"/>
          </w:tcPr>
          <w:p>
            <w:pPr>
              <w:spacing w:after="0" w:line="240" w:lineRule="auto"/>
              <w:rPr>
                <w:rFonts w:ascii="Arial" w:eastAsia="Arial" w:hAnsi="Arial" w:cs="Arial"/>
                <w:sz w:val="18"/>
                <w:szCs w:val="18"/>
              </w:rPr>
            </w:pPr>
            <w:r>
              <w:rPr>
                <w:rFonts w:ascii="Arial" w:eastAsia="Arial" w:hAnsi="Arial" w:cs="Arial"/>
                <w:sz w:val="18"/>
                <w:szCs w:val="18"/>
              </w:rPr>
              <w:t>Quiebre estructural endógeno en 2011</w:t>
            </w:r>
          </w:p>
        </w:tc>
        <w:tc>
          <w:tcPr>
            <w:tcW w:w="3900" w:type="dxa"/>
            <w:vAlign w:val="center"/>
          </w:tcPr>
          <w:p>
            <w:pPr>
              <w:spacing w:after="0" w:line="240" w:lineRule="auto"/>
              <w:rPr>
                <w:rFonts w:ascii="Arial" w:eastAsia="Arial" w:hAnsi="Arial" w:cs="Arial"/>
                <w:sz w:val="18"/>
                <w:szCs w:val="18"/>
              </w:rPr>
            </w:pPr>
            <w:r>
              <w:rPr>
                <w:rFonts w:ascii="Arial" w:eastAsia="Arial" w:hAnsi="Arial" w:cs="Arial"/>
                <w:sz w:val="18"/>
                <w:szCs w:val="18"/>
              </w:rPr>
              <w:t>El quiebre dominante se ubica en 2008:T2 (crisis global), no en 2011; 2011:T3 aparece solo como tercer quiebre</w:t>
            </w:r>
          </w:p>
        </w:tc>
        <w:tc>
          <w:tcPr>
            <w:tcW w:w="2026" w:type="dxa"/>
            <w:vAlign w:val="center"/>
          </w:tcPr>
          <w:p>
            <w:pPr>
              <w:spacing w:after="0" w:line="240" w:lineRule="auto"/>
              <w:jc w:val="center"/>
              <w:rPr>
                <w:rFonts w:ascii="Arial" w:eastAsia="Arial" w:hAnsi="Arial" w:cs="Arial"/>
                <w:sz w:val="18"/>
                <w:szCs w:val="18"/>
              </w:rPr>
            </w:pPr>
            <w:r>
              <w:rPr>
                <w:rFonts w:ascii="Arial" w:eastAsia="Arial" w:hAnsi="Arial" w:cs="Arial"/>
                <w:sz w:val="18"/>
                <w:szCs w:val="18"/>
              </w:rPr>
              <w:t>No respaldada por la serie</w:t>
            </w:r>
          </w:p>
        </w:tc>
      </w:tr>
    </w:tbl>
    <w:p>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En síntesis, la investigación documenta con evidencia estadísticamente significativa que la adopción del régimen de Metas de Inflación recompuso el diferencial de retornos entre CDA en guaraníes y en dólares: antes de 2011 la prima de riesgo del tramo corto era negativa —el diferencial nominal ni siquiera compensaba el diferencial de inflación— y tras el cambio de régimen la prima de inflación se comprimió y emergió una prima de riesgo positiva de magnitud considerable (salto de +3,70 puntos porcentuales; p &lt; 0,001). Esa es la primera capa de la hipótesis, confirmada con mayor nitidez que la conjeturada. En su segunda capa, en cambio, la evidencia no respalda un cambio en la estructura interna de la prima: ni la prueba conjunta de interacciones (p = 0,698), ni la dominancia estandarizada (p = 0,772), ni la conjetura específica de migración hacia la iliquidez encuentran sustento; el análisis descriptivo sugiere un mayor protagonismo del componente cambiario y, sobre todo, de los factores financieros globales (la crisis de 2008–2009 y el ciclo de tasas de la Reserva Federal), pero sin significación estadística en el contraste formal. El fenómeno central que esta investigación se propuso documentar —el cambio en la estructura del diferencial tras el cambio de régimen monetario, conforme a la Sección 6— queda así confirmado en su primera capa y acotado en la segunda; la contribución del análisis es precisar dónde ocurrió realmente la recomposición (entre primas, no dentro de la prima) y declarar la sensibilidad de la evidencia de pendientes a la definición de la serie (Sección 8.8). Este resultado, reportado sin ajustes, define además una agenda de investigación futura precisa: examinar los determinantes de la prima de riesgo con series de mayor frecuencia y con proxies de riesgo global no disponibles en las fuentes oficiales comprendidas en el alcance de este estudio.</w:t>
      </w:r>
    </w:p>
    <w:p w14:paraId="3B6B217D"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bookmarkStart w:id="26" w:name="_Toc233474074"/>
      <w:r>
        <w:rPr>
          <w:rFonts w:ascii="Arial" w:eastAsia="Arial" w:hAnsi="Arial" w:cs="Arial"/>
          <w:b/>
          <w:bCs/>
          <w:color w:val="000000"/>
          <w:lang w:val="es-ES" w:eastAsia="es-ES"/>
        </w:rPr>
        <w:lastRenderedPageBreak/>
        <w:t>Referencias</w:t>
      </w:r>
      <w:bookmarkEnd w:id="26"/>
    </w:p>
    <w:p w14:paraId="17F089C9"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Andrews, D. W. K. (1991). Heteroskedasticity and autocorrelation consistent covariance matrix estimation. </w:t>
      </w:r>
      <w:r>
        <w:rPr>
          <w:rFonts w:ascii="Arial" w:eastAsia="Arial" w:hAnsi="Arial" w:cs="Arial"/>
          <w:i/>
          <w:iCs/>
          <w:lang w:val="es-ES" w:eastAsia="es-ES"/>
        </w:rPr>
        <w:t>Econometrica, 59</w:t>
      </w:r>
      <w:r>
        <w:rPr>
          <w:rFonts w:ascii="Arial" w:eastAsia="Arial" w:hAnsi="Arial" w:cs="Arial"/>
          <w:lang w:val="es-ES" w:eastAsia="es-ES"/>
        </w:rPr>
        <w:t>(3), 817–858.</w:t>
      </w:r>
    </w:p>
    <w:p w14:paraId="01E2A18A"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Bai, J., &amp; Perron, P. (1998). Estimating and testing linear models with multiple structural changes. </w:t>
      </w:r>
      <w:r>
        <w:rPr>
          <w:rFonts w:ascii="Arial" w:eastAsia="Arial" w:hAnsi="Arial" w:cs="Arial"/>
          <w:i/>
          <w:iCs/>
          <w:lang w:val="es-ES" w:eastAsia="es-ES"/>
        </w:rPr>
        <w:t>Econometrica, 66</w:t>
      </w:r>
      <w:r>
        <w:rPr>
          <w:rFonts w:ascii="Arial" w:eastAsia="Arial" w:hAnsi="Arial" w:cs="Arial"/>
          <w:lang w:val="es-ES" w:eastAsia="es-ES"/>
        </w:rPr>
        <w:t>(1), 47–78.</w:t>
      </w:r>
    </w:p>
    <w:p w14:paraId="6E5BE37A"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Banco Central del Paraguay. (2011). </w:t>
      </w:r>
      <w:r>
        <w:rPr>
          <w:rFonts w:ascii="Arial" w:eastAsia="Arial" w:hAnsi="Arial" w:cs="Arial"/>
          <w:i/>
          <w:iCs/>
          <w:lang w:val="es-ES" w:eastAsia="es-ES"/>
        </w:rPr>
        <w:t>Resolución N.º 22, Acta N.º 21: Adopción del régimen de Metas de Inflación</w:t>
      </w:r>
      <w:r>
        <w:rPr>
          <w:rFonts w:ascii="Arial" w:eastAsia="Arial" w:hAnsi="Arial" w:cs="Arial"/>
          <w:lang w:val="es-ES" w:eastAsia="es-ES"/>
        </w:rPr>
        <w:t>. https://www.bcp.gov.py</w:t>
      </w:r>
    </w:p>
    <w:p w14:paraId="5632AFF0"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Banco Central del Paraguay. (2024). </w:t>
      </w:r>
      <w:r>
        <w:rPr>
          <w:rFonts w:ascii="Arial" w:eastAsia="Arial" w:hAnsi="Arial" w:cs="Arial"/>
          <w:i/>
          <w:iCs/>
          <w:lang w:val="es-ES" w:eastAsia="es-ES"/>
        </w:rPr>
        <w:t>Estadísticas monetarias y financieras: tasas de interés pasivas, tipo de cambio nominal, dolarización de depósitos y encaje legal</w:t>
      </w:r>
      <w:r>
        <w:rPr>
          <w:rFonts w:ascii="Arial" w:eastAsia="Arial" w:hAnsi="Arial" w:cs="Arial"/>
          <w:lang w:val="es-ES" w:eastAsia="es-ES"/>
        </w:rPr>
        <w:t xml:space="preserve"> [Base de datos]. https://www.bcp.gov.py/estadisticas</w:t>
      </w:r>
    </w:p>
    <w:p>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Bansal, R., &amp; Dahlquist, M. (2000). The forward premium puzzle: Different tales from developed and emerging economies. </w:t>
      </w:r>
      <w:r>
        <w:rPr>
          <w:rFonts w:ascii="Arial" w:eastAsia="Arial" w:hAnsi="Arial" w:cs="Arial"/>
          <w:i/>
          <w:iCs/>
          <w:lang w:val="es-ES" w:eastAsia="es-ES"/>
        </w:rPr>
        <w:t>Journal of International Economics, 51</w:t>
      </w:r>
      <w:r>
        <w:rPr>
          <w:rFonts w:ascii="Arial" w:eastAsia="Arial" w:hAnsi="Arial" w:cs="Arial"/>
          <w:lang w:val="es-ES" w:eastAsia="es-ES"/>
        </w:rPr>
        <w:t>(1), 115–144.</w:t>
      </w:r>
    </w:p>
    <w:p>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Brunnermeier, M. K., Nagel, S., &amp; Pedersen, L. H. (2009). Carry trades and currency crashes. En D. Acemoglu, K. Rogoff &amp; M. Woodford (Eds.), </w:t>
      </w:r>
      <w:r>
        <w:rPr>
          <w:rFonts w:ascii="Arial" w:eastAsia="Arial" w:hAnsi="Arial" w:cs="Arial"/>
          <w:i/>
          <w:iCs/>
          <w:lang w:val="es-ES" w:eastAsia="es-ES"/>
        </w:rPr>
        <w:t>NBER Macroeconomics Annual 2008</w:t>
      </w:r>
      <w:r>
        <w:rPr>
          <w:rFonts w:ascii="Arial" w:eastAsia="Arial" w:hAnsi="Arial" w:cs="Arial"/>
          <w:lang w:val="es-ES" w:eastAsia="es-ES"/>
        </w:rPr>
        <w:t xml:space="preserve"> (Vol. 23, pp. 313–347). University of Chicago Press.</w:t>
      </w:r>
    </w:p>
    <w:p>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Calvo, G. A., &amp; Reinhart, C. M. (2002). Fear of floating. </w:t>
      </w:r>
      <w:r>
        <w:rPr>
          <w:rFonts w:ascii="Arial" w:eastAsia="Arial" w:hAnsi="Arial" w:cs="Arial"/>
          <w:i/>
          <w:iCs/>
          <w:lang w:val="es-ES" w:eastAsia="es-ES"/>
        </w:rPr>
        <w:t xml:space="preserve">The Quarterly Journal of Economics, 117</w:t>
      </w:r>
      <w:r>
        <w:rPr>
          <w:rFonts w:ascii="Arial" w:eastAsia="Arial" w:hAnsi="Arial" w:cs="Arial"/>
          <w:lang w:val="es-ES" w:eastAsia="es-ES"/>
        </w:rPr>
        <w:t xml:space="preserve">(2), 379–408.</w:t>
      </w:r>
    </w:p>
    <w:p>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Calvo, G. A., &amp; Végh, C. A. (1992). Currency substitution in developing countries: An introduction. </w:t>
      </w:r>
      <w:r>
        <w:rPr>
          <w:rFonts w:ascii="Arial" w:eastAsia="Arial" w:hAnsi="Arial" w:cs="Arial"/>
          <w:i/>
          <w:iCs/>
          <w:lang w:val="es-ES" w:eastAsia="es-ES"/>
        </w:rPr>
        <w:t>Revista de Análisis Económico, 7</w:t>
      </w:r>
      <w:r>
        <w:rPr>
          <w:rFonts w:ascii="Arial" w:eastAsia="Arial" w:hAnsi="Arial" w:cs="Arial"/>
          <w:lang w:val="es-ES" w:eastAsia="es-ES"/>
        </w:rPr>
        <w:t>(1), 3–27.</w:t>
      </w:r>
    </w:p>
    <w:p>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Ditzen, J., Karavias, Y., &amp; Westerlund, J. (2021). </w:t>
      </w:r>
      <w:r>
        <w:rPr>
          <w:rFonts w:ascii="Arial" w:eastAsia="Arial" w:hAnsi="Arial" w:cs="Arial"/>
          <w:i/>
          <w:iCs/>
          <w:lang w:val="es-ES" w:eastAsia="es-ES"/>
        </w:rPr>
        <w:t xml:space="preserve">Testing and estimating structural breaks in time series and panel data in Stata</w:t>
      </w:r>
      <w:r>
        <w:rPr>
          <w:rFonts w:ascii="Arial" w:eastAsia="Arial" w:hAnsi="Arial" w:cs="Arial"/>
          <w:lang w:val="es-ES" w:eastAsia="es-ES"/>
        </w:rPr>
        <w:t xml:space="preserve"> (arXiv: 2110.14550). arXiv.</w:t>
      </w:r>
    </w:p>
    <w:p w14:paraId="71947B40"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Engel, C. (1996). The forward discount anomaly and the risk premium: A survey of recent evidence. </w:t>
      </w:r>
      <w:r>
        <w:rPr>
          <w:rFonts w:ascii="Arial" w:eastAsia="Arial" w:hAnsi="Arial" w:cs="Arial"/>
          <w:i/>
          <w:iCs/>
          <w:lang w:val="es-ES" w:eastAsia="es-ES"/>
        </w:rPr>
        <w:t>Journal of Empirical Finance, 3</w:t>
      </w:r>
      <w:r>
        <w:rPr>
          <w:rFonts w:ascii="Arial" w:eastAsia="Arial" w:hAnsi="Arial" w:cs="Arial"/>
          <w:lang w:val="es-ES" w:eastAsia="es-ES"/>
        </w:rPr>
        <w:t>(2), 123–192.</w:t>
      </w:r>
    </w:p>
    <w:p w14:paraId="68494A1F"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Fama, E. F. (1984). Forward and spot exchange rates. </w:t>
      </w:r>
      <w:r>
        <w:rPr>
          <w:rFonts w:ascii="Arial" w:eastAsia="Arial" w:hAnsi="Arial" w:cs="Arial"/>
          <w:i/>
          <w:iCs/>
          <w:lang w:val="es-ES" w:eastAsia="es-ES"/>
        </w:rPr>
        <w:t>Journal of Monetary Economics, 14</w:t>
      </w:r>
      <w:r>
        <w:rPr>
          <w:rFonts w:ascii="Arial" w:eastAsia="Arial" w:hAnsi="Arial" w:cs="Arial"/>
          <w:lang w:val="es-ES" w:eastAsia="es-ES"/>
        </w:rPr>
        <w:t>(3), 319–338.</w:t>
      </w:r>
    </w:p>
    <w:p w14:paraId="5EAD7B79"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Federal Reserve System. (2024). </w:t>
      </w:r>
      <w:r>
        <w:rPr>
          <w:rFonts w:ascii="Arial" w:eastAsia="Arial" w:hAnsi="Arial" w:cs="Arial"/>
          <w:i/>
          <w:iCs/>
          <w:lang w:val="es-ES" w:eastAsia="es-ES"/>
        </w:rPr>
        <w:t>Federal funds effective rate</w:t>
      </w:r>
      <w:r>
        <w:rPr>
          <w:rFonts w:ascii="Arial" w:eastAsia="Arial" w:hAnsi="Arial" w:cs="Arial"/>
          <w:lang w:val="es-ES" w:eastAsia="es-ES"/>
        </w:rPr>
        <w:t xml:space="preserve"> [Base de datos]. FRED Economic Data. https://fred.stlouisfed.org/series/FEDFUNDS</w:t>
      </w:r>
    </w:p>
    <w:p w14:paraId="4066C698"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Fisher, I. (1930). </w:t>
      </w:r>
      <w:r>
        <w:rPr>
          <w:rFonts w:ascii="Arial" w:eastAsia="Arial" w:hAnsi="Arial" w:cs="Arial"/>
          <w:i/>
          <w:iCs/>
          <w:lang w:val="es-ES" w:eastAsia="es-ES"/>
        </w:rPr>
        <w:t>The theory of interest</w:t>
      </w:r>
      <w:r>
        <w:rPr>
          <w:rFonts w:ascii="Arial" w:eastAsia="Arial" w:hAnsi="Arial" w:cs="Arial"/>
          <w:lang w:val="es-ES" w:eastAsia="es-ES"/>
        </w:rPr>
        <w:t>. Macmillan.</w:t>
      </w:r>
    </w:p>
    <w:p w14:paraId="41DD95CD"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Frenkel, J. A. (1973). Elasticities and the interest parity theory. </w:t>
      </w:r>
      <w:r>
        <w:rPr>
          <w:rFonts w:ascii="Arial" w:eastAsia="Arial" w:hAnsi="Arial" w:cs="Arial"/>
          <w:i/>
          <w:iCs/>
          <w:lang w:val="es-ES" w:eastAsia="es-ES"/>
        </w:rPr>
        <w:t>Journal of Political Economy, 81</w:t>
      </w:r>
      <w:r>
        <w:rPr>
          <w:rFonts w:ascii="Arial" w:eastAsia="Arial" w:hAnsi="Arial" w:cs="Arial"/>
          <w:lang w:val="es-ES" w:eastAsia="es-ES"/>
        </w:rPr>
        <w:t>(3), 741–747.</w:t>
      </w:r>
    </w:p>
    <w:p w14:paraId="6CC8B87B"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Hansen, L. P., &amp; Hodrick, R. J. (1980). Forward exchange rates as optimal predictors of future spot rates: An econometric analysis. </w:t>
      </w:r>
      <w:r>
        <w:rPr>
          <w:rFonts w:ascii="Arial" w:eastAsia="Arial" w:hAnsi="Arial" w:cs="Arial"/>
          <w:i/>
          <w:iCs/>
          <w:lang w:val="es-ES" w:eastAsia="es-ES"/>
        </w:rPr>
        <w:t>Journal of Political Economy, 88</w:t>
      </w:r>
      <w:r>
        <w:rPr>
          <w:rFonts w:ascii="Arial" w:eastAsia="Arial" w:hAnsi="Arial" w:cs="Arial"/>
          <w:lang w:val="es-ES" w:eastAsia="es-ES"/>
        </w:rPr>
        <w:t>(5), 829–853.</w:t>
      </w:r>
    </w:p>
    <w:p w14:paraId="6B5A2CCF"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Ize, A., &amp; Levy-Yeyati, E. (2003). Financial dollarization. </w:t>
      </w:r>
      <w:r>
        <w:rPr>
          <w:rFonts w:ascii="Arial" w:eastAsia="Arial" w:hAnsi="Arial" w:cs="Arial"/>
          <w:i/>
          <w:iCs/>
          <w:lang w:val="es-ES" w:eastAsia="es-ES"/>
        </w:rPr>
        <w:t>Journal of International Economics, 59</w:t>
      </w:r>
      <w:r>
        <w:rPr>
          <w:rFonts w:ascii="Arial" w:eastAsia="Arial" w:hAnsi="Arial" w:cs="Arial"/>
          <w:lang w:val="es-ES" w:eastAsia="es-ES"/>
        </w:rPr>
        <w:t>(2), 323–347.</w:t>
      </w:r>
    </w:p>
    <w:p w14:paraId="7D75F137"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Keynes, J. M. (1923). </w:t>
      </w:r>
      <w:r>
        <w:rPr>
          <w:rFonts w:ascii="Arial" w:eastAsia="Arial" w:hAnsi="Arial" w:cs="Arial"/>
          <w:i/>
          <w:iCs/>
          <w:lang w:val="es-ES" w:eastAsia="es-ES"/>
        </w:rPr>
        <w:t>A tract on monetary reform</w:t>
      </w:r>
      <w:r>
        <w:rPr>
          <w:rFonts w:ascii="Arial" w:eastAsia="Arial" w:hAnsi="Arial" w:cs="Arial"/>
          <w:lang w:val="es-ES" w:eastAsia="es-ES"/>
        </w:rPr>
        <w:t>. Macmillan.</w:t>
      </w:r>
    </w:p>
    <w:p>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Krasker, W. S. (1980). The peso problem in testing the efficiency of forward exchange markets. </w:t>
      </w:r>
      <w:r>
        <w:rPr>
          <w:rFonts w:ascii="Arial" w:eastAsia="Arial" w:hAnsi="Arial" w:cs="Arial"/>
          <w:i/>
          <w:iCs/>
          <w:lang w:val="es-ES" w:eastAsia="es-ES"/>
        </w:rPr>
        <w:t>Journal of Monetary Economics, 6</w:t>
      </w:r>
      <w:r>
        <w:rPr>
          <w:rFonts w:ascii="Arial" w:eastAsia="Arial" w:hAnsi="Arial" w:cs="Arial"/>
          <w:lang w:val="es-ES" w:eastAsia="es-ES"/>
        </w:rPr>
        <w:t>(2), 269–276.</w:t>
      </w:r>
    </w:p>
    <w:p>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Leiderman, L., Maino, R., &amp; Parrado, E. (2006). </w:t>
      </w:r>
      <w:r>
        <w:rPr>
          <w:rFonts w:ascii="Arial" w:eastAsia="Arial" w:hAnsi="Arial" w:cs="Arial"/>
          <w:i/>
          <w:iCs/>
          <w:lang w:val="es-ES" w:eastAsia="es-ES"/>
        </w:rPr>
        <w:t>Inflation targeting in dollarized economies</w:t>
      </w:r>
      <w:r>
        <w:rPr>
          <w:rFonts w:ascii="Arial" w:eastAsia="Arial" w:hAnsi="Arial" w:cs="Arial"/>
          <w:lang w:val="es-ES" w:eastAsia="es-ES"/>
        </w:rPr>
        <w:t xml:space="preserve"> (IMF Working Paper No. 06/157). International Monetary Fund.</w:t>
      </w:r>
    </w:p>
    <w:p>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Lewis, K. K. (1995). Puzzles in international financial markets. En G. M. Grossman &amp; K. Rogoff (Eds.), </w:t>
      </w:r>
      <w:r>
        <w:rPr>
          <w:rFonts w:ascii="Arial" w:eastAsia="Arial" w:hAnsi="Arial" w:cs="Arial"/>
          <w:i/>
          <w:iCs/>
          <w:lang w:val="es-ES" w:eastAsia="es-ES"/>
        </w:rPr>
        <w:t xml:space="preserve">Handbook of International Economics</w:t>
      </w:r>
      <w:r>
        <w:rPr>
          <w:rFonts w:ascii="Arial" w:eastAsia="Arial" w:hAnsi="Arial" w:cs="Arial"/>
          <w:lang w:val="es-ES" w:eastAsia="es-ES"/>
        </w:rPr>
        <w:t xml:space="preserve"> (Vol. 3, pp. 1913–1971). Elsevier.</w:t>
      </w:r>
    </w:p>
    <w:p>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Ley N.º 489/95, Orgánica del Banco Central del Paraguay (1995). </w:t>
      </w:r>
      <w:r>
        <w:rPr>
          <w:rFonts w:ascii="Arial" w:eastAsia="Arial" w:hAnsi="Arial" w:cs="Arial"/>
          <w:i/>
          <w:iCs/>
          <w:lang w:val="es-ES" w:eastAsia="es-ES"/>
        </w:rPr>
        <w:t xml:space="preserve">Gaceta Oficial de la República del Paraguay</w:t>
      </w:r>
      <w:r>
        <w:rPr>
          <w:rFonts w:ascii="Arial" w:eastAsia="Arial" w:hAnsi="Arial" w:cs="Arial"/>
          <w:lang w:val="es-ES" w:eastAsia="es-ES"/>
        </w:rPr>
        <w:t xml:space="preserve">.</w:t>
      </w:r>
    </w:p>
    <w:p>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Lustig, H., &amp; Verdelhan, A. (2007). The cross section of foreign currency risk premia and consumption growth risk. </w:t>
      </w:r>
      <w:r>
        <w:rPr>
          <w:rFonts w:ascii="Arial" w:eastAsia="Arial" w:hAnsi="Arial" w:cs="Arial"/>
          <w:i/>
          <w:iCs/>
          <w:lang w:val="es-ES" w:eastAsia="es-ES"/>
        </w:rPr>
        <w:t xml:space="preserve">American Economic Review, 97</w:t>
      </w:r>
      <w:r>
        <w:rPr>
          <w:rFonts w:ascii="Arial" w:eastAsia="Arial" w:hAnsi="Arial" w:cs="Arial"/>
          <w:lang w:val="es-ES" w:eastAsia="es-ES"/>
        </w:rPr>
        <w:t xml:space="preserve">(1), 89–117.</w:t>
      </w:r>
    </w:p>
    <w:p>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Malmendier, U., &amp; Nagel, S. (2011). Depression babies: Do macroeconomic experiences affect risk taking? </w:t>
      </w:r>
      <w:r>
        <w:rPr>
          <w:rFonts w:ascii="Arial" w:eastAsia="Arial" w:hAnsi="Arial" w:cs="Arial"/>
          <w:i/>
          <w:iCs/>
          <w:lang w:val="es-ES" w:eastAsia="es-ES"/>
        </w:rPr>
        <w:t>Quarterly Journal of Economics, 126</w:t>
      </w:r>
      <w:r>
        <w:rPr>
          <w:rFonts w:ascii="Arial" w:eastAsia="Arial" w:hAnsi="Arial" w:cs="Arial"/>
          <w:lang w:val="es-ES" w:eastAsia="es-ES"/>
        </w:rPr>
        <w:t>(1), 373–416.</w:t>
      </w:r>
    </w:p>
    <w:p w14:paraId="30B3BA1A"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Mishkin, F. S. (2004). </w:t>
      </w:r>
      <w:r>
        <w:rPr>
          <w:rFonts w:ascii="Arial" w:eastAsia="Arial" w:hAnsi="Arial" w:cs="Arial"/>
          <w:i/>
          <w:iCs/>
          <w:lang w:val="es-ES" w:eastAsia="es-ES"/>
        </w:rPr>
        <w:t>Can inflation targeting work in emerging market countries?</w:t>
      </w:r>
      <w:r>
        <w:rPr>
          <w:rFonts w:ascii="Arial" w:eastAsia="Arial" w:hAnsi="Arial" w:cs="Arial"/>
          <w:lang w:val="es-ES" w:eastAsia="es-ES"/>
        </w:rPr>
        <w:t xml:space="preserve"> (NBER Working Paper No. 10646). National Bureau of Economic Research.</w:t>
      </w:r>
    </w:p>
    <w:p w14:paraId="79F7394E"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Mishkin, F. S., &amp; Schmidt-Hebbel, K. (2007). Does inflation targeting make a difference? En F. S. Mishkin &amp; K. Schmidt-Hebbel (Eds.), </w:t>
      </w:r>
      <w:r>
        <w:rPr>
          <w:rFonts w:ascii="Arial" w:eastAsia="Arial" w:hAnsi="Arial" w:cs="Arial"/>
          <w:i/>
          <w:iCs/>
          <w:lang w:val="es-ES" w:eastAsia="es-ES"/>
        </w:rPr>
        <w:t>Monetary policy under inflation targeting</w:t>
      </w:r>
      <w:r>
        <w:rPr>
          <w:rFonts w:ascii="Arial" w:eastAsia="Arial" w:hAnsi="Arial" w:cs="Arial"/>
          <w:lang w:val="es-ES" w:eastAsia="es-ES"/>
        </w:rPr>
        <w:t xml:space="preserve"> (pp. 291–372). Banco Central de Chile.</w:t>
      </w:r>
    </w:p>
    <w:p w14:paraId="1C5E5894"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Mundell, R. A. (1963). Capital mobility and stabilization policy under fixed and flexible exchange rates. </w:t>
      </w:r>
      <w:r>
        <w:rPr>
          <w:rFonts w:ascii="Arial" w:eastAsia="Arial" w:hAnsi="Arial" w:cs="Arial"/>
          <w:i/>
          <w:iCs/>
          <w:lang w:val="es-ES" w:eastAsia="es-ES"/>
        </w:rPr>
        <w:t>Canadian Journal of Economics and Political Science, 29</w:t>
      </w:r>
      <w:r>
        <w:rPr>
          <w:rFonts w:ascii="Arial" w:eastAsia="Arial" w:hAnsi="Arial" w:cs="Arial"/>
          <w:lang w:val="es-ES" w:eastAsia="es-ES"/>
        </w:rPr>
        <w:t>(4), 475–485.</w:t>
      </w:r>
    </w:p>
    <w:p w14:paraId="6A78E753"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Newey, W. K., &amp; West, K. D. (1987). A simple, positive semi-definite, heteroskedasticity and autocorrelation consistent covariance matrix. </w:t>
      </w:r>
      <w:r>
        <w:rPr>
          <w:rFonts w:ascii="Arial" w:eastAsia="Arial" w:hAnsi="Arial" w:cs="Arial"/>
          <w:i/>
          <w:iCs/>
          <w:lang w:val="es-ES" w:eastAsia="es-ES"/>
        </w:rPr>
        <w:t>Econometrica, 55</w:t>
      </w:r>
      <w:r>
        <w:rPr>
          <w:rFonts w:ascii="Arial" w:eastAsia="Arial" w:hAnsi="Arial" w:cs="Arial"/>
          <w:lang w:val="es-ES" w:eastAsia="es-ES"/>
        </w:rPr>
        <w:t>(3), 703–708.</w:t>
      </w:r>
    </w:p>
    <w:p w14:paraId="6E11A7FF" w14:textId="77777777" w:rsidR="00D27E85" w:rsidRPr="00DF3903" w:rsidRDefault="00D27E85" w:rsidP="00D27E85">
      <w:pPr>
        <w:spacing w:after="120" w:line="240" w:lineRule="auto"/>
        <w:ind w:left="720" w:hanging="720"/>
        <w:jc w:val="both"/>
        <w:rPr>
          <w:rFonts w:ascii="Arial" w:eastAsia="Arial" w:hAnsi="Arial" w:cs="Arial"/>
          <w:lang w:val="es-ES" w:eastAsia="es-ES"/>
        </w:rPr>
      </w:pPr>
      <w:r>
        <w:rPr>
          <w:rFonts w:ascii="Arial" w:eastAsia="Arial" w:hAnsi="Arial" w:cs="Arial"/>
          <w:lang w:val="es-ES" w:eastAsia="es-ES"/>
        </w:rPr>
        <w:t xml:space="preserve">Svensson, L. E. O. (1997). Inflation forecast targeting: Implementing and monitoring inflation targets. </w:t>
      </w:r>
      <w:r>
        <w:rPr>
          <w:rFonts w:ascii="Arial" w:eastAsia="Arial" w:hAnsi="Arial" w:cs="Arial"/>
          <w:i/>
          <w:iCs/>
          <w:lang w:val="es-ES" w:eastAsia="es-ES"/>
        </w:rPr>
        <w:t>European Economic Review, 41</w:t>
      </w:r>
      <w:r>
        <w:rPr>
          <w:rFonts w:ascii="Arial" w:eastAsia="Arial" w:hAnsi="Arial" w:cs="Arial"/>
          <w:lang w:val="es-ES" w:eastAsia="es-ES"/>
        </w:rPr>
        <w:t>(6), 1111–1146.</w:t>
      </w:r>
    </w:p>
    <w:p w14:paraId="3666CFEF" w14:textId="77777777" w:rsidR="00D27E85" w:rsidRPr="001444A5" w:rsidRDefault="00D27E85" w:rsidP="00D27E85">
      <w:pPr>
        <w:spacing w:after="0" w:line="360" w:lineRule="auto"/>
        <w:jc w:val="both"/>
        <w:rPr>
          <w:rFonts w:ascii="Times New Roman" w:hAnsi="Times New Roman" w:cs="Times New Roman"/>
          <w:color w:val="000000" w:themeColor="text1"/>
        </w:rPr>
      </w:pPr>
    </w:p>
    <w:p w14:paraId="38850C82" w14:textId="4771971A" w:rsidR="0076436A" w:rsidRPr="001444A5" w:rsidRDefault="0076436A" w:rsidP="00DF3903">
      <w:pPr>
        <w:spacing w:after="0" w:line="360" w:lineRule="auto"/>
        <w:jc w:val="both"/>
        <w:rPr>
          <w:rFonts w:ascii="Times New Roman" w:hAnsi="Times New Roman" w:cs="Times New Roman"/>
          <w:color w:val="000000" w:themeColor="text1"/>
        </w:rPr>
      </w:pPr>
    </w:p>
    <w:sectPr w:rsidR="0076436A" w:rsidRPr="001444A5" w:rsidSect="00D27E85">
      <w:footerReference w:type="default" r:id="rId16"/>
      <w:pgSz w:w="11906" w:h="16838"/>
      <w:pgMar w:top="1417" w:right="1417"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EB347" w14:textId="77777777" w:rsidR="002D0124" w:rsidRDefault="002D0124" w:rsidP="005924D5">
      <w:pPr>
        <w:spacing w:after="0" w:line="240" w:lineRule="auto"/>
      </w:pPr>
      <w:r>
        <w:separator/>
      </w:r>
    </w:p>
  </w:endnote>
  <w:endnote w:type="continuationSeparator" w:id="0">
    <w:p w14:paraId="577CCC35" w14:textId="77777777" w:rsidR="002D0124" w:rsidRDefault="002D0124" w:rsidP="00592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CC77" w14:textId="77777777" w:rsidR="00B62E0F" w:rsidRDefault="00B62E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D635" w14:textId="2B6FD36E" w:rsidR="005924D5" w:rsidRPr="005924D5" w:rsidRDefault="005924D5">
    <w:pPr>
      <w:pStyle w:val="Piedepgina"/>
      <w:jc w:val="center"/>
      <w:rPr>
        <w:caps/>
      </w:rPr>
    </w:pPr>
  </w:p>
  <w:p w14:paraId="492AB292" w14:textId="77777777" w:rsidR="005924D5" w:rsidRDefault="005924D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CB11" w14:textId="77777777" w:rsidR="00B62E0F" w:rsidRDefault="00B62E0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326E" w14:textId="77777777" w:rsidR="00DF3903" w:rsidRDefault="00DF3903">
    <w:pPr>
      <w:jc w:val="center"/>
    </w:pPr>
    <w:r>
      <w:rPr>
        <w:sz w:val="18"/>
        <w:szCs w:val="18"/>
      </w:rPr>
      <w:fldChar w:fldCharType="begin"/>
    </w:r>
    <w:r>
      <w:rPr>
        <w:sz w:val="18"/>
        <w:szCs w:val="18"/>
      </w:rPr>
      <w:instrText>PAGE</w:instrText>
    </w:r>
    <w:r>
      <w:rPr>
        <w:sz w:val="18"/>
        <w:szCs w:val="18"/>
      </w:rPr>
      <w:fldChar w:fldCharType="separate"/>
    </w:r>
    <w:r>
      <w:rPr>
        <w:noProof/>
        <w:sz w:val="18"/>
        <w:szCs w:val="18"/>
      </w:rPr>
      <w:t>i</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C5B0" w14:textId="77777777" w:rsidR="00D27E85" w:rsidRDefault="00D27E85">
    <w:pPr>
      <w:jc w:val="center"/>
    </w:pP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89795" w14:textId="77777777" w:rsidR="002D0124" w:rsidRDefault="002D0124" w:rsidP="005924D5">
      <w:pPr>
        <w:spacing w:after="0" w:line="240" w:lineRule="auto"/>
      </w:pPr>
      <w:r>
        <w:separator/>
      </w:r>
    </w:p>
  </w:footnote>
  <w:footnote w:type="continuationSeparator" w:id="0">
    <w:p w14:paraId="4CA95F1D" w14:textId="77777777" w:rsidR="002D0124" w:rsidRDefault="002D0124" w:rsidP="00592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0BB3" w14:textId="77777777" w:rsidR="00B62E0F" w:rsidRDefault="00B62E0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036E" w14:textId="77777777" w:rsidR="00B62E0F" w:rsidRDefault="00B62E0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C3E0B" w14:textId="77777777" w:rsidR="00B62E0F" w:rsidRDefault="00B62E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409"/>
    <w:multiLevelType w:val="hybridMultilevel"/>
    <w:tmpl w:val="DDACC1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0D69E0"/>
    <w:multiLevelType w:val="multilevel"/>
    <w:tmpl w:val="1A7A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F73E8"/>
    <w:multiLevelType w:val="multilevel"/>
    <w:tmpl w:val="CF044EE6"/>
    <w:lvl w:ilvl="0">
      <w:start w:val="1"/>
      <w:numFmt w:val="bullet"/>
      <w:pStyle w:val="Listaconnmero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1144CE"/>
    <w:multiLevelType w:val="multilevel"/>
    <w:tmpl w:val="A0902D18"/>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EA34A0"/>
    <w:multiLevelType w:val="hybridMultilevel"/>
    <w:tmpl w:val="121C317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1BB76EF7"/>
    <w:multiLevelType w:val="hybridMultilevel"/>
    <w:tmpl w:val="92E4A5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D922A7B"/>
    <w:multiLevelType w:val="multilevel"/>
    <w:tmpl w:val="D62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A3EB3"/>
    <w:multiLevelType w:val="multilevel"/>
    <w:tmpl w:val="3198E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AC4999"/>
    <w:multiLevelType w:val="hybridMultilevel"/>
    <w:tmpl w:val="C12C26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7AB5FBA"/>
    <w:multiLevelType w:val="multilevel"/>
    <w:tmpl w:val="5808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6199B"/>
    <w:multiLevelType w:val="multilevel"/>
    <w:tmpl w:val="FE4A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82A51"/>
    <w:multiLevelType w:val="hybridMultilevel"/>
    <w:tmpl w:val="1C0098B2"/>
    <w:lvl w:ilvl="0" w:tplc="49DC036E">
      <w:start w:val="1"/>
      <w:numFmt w:val="decimal"/>
      <w:lvlText w:val="%1)"/>
      <w:lvlJc w:val="left"/>
      <w:pPr>
        <w:ind w:left="720" w:hanging="360"/>
      </w:pPr>
    </w:lvl>
    <w:lvl w:ilvl="1" w:tplc="0C848C0A">
      <w:numFmt w:val="decimal"/>
      <w:lvlText w:val=""/>
      <w:lvlJc w:val="left"/>
    </w:lvl>
    <w:lvl w:ilvl="2" w:tplc="FAD0B3D6">
      <w:numFmt w:val="decimal"/>
      <w:lvlText w:val=""/>
      <w:lvlJc w:val="left"/>
    </w:lvl>
    <w:lvl w:ilvl="3" w:tplc="AD6EF8E0">
      <w:numFmt w:val="decimal"/>
      <w:lvlText w:val=""/>
      <w:lvlJc w:val="left"/>
    </w:lvl>
    <w:lvl w:ilvl="4" w:tplc="2D847522">
      <w:numFmt w:val="decimal"/>
      <w:lvlText w:val=""/>
      <w:lvlJc w:val="left"/>
    </w:lvl>
    <w:lvl w:ilvl="5" w:tplc="2CFE4FEE">
      <w:numFmt w:val="decimal"/>
      <w:lvlText w:val=""/>
      <w:lvlJc w:val="left"/>
    </w:lvl>
    <w:lvl w:ilvl="6" w:tplc="ADB8E8B6">
      <w:numFmt w:val="decimal"/>
      <w:lvlText w:val=""/>
      <w:lvlJc w:val="left"/>
    </w:lvl>
    <w:lvl w:ilvl="7" w:tplc="38547F8C">
      <w:numFmt w:val="decimal"/>
      <w:lvlText w:val=""/>
      <w:lvlJc w:val="left"/>
    </w:lvl>
    <w:lvl w:ilvl="8" w:tplc="89A851FA">
      <w:numFmt w:val="decimal"/>
      <w:lvlText w:val=""/>
      <w:lvlJc w:val="left"/>
    </w:lvl>
  </w:abstractNum>
  <w:abstractNum w:abstractNumId="12" w15:restartNumberingAfterBreak="0">
    <w:nsid w:val="423C30E4"/>
    <w:multiLevelType w:val="multilevel"/>
    <w:tmpl w:val="C7F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F727A"/>
    <w:multiLevelType w:val="multilevel"/>
    <w:tmpl w:val="0CBC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255E7"/>
    <w:multiLevelType w:val="hybridMultilevel"/>
    <w:tmpl w:val="1D76BC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AA60834"/>
    <w:multiLevelType w:val="multilevel"/>
    <w:tmpl w:val="A9CEE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6D3894"/>
    <w:multiLevelType w:val="multilevel"/>
    <w:tmpl w:val="A48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B7229"/>
    <w:multiLevelType w:val="hybridMultilevel"/>
    <w:tmpl w:val="D7F6A1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A744B3"/>
    <w:multiLevelType w:val="hybridMultilevel"/>
    <w:tmpl w:val="5EDEF8EC"/>
    <w:lvl w:ilvl="0" w:tplc="0C0A0001">
      <w:start w:val="1"/>
      <w:numFmt w:val="bullet"/>
      <w:lvlText w:val=""/>
      <w:lvlJc w:val="left"/>
      <w:pPr>
        <w:ind w:left="783" w:hanging="360"/>
      </w:pPr>
      <w:rPr>
        <w:rFonts w:ascii="Symbol" w:hAnsi="Symbol"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19" w15:restartNumberingAfterBreak="0">
    <w:nsid w:val="58660C86"/>
    <w:multiLevelType w:val="hybridMultilevel"/>
    <w:tmpl w:val="C81C7AF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91F30D7"/>
    <w:multiLevelType w:val="hybridMultilevel"/>
    <w:tmpl w:val="A92A23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A843AE4"/>
    <w:multiLevelType w:val="multilevel"/>
    <w:tmpl w:val="FC5E4852"/>
    <w:lvl w:ilvl="0">
      <w:start w:val="1"/>
      <w:numFmt w:val="bullet"/>
      <w:pStyle w:val="Listaconvieta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641CD1"/>
    <w:multiLevelType w:val="hybridMultilevel"/>
    <w:tmpl w:val="50B21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DD33F82"/>
    <w:multiLevelType w:val="hybridMultilevel"/>
    <w:tmpl w:val="604EE7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ECF66A0"/>
    <w:multiLevelType w:val="hybridMultilevel"/>
    <w:tmpl w:val="C4B00AFE"/>
    <w:lvl w:ilvl="0" w:tplc="01CC713A">
      <w:start w:val="1"/>
      <w:numFmt w:val="bullet"/>
      <w:lvlText w:val="•"/>
      <w:lvlJc w:val="left"/>
      <w:pPr>
        <w:ind w:left="720" w:hanging="360"/>
      </w:pPr>
    </w:lvl>
    <w:lvl w:ilvl="1" w:tplc="1B9C85B4">
      <w:numFmt w:val="decimal"/>
      <w:lvlText w:val=""/>
      <w:lvlJc w:val="left"/>
    </w:lvl>
    <w:lvl w:ilvl="2" w:tplc="C2D86CBA">
      <w:numFmt w:val="decimal"/>
      <w:lvlText w:val=""/>
      <w:lvlJc w:val="left"/>
    </w:lvl>
    <w:lvl w:ilvl="3" w:tplc="776025FE">
      <w:numFmt w:val="decimal"/>
      <w:lvlText w:val=""/>
      <w:lvlJc w:val="left"/>
    </w:lvl>
    <w:lvl w:ilvl="4" w:tplc="F01878A6">
      <w:numFmt w:val="decimal"/>
      <w:lvlText w:val=""/>
      <w:lvlJc w:val="left"/>
    </w:lvl>
    <w:lvl w:ilvl="5" w:tplc="D664406A">
      <w:numFmt w:val="decimal"/>
      <w:lvlText w:val=""/>
      <w:lvlJc w:val="left"/>
    </w:lvl>
    <w:lvl w:ilvl="6" w:tplc="B2529B72">
      <w:numFmt w:val="decimal"/>
      <w:lvlText w:val=""/>
      <w:lvlJc w:val="left"/>
    </w:lvl>
    <w:lvl w:ilvl="7" w:tplc="E3B42CB4">
      <w:numFmt w:val="decimal"/>
      <w:lvlText w:val=""/>
      <w:lvlJc w:val="left"/>
    </w:lvl>
    <w:lvl w:ilvl="8" w:tplc="62B09956">
      <w:numFmt w:val="decimal"/>
      <w:lvlText w:val=""/>
      <w:lvlJc w:val="left"/>
    </w:lvl>
  </w:abstractNum>
  <w:abstractNum w:abstractNumId="25" w15:restartNumberingAfterBreak="0">
    <w:nsid w:val="60D763F6"/>
    <w:multiLevelType w:val="multilevel"/>
    <w:tmpl w:val="2C04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61386"/>
    <w:multiLevelType w:val="hybridMultilevel"/>
    <w:tmpl w:val="8182C1B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6A3126D4"/>
    <w:multiLevelType w:val="hybridMultilevel"/>
    <w:tmpl w:val="AE9416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EAB771A"/>
    <w:multiLevelType w:val="hybridMultilevel"/>
    <w:tmpl w:val="CD1C4D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EBB3F3E"/>
    <w:multiLevelType w:val="hybridMultilevel"/>
    <w:tmpl w:val="FA9CB6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B7A57C5"/>
    <w:multiLevelType w:val="hybridMultilevel"/>
    <w:tmpl w:val="F1169E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59002709">
    <w:abstractNumId w:val="3"/>
  </w:num>
  <w:num w:numId="2" w16cid:durableId="2018195631">
    <w:abstractNumId w:val="21"/>
  </w:num>
  <w:num w:numId="3" w16cid:durableId="1080561271">
    <w:abstractNumId w:val="15"/>
  </w:num>
  <w:num w:numId="4" w16cid:durableId="999116314">
    <w:abstractNumId w:val="2"/>
  </w:num>
  <w:num w:numId="5" w16cid:durableId="682325247">
    <w:abstractNumId w:val="9"/>
  </w:num>
  <w:num w:numId="6" w16cid:durableId="1460877108">
    <w:abstractNumId w:val="7"/>
  </w:num>
  <w:num w:numId="7" w16cid:durableId="1482388623">
    <w:abstractNumId w:val="1"/>
  </w:num>
  <w:num w:numId="8" w16cid:durableId="334574368">
    <w:abstractNumId w:val="13"/>
  </w:num>
  <w:num w:numId="9" w16cid:durableId="794756877">
    <w:abstractNumId w:val="6"/>
  </w:num>
  <w:num w:numId="10" w16cid:durableId="1753119181">
    <w:abstractNumId w:val="28"/>
  </w:num>
  <w:num w:numId="11" w16cid:durableId="2085250096">
    <w:abstractNumId w:val="22"/>
  </w:num>
  <w:num w:numId="12" w16cid:durableId="1943105213">
    <w:abstractNumId w:val="14"/>
  </w:num>
  <w:num w:numId="13" w16cid:durableId="102893857">
    <w:abstractNumId w:val="23"/>
  </w:num>
  <w:num w:numId="14" w16cid:durableId="1988240198">
    <w:abstractNumId w:val="30"/>
  </w:num>
  <w:num w:numId="15" w16cid:durableId="1103182610">
    <w:abstractNumId w:val="20"/>
  </w:num>
  <w:num w:numId="16" w16cid:durableId="2078283609">
    <w:abstractNumId w:val="29"/>
  </w:num>
  <w:num w:numId="17" w16cid:durableId="812138178">
    <w:abstractNumId w:val="18"/>
  </w:num>
  <w:num w:numId="18" w16cid:durableId="1885174343">
    <w:abstractNumId w:val="17"/>
  </w:num>
  <w:num w:numId="19" w16cid:durableId="908929060">
    <w:abstractNumId w:val="5"/>
  </w:num>
  <w:num w:numId="20" w16cid:durableId="1600022457">
    <w:abstractNumId w:val="27"/>
  </w:num>
  <w:num w:numId="21" w16cid:durableId="224754728">
    <w:abstractNumId w:val="26"/>
  </w:num>
  <w:num w:numId="22" w16cid:durableId="95446462">
    <w:abstractNumId w:val="0"/>
  </w:num>
  <w:num w:numId="23" w16cid:durableId="1842574671">
    <w:abstractNumId w:val="4"/>
  </w:num>
  <w:num w:numId="24" w16cid:durableId="1168323414">
    <w:abstractNumId w:val="8"/>
  </w:num>
  <w:num w:numId="25" w16cid:durableId="578640140">
    <w:abstractNumId w:val="19"/>
  </w:num>
  <w:num w:numId="26" w16cid:durableId="377315136">
    <w:abstractNumId w:val="25"/>
  </w:num>
  <w:num w:numId="27" w16cid:durableId="645472846">
    <w:abstractNumId w:val="10"/>
  </w:num>
  <w:num w:numId="28" w16cid:durableId="1471048745">
    <w:abstractNumId w:val="16"/>
  </w:num>
  <w:num w:numId="29" w16cid:durableId="1918978332">
    <w:abstractNumId w:val="12"/>
  </w:num>
  <w:num w:numId="30" w16cid:durableId="1863083116">
    <w:abstractNumId w:val="24"/>
    <w:lvlOverride w:ilvl="0">
      <w:startOverride w:val="1"/>
    </w:lvlOverride>
  </w:num>
  <w:num w:numId="31" w16cid:durableId="119500074">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6D"/>
    <w:rsid w:val="0004002F"/>
    <w:rsid w:val="00040762"/>
    <w:rsid w:val="00041D45"/>
    <w:rsid w:val="0007329D"/>
    <w:rsid w:val="00076974"/>
    <w:rsid w:val="000A53F0"/>
    <w:rsid w:val="000E2809"/>
    <w:rsid w:val="000E68FE"/>
    <w:rsid w:val="001444A5"/>
    <w:rsid w:val="00176CC8"/>
    <w:rsid w:val="00220D82"/>
    <w:rsid w:val="00246CE0"/>
    <w:rsid w:val="002C132D"/>
    <w:rsid w:val="002C66E2"/>
    <w:rsid w:val="002D0124"/>
    <w:rsid w:val="00343C57"/>
    <w:rsid w:val="0034415A"/>
    <w:rsid w:val="00375663"/>
    <w:rsid w:val="003A3121"/>
    <w:rsid w:val="003C22ED"/>
    <w:rsid w:val="0046189E"/>
    <w:rsid w:val="00463786"/>
    <w:rsid w:val="004774E7"/>
    <w:rsid w:val="004819F1"/>
    <w:rsid w:val="00482951"/>
    <w:rsid w:val="0048634D"/>
    <w:rsid w:val="004E3819"/>
    <w:rsid w:val="00503C6D"/>
    <w:rsid w:val="00506EAD"/>
    <w:rsid w:val="005376FA"/>
    <w:rsid w:val="00552C8C"/>
    <w:rsid w:val="00560AB0"/>
    <w:rsid w:val="00565195"/>
    <w:rsid w:val="005924D5"/>
    <w:rsid w:val="005B629F"/>
    <w:rsid w:val="00634B9B"/>
    <w:rsid w:val="00674B79"/>
    <w:rsid w:val="006D50DE"/>
    <w:rsid w:val="006E11BD"/>
    <w:rsid w:val="00756DCF"/>
    <w:rsid w:val="0076436A"/>
    <w:rsid w:val="007B7381"/>
    <w:rsid w:val="007D5982"/>
    <w:rsid w:val="00813C89"/>
    <w:rsid w:val="00823BC9"/>
    <w:rsid w:val="0087060D"/>
    <w:rsid w:val="0089092C"/>
    <w:rsid w:val="00913C5F"/>
    <w:rsid w:val="009536EB"/>
    <w:rsid w:val="00956014"/>
    <w:rsid w:val="009C03D9"/>
    <w:rsid w:val="00A33EAE"/>
    <w:rsid w:val="00A366BF"/>
    <w:rsid w:val="00A44E5C"/>
    <w:rsid w:val="00A8604F"/>
    <w:rsid w:val="00AD6D48"/>
    <w:rsid w:val="00B62E0F"/>
    <w:rsid w:val="00B96214"/>
    <w:rsid w:val="00BB7406"/>
    <w:rsid w:val="00BE1155"/>
    <w:rsid w:val="00BE23A4"/>
    <w:rsid w:val="00C017EB"/>
    <w:rsid w:val="00C06098"/>
    <w:rsid w:val="00C11208"/>
    <w:rsid w:val="00C17E2B"/>
    <w:rsid w:val="00C3119F"/>
    <w:rsid w:val="00C436E2"/>
    <w:rsid w:val="00C575C6"/>
    <w:rsid w:val="00C67026"/>
    <w:rsid w:val="00CD2EEC"/>
    <w:rsid w:val="00CE634B"/>
    <w:rsid w:val="00D05C05"/>
    <w:rsid w:val="00D27E85"/>
    <w:rsid w:val="00D333E8"/>
    <w:rsid w:val="00D37295"/>
    <w:rsid w:val="00D62A12"/>
    <w:rsid w:val="00DF3903"/>
    <w:rsid w:val="00E06030"/>
    <w:rsid w:val="00E5134A"/>
    <w:rsid w:val="00E56315"/>
    <w:rsid w:val="00E57AB0"/>
    <w:rsid w:val="00E77C05"/>
    <w:rsid w:val="00EA7AF6"/>
    <w:rsid w:val="00EB6469"/>
    <w:rsid w:val="00EE63BC"/>
    <w:rsid w:val="00F21FCC"/>
    <w:rsid w:val="00F82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47BB4"/>
  <w15:chartTrackingRefBased/>
  <w15:docId w15:val="{4A258DD8-2CDA-4208-AB7E-45EB5350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C6D"/>
    <w:pPr>
      <w:spacing w:after="200" w:line="276" w:lineRule="auto"/>
    </w:pPr>
    <w:rPr>
      <w:rFonts w:ascii="Cambria" w:eastAsia="Cambria" w:hAnsi="Cambria" w:cs="Cambria"/>
      <w:kern w:val="0"/>
      <w:sz w:val="22"/>
      <w:szCs w:val="22"/>
      <w:lang w:val="es-PY" w:eastAsia="es-PY"/>
      <w14:ligatures w14:val="none"/>
    </w:rPr>
  </w:style>
  <w:style w:type="paragraph" w:styleId="Ttulo1">
    <w:name w:val="heading 1"/>
    <w:basedOn w:val="Normal"/>
    <w:next w:val="Normal"/>
    <w:link w:val="Ttulo1Car"/>
    <w:uiPriority w:val="9"/>
    <w:qFormat/>
    <w:rsid w:val="004E3819"/>
    <w:pPr>
      <w:keepNext/>
      <w:keepLines/>
      <w:spacing w:before="360" w:after="80" w:line="278" w:lineRule="auto"/>
      <w:outlineLvl w:val="0"/>
    </w:pPr>
    <w:rPr>
      <w:rFonts w:ascii="Times New Roman" w:eastAsiaTheme="majorEastAsia" w:hAnsi="Times New Roman" w:cstheme="majorBidi"/>
      <w:color w:val="0D0D0D" w:themeColor="text1" w:themeTint="F2"/>
      <w:kern w:val="2"/>
      <w:sz w:val="32"/>
      <w:szCs w:val="40"/>
      <w:lang w:val="en-US" w:eastAsia="en-US"/>
      <w14:ligatures w14:val="standardContextual"/>
    </w:rPr>
  </w:style>
  <w:style w:type="paragraph" w:styleId="Ttulo2">
    <w:name w:val="heading 2"/>
    <w:basedOn w:val="Normal"/>
    <w:next w:val="Normal"/>
    <w:link w:val="Ttulo2Car"/>
    <w:uiPriority w:val="9"/>
    <w:unhideWhenUsed/>
    <w:qFormat/>
    <w:rsid w:val="004E3819"/>
    <w:pPr>
      <w:keepNext/>
      <w:keepLines/>
      <w:spacing w:before="160" w:after="80" w:line="278" w:lineRule="auto"/>
      <w:outlineLvl w:val="1"/>
    </w:pPr>
    <w:rPr>
      <w:rFonts w:ascii="Times New Roman" w:eastAsiaTheme="majorEastAsia" w:hAnsi="Times New Roman" w:cstheme="majorBidi"/>
      <w:color w:val="000000" w:themeColor="text1"/>
      <w:kern w:val="2"/>
      <w:sz w:val="28"/>
      <w:szCs w:val="32"/>
      <w:lang w:val="en-US" w:eastAsia="en-US"/>
      <w14:ligatures w14:val="standardContextual"/>
    </w:rPr>
  </w:style>
  <w:style w:type="paragraph" w:styleId="Ttulo3">
    <w:name w:val="heading 3"/>
    <w:basedOn w:val="Normal"/>
    <w:next w:val="Normal"/>
    <w:link w:val="Ttulo3Car"/>
    <w:uiPriority w:val="9"/>
    <w:unhideWhenUsed/>
    <w:qFormat/>
    <w:rsid w:val="004E3819"/>
    <w:pPr>
      <w:keepNext/>
      <w:keepLines/>
      <w:spacing w:before="160" w:after="80" w:line="278" w:lineRule="auto"/>
      <w:outlineLvl w:val="2"/>
    </w:pPr>
    <w:rPr>
      <w:rFonts w:ascii="Times New Roman" w:eastAsiaTheme="majorEastAsia" w:hAnsi="Times New Roman" w:cstheme="majorBidi"/>
      <w:color w:val="000000" w:themeColor="text1"/>
      <w:kern w:val="2"/>
      <w:sz w:val="24"/>
      <w:szCs w:val="28"/>
      <w:lang w:val="en-US" w:eastAsia="en-US"/>
      <w14:ligatures w14:val="standardContextual"/>
    </w:rPr>
  </w:style>
  <w:style w:type="paragraph" w:styleId="Ttulo4">
    <w:name w:val="heading 4"/>
    <w:basedOn w:val="Normal"/>
    <w:next w:val="Normal"/>
    <w:link w:val="Ttulo4Car"/>
    <w:uiPriority w:val="9"/>
    <w:semiHidden/>
    <w:unhideWhenUsed/>
    <w:qFormat/>
    <w:rsid w:val="00503C6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eastAsia="en-US"/>
      <w14:ligatures w14:val="standardContextual"/>
    </w:rPr>
  </w:style>
  <w:style w:type="paragraph" w:styleId="Ttulo5">
    <w:name w:val="heading 5"/>
    <w:basedOn w:val="Normal"/>
    <w:next w:val="Normal"/>
    <w:link w:val="Ttulo5Car"/>
    <w:uiPriority w:val="9"/>
    <w:semiHidden/>
    <w:unhideWhenUsed/>
    <w:qFormat/>
    <w:rsid w:val="00503C6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eastAsia="en-US"/>
      <w14:ligatures w14:val="standardContextual"/>
    </w:rPr>
  </w:style>
  <w:style w:type="paragraph" w:styleId="Ttulo6">
    <w:name w:val="heading 6"/>
    <w:basedOn w:val="Normal"/>
    <w:next w:val="Normal"/>
    <w:link w:val="Ttulo6Car"/>
    <w:uiPriority w:val="9"/>
    <w:semiHidden/>
    <w:unhideWhenUsed/>
    <w:qFormat/>
    <w:rsid w:val="00503C6D"/>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paragraph" w:styleId="Ttulo7">
    <w:name w:val="heading 7"/>
    <w:basedOn w:val="Normal"/>
    <w:next w:val="Normal"/>
    <w:link w:val="Ttulo7Car"/>
    <w:uiPriority w:val="9"/>
    <w:semiHidden/>
    <w:unhideWhenUsed/>
    <w:qFormat/>
    <w:rsid w:val="00503C6D"/>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eastAsia="en-US"/>
      <w14:ligatures w14:val="standardContextual"/>
    </w:rPr>
  </w:style>
  <w:style w:type="paragraph" w:styleId="Ttulo8">
    <w:name w:val="heading 8"/>
    <w:basedOn w:val="Normal"/>
    <w:next w:val="Normal"/>
    <w:link w:val="Ttulo8Car"/>
    <w:uiPriority w:val="9"/>
    <w:semiHidden/>
    <w:unhideWhenUsed/>
    <w:qFormat/>
    <w:rsid w:val="00503C6D"/>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paragraph" w:styleId="Ttulo9">
    <w:name w:val="heading 9"/>
    <w:basedOn w:val="Normal"/>
    <w:next w:val="Normal"/>
    <w:link w:val="Ttulo9Car"/>
    <w:uiPriority w:val="9"/>
    <w:semiHidden/>
    <w:unhideWhenUsed/>
    <w:qFormat/>
    <w:rsid w:val="00503C6D"/>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3819"/>
    <w:rPr>
      <w:rFonts w:ascii="Times New Roman" w:eastAsiaTheme="majorEastAsia" w:hAnsi="Times New Roman" w:cstheme="majorBidi"/>
      <w:color w:val="0D0D0D" w:themeColor="text1" w:themeTint="F2"/>
      <w:sz w:val="32"/>
      <w:szCs w:val="40"/>
    </w:rPr>
  </w:style>
  <w:style w:type="character" w:customStyle="1" w:styleId="Ttulo2Car">
    <w:name w:val="Título 2 Car"/>
    <w:basedOn w:val="Fuentedeprrafopredeter"/>
    <w:link w:val="Ttulo2"/>
    <w:uiPriority w:val="9"/>
    <w:rsid w:val="004E3819"/>
    <w:rPr>
      <w:rFonts w:ascii="Times New Roman" w:eastAsiaTheme="majorEastAsia" w:hAnsi="Times New Roman" w:cstheme="majorBidi"/>
      <w:color w:val="000000" w:themeColor="text1"/>
      <w:sz w:val="28"/>
      <w:szCs w:val="32"/>
    </w:rPr>
  </w:style>
  <w:style w:type="character" w:customStyle="1" w:styleId="Ttulo3Car">
    <w:name w:val="Título 3 Car"/>
    <w:basedOn w:val="Fuentedeprrafopredeter"/>
    <w:link w:val="Ttulo3"/>
    <w:uiPriority w:val="9"/>
    <w:rsid w:val="004E3819"/>
    <w:rPr>
      <w:rFonts w:ascii="Times New Roman" w:eastAsiaTheme="majorEastAsia" w:hAnsi="Times New Roman" w:cstheme="majorBidi"/>
      <w:color w:val="000000" w:themeColor="text1"/>
      <w:szCs w:val="28"/>
    </w:rPr>
  </w:style>
  <w:style w:type="character" w:customStyle="1" w:styleId="Ttulo4Car">
    <w:name w:val="Título 4 Car"/>
    <w:basedOn w:val="Fuentedeprrafopredeter"/>
    <w:link w:val="Ttulo4"/>
    <w:uiPriority w:val="9"/>
    <w:semiHidden/>
    <w:rsid w:val="00503C6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03C6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03C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3C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3C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3C6D"/>
    <w:rPr>
      <w:rFonts w:eastAsiaTheme="majorEastAsia" w:cstheme="majorBidi"/>
      <w:color w:val="272727" w:themeColor="text1" w:themeTint="D8"/>
    </w:rPr>
  </w:style>
  <w:style w:type="paragraph" w:styleId="Ttulo">
    <w:name w:val="Title"/>
    <w:basedOn w:val="Normal"/>
    <w:next w:val="Normal"/>
    <w:link w:val="TtuloCar"/>
    <w:uiPriority w:val="10"/>
    <w:qFormat/>
    <w:rsid w:val="00503C6D"/>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tuloCar">
    <w:name w:val="Título Car"/>
    <w:basedOn w:val="Fuentedeprrafopredeter"/>
    <w:link w:val="Ttulo"/>
    <w:uiPriority w:val="10"/>
    <w:rsid w:val="00503C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3C6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tuloCar">
    <w:name w:val="Subtítulo Car"/>
    <w:basedOn w:val="Fuentedeprrafopredeter"/>
    <w:link w:val="Subttulo"/>
    <w:uiPriority w:val="11"/>
    <w:rsid w:val="00503C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3C6D"/>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customStyle="1" w:styleId="CitaCar">
    <w:name w:val="Cita Car"/>
    <w:basedOn w:val="Fuentedeprrafopredeter"/>
    <w:link w:val="Cita"/>
    <w:uiPriority w:val="29"/>
    <w:rsid w:val="00503C6D"/>
    <w:rPr>
      <w:i/>
      <w:iCs/>
      <w:color w:val="404040" w:themeColor="text1" w:themeTint="BF"/>
    </w:rPr>
  </w:style>
  <w:style w:type="paragraph" w:styleId="Prrafodelista">
    <w:name w:val="List Paragraph"/>
    <w:basedOn w:val="Normal"/>
    <w:uiPriority w:val="34"/>
    <w:qFormat/>
    <w:rsid w:val="00503C6D"/>
    <w:pPr>
      <w:spacing w:after="160" w:line="278"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nfasisintenso">
    <w:name w:val="Intense Emphasis"/>
    <w:basedOn w:val="Fuentedeprrafopredeter"/>
    <w:uiPriority w:val="21"/>
    <w:qFormat/>
    <w:rsid w:val="00503C6D"/>
    <w:rPr>
      <w:i/>
      <w:iCs/>
      <w:color w:val="2F5496" w:themeColor="accent1" w:themeShade="BF"/>
    </w:rPr>
  </w:style>
  <w:style w:type="paragraph" w:styleId="Citadestacada">
    <w:name w:val="Intense Quote"/>
    <w:basedOn w:val="Normal"/>
    <w:next w:val="Normal"/>
    <w:link w:val="CitadestacadaCar"/>
    <w:uiPriority w:val="30"/>
    <w:qFormat/>
    <w:rsid w:val="00503C6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eastAsia="en-US"/>
      <w14:ligatures w14:val="standardContextual"/>
    </w:rPr>
  </w:style>
  <w:style w:type="character" w:customStyle="1" w:styleId="CitadestacadaCar">
    <w:name w:val="Cita destacada Car"/>
    <w:basedOn w:val="Fuentedeprrafopredeter"/>
    <w:link w:val="Citadestacada"/>
    <w:uiPriority w:val="30"/>
    <w:rsid w:val="00503C6D"/>
    <w:rPr>
      <w:i/>
      <w:iCs/>
      <w:color w:val="2F5496" w:themeColor="accent1" w:themeShade="BF"/>
    </w:rPr>
  </w:style>
  <w:style w:type="character" w:styleId="Referenciaintensa">
    <w:name w:val="Intense Reference"/>
    <w:basedOn w:val="Fuentedeprrafopredeter"/>
    <w:uiPriority w:val="32"/>
    <w:qFormat/>
    <w:rsid w:val="00503C6D"/>
    <w:rPr>
      <w:b/>
      <w:bCs/>
      <w:smallCaps/>
      <w:color w:val="2F5496" w:themeColor="accent1" w:themeShade="BF"/>
      <w:spacing w:val="5"/>
    </w:rPr>
  </w:style>
  <w:style w:type="paragraph" w:styleId="Listaconvietas2">
    <w:name w:val="List Bullet 2"/>
    <w:basedOn w:val="Normal"/>
    <w:uiPriority w:val="99"/>
    <w:unhideWhenUsed/>
    <w:rsid w:val="00BB7406"/>
    <w:pPr>
      <w:numPr>
        <w:numId w:val="1"/>
      </w:numPr>
      <w:ind w:left="0" w:firstLine="0"/>
      <w:contextualSpacing/>
    </w:pPr>
  </w:style>
  <w:style w:type="paragraph" w:styleId="Listaconvietas3">
    <w:name w:val="List Bullet 3"/>
    <w:basedOn w:val="Normal"/>
    <w:uiPriority w:val="99"/>
    <w:unhideWhenUsed/>
    <w:rsid w:val="00BB7406"/>
    <w:pPr>
      <w:numPr>
        <w:numId w:val="2"/>
      </w:numPr>
      <w:ind w:left="0" w:firstLine="0"/>
      <w:contextualSpacing/>
    </w:pPr>
  </w:style>
  <w:style w:type="paragraph" w:styleId="Listaconnmeros">
    <w:name w:val="List Number"/>
    <w:basedOn w:val="Normal"/>
    <w:uiPriority w:val="99"/>
    <w:unhideWhenUsed/>
    <w:rsid w:val="00BB7406"/>
    <w:pPr>
      <w:numPr>
        <w:numId w:val="4"/>
      </w:numPr>
      <w:ind w:left="0" w:firstLine="0"/>
      <w:contextualSpacing/>
    </w:pPr>
  </w:style>
  <w:style w:type="paragraph" w:styleId="Textoindependiente">
    <w:name w:val="Body Text"/>
    <w:basedOn w:val="Normal"/>
    <w:link w:val="TextoindependienteCar"/>
    <w:qFormat/>
    <w:rsid w:val="00463786"/>
    <w:pPr>
      <w:spacing w:before="180" w:after="180" w:line="240" w:lineRule="auto"/>
    </w:pPr>
    <w:rPr>
      <w:rFonts w:asciiTheme="minorHAnsi" w:eastAsiaTheme="minorHAnsi" w:hAnsiTheme="minorHAnsi" w:cstheme="minorBidi"/>
      <w:sz w:val="24"/>
      <w:szCs w:val="24"/>
      <w:lang w:val="es" w:eastAsia="en-US"/>
    </w:rPr>
  </w:style>
  <w:style w:type="character" w:customStyle="1" w:styleId="TextoindependienteCar">
    <w:name w:val="Texto independiente Car"/>
    <w:basedOn w:val="Fuentedeprrafopredeter"/>
    <w:link w:val="Textoindependiente"/>
    <w:rsid w:val="00463786"/>
    <w:rPr>
      <w:kern w:val="0"/>
      <w:lang w:val="es"/>
      <w14:ligatures w14:val="none"/>
    </w:rPr>
  </w:style>
  <w:style w:type="table" w:styleId="Tablaconcuadrcula">
    <w:name w:val="Table Grid"/>
    <w:basedOn w:val="Tablanormal"/>
    <w:uiPriority w:val="59"/>
    <w:rsid w:val="00463786"/>
    <w:pPr>
      <w:spacing w:after="0" w:line="240" w:lineRule="auto"/>
    </w:pPr>
    <w:rPr>
      <w:kern w:val="0"/>
      <w:lang w:val="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20D82"/>
    <w:rPr>
      <w:color w:val="666666"/>
    </w:rPr>
  </w:style>
  <w:style w:type="character" w:styleId="Fuerte">
    <w:name w:val="Strong"/>
    <w:basedOn w:val="Fuentedeprrafopredeter"/>
    <w:uiPriority w:val="22"/>
    <w:qFormat/>
    <w:rsid w:val="001444A5"/>
    <w:rPr>
      <w:b/>
      <w:bCs/>
    </w:rPr>
  </w:style>
  <w:style w:type="paragraph" w:styleId="NormalWeb">
    <w:name w:val="Normal (Web)"/>
    <w:basedOn w:val="Normal"/>
    <w:uiPriority w:val="99"/>
    <w:unhideWhenUsed/>
    <w:rsid w:val="001444A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nfasis">
    <w:name w:val="Emphasis"/>
    <w:basedOn w:val="Fuentedeprrafopredeter"/>
    <w:uiPriority w:val="20"/>
    <w:qFormat/>
    <w:rsid w:val="001444A5"/>
    <w:rPr>
      <w:i/>
      <w:iCs/>
    </w:rPr>
  </w:style>
  <w:style w:type="character" w:styleId="CdigoHTML">
    <w:name w:val="HTML Code"/>
    <w:basedOn w:val="Fuentedeprrafopredeter"/>
    <w:uiPriority w:val="99"/>
    <w:semiHidden/>
    <w:unhideWhenUsed/>
    <w:rsid w:val="001444A5"/>
    <w:rPr>
      <w:rFonts w:ascii="Courier New" w:eastAsia="Times New Roman" w:hAnsi="Courier New" w:cs="Courier New"/>
      <w:sz w:val="20"/>
      <w:szCs w:val="20"/>
    </w:rPr>
  </w:style>
  <w:style w:type="paragraph" w:styleId="Encabezado">
    <w:name w:val="header"/>
    <w:basedOn w:val="Normal"/>
    <w:link w:val="EncabezadoCar"/>
    <w:uiPriority w:val="99"/>
    <w:unhideWhenUsed/>
    <w:rsid w:val="005924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24D5"/>
    <w:rPr>
      <w:rFonts w:ascii="Cambria" w:eastAsia="Cambria" w:hAnsi="Cambria" w:cs="Cambria"/>
      <w:kern w:val="0"/>
      <w:sz w:val="22"/>
      <w:szCs w:val="22"/>
      <w:lang w:val="es-PY" w:eastAsia="es-PY"/>
      <w14:ligatures w14:val="none"/>
    </w:rPr>
  </w:style>
  <w:style w:type="paragraph" w:styleId="Piedepgina">
    <w:name w:val="footer"/>
    <w:basedOn w:val="Normal"/>
    <w:link w:val="PiedepginaCar"/>
    <w:uiPriority w:val="99"/>
    <w:unhideWhenUsed/>
    <w:rsid w:val="005924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24D5"/>
    <w:rPr>
      <w:rFonts w:ascii="Cambria" w:eastAsia="Cambria" w:hAnsi="Cambria" w:cs="Cambria"/>
      <w:kern w:val="0"/>
      <w:sz w:val="22"/>
      <w:szCs w:val="22"/>
      <w:lang w:val="es-PY" w:eastAsia="es-PY"/>
      <w14:ligatures w14:val="none"/>
    </w:rPr>
  </w:style>
  <w:style w:type="character" w:styleId="Hipervnculo">
    <w:name w:val="Hyperlink"/>
    <w:basedOn w:val="Fuentedeprrafopredeter"/>
    <w:uiPriority w:val="99"/>
    <w:unhideWhenUsed/>
    <w:rsid w:val="00375663"/>
    <w:rPr>
      <w:color w:val="0563C1" w:themeColor="hyperlink"/>
      <w:u w:val="single"/>
    </w:rPr>
  </w:style>
  <w:style w:type="character" w:styleId="Mencinsinresolver">
    <w:name w:val="Unresolved Mention"/>
    <w:basedOn w:val="Fuentedeprrafopredeter"/>
    <w:uiPriority w:val="99"/>
    <w:semiHidden/>
    <w:unhideWhenUsed/>
    <w:rsid w:val="00375663"/>
    <w:rPr>
      <w:color w:val="605E5C"/>
      <w:shd w:val="clear" w:color="auto" w:fill="E1DFDD"/>
    </w:rPr>
  </w:style>
  <w:style w:type="paragraph" w:styleId="TtuloTDC">
    <w:name w:val="TOC Heading"/>
    <w:basedOn w:val="Ttulo1"/>
    <w:next w:val="Normal"/>
    <w:uiPriority w:val="39"/>
    <w:unhideWhenUsed/>
    <w:qFormat/>
    <w:rsid w:val="004E3819"/>
    <w:pPr>
      <w:spacing w:before="240" w:after="0" w:line="259" w:lineRule="auto"/>
      <w:outlineLvl w:val="9"/>
    </w:pPr>
    <w:rPr>
      <w:kern w:val="0"/>
      <w:szCs w:val="32"/>
      <w:lang w:val="es-ES" w:eastAsia="es-ES"/>
      <w14:ligatures w14:val="none"/>
    </w:rPr>
  </w:style>
  <w:style w:type="paragraph" w:styleId="TDC2">
    <w:name w:val="toc 2"/>
    <w:basedOn w:val="Normal"/>
    <w:next w:val="Normal"/>
    <w:autoRedefine/>
    <w:uiPriority w:val="39"/>
    <w:unhideWhenUsed/>
    <w:rsid w:val="004E3819"/>
    <w:pPr>
      <w:spacing w:after="100" w:line="259" w:lineRule="auto"/>
      <w:ind w:left="220"/>
    </w:pPr>
    <w:rPr>
      <w:rFonts w:asciiTheme="minorHAnsi" w:eastAsiaTheme="minorEastAsia" w:hAnsiTheme="minorHAnsi" w:cs="Times New Roman"/>
      <w:lang w:val="es-ES" w:eastAsia="es-ES"/>
    </w:rPr>
  </w:style>
  <w:style w:type="paragraph" w:styleId="TDC1">
    <w:name w:val="toc 1"/>
    <w:basedOn w:val="Normal"/>
    <w:next w:val="Normal"/>
    <w:autoRedefine/>
    <w:uiPriority w:val="39"/>
    <w:unhideWhenUsed/>
    <w:rsid w:val="004E3819"/>
    <w:pPr>
      <w:spacing w:after="100" w:line="259" w:lineRule="auto"/>
    </w:pPr>
    <w:rPr>
      <w:rFonts w:asciiTheme="minorHAnsi" w:eastAsiaTheme="minorEastAsia" w:hAnsiTheme="minorHAnsi" w:cs="Times New Roman"/>
      <w:lang w:val="es-ES" w:eastAsia="es-ES"/>
    </w:rPr>
  </w:style>
  <w:style w:type="paragraph" w:styleId="TDC3">
    <w:name w:val="toc 3"/>
    <w:basedOn w:val="Normal"/>
    <w:next w:val="Normal"/>
    <w:autoRedefine/>
    <w:uiPriority w:val="39"/>
    <w:unhideWhenUsed/>
    <w:rsid w:val="004E3819"/>
    <w:pPr>
      <w:spacing w:after="100" w:line="259" w:lineRule="auto"/>
      <w:ind w:left="440"/>
    </w:pPr>
    <w:rPr>
      <w:rFonts w:asciiTheme="minorHAnsi" w:eastAsiaTheme="minorEastAsia" w:hAnsiTheme="minorHAnsi" w:cs="Times New Roman"/>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16594">
      <w:bodyDiv w:val="1"/>
      <w:marLeft w:val="0"/>
      <w:marRight w:val="0"/>
      <w:marTop w:val="0"/>
      <w:marBottom w:val="0"/>
      <w:divBdr>
        <w:top w:val="none" w:sz="0" w:space="0" w:color="auto"/>
        <w:left w:val="none" w:sz="0" w:space="0" w:color="auto"/>
        <w:bottom w:val="none" w:sz="0" w:space="0" w:color="auto"/>
        <w:right w:val="none" w:sz="0" w:space="0" w:color="auto"/>
      </w:divBdr>
    </w:div>
    <w:div w:id="214689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00" Type="http://schemas.openxmlformats.org/officeDocument/2006/relationships/image" Target="media/imageR1.png"/><Relationship Id="rId101" Type="http://schemas.openxmlformats.org/officeDocument/2006/relationships/image" Target="media/imageR2.png"/><Relationship Id="rId102" Type="http://schemas.openxmlformats.org/officeDocument/2006/relationships/image" Target="media/imageR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BCP25</b:Tag>
    <b:SourceType>InternetSite</b:SourceType>
    <b:Guid>{BAD38D9E-596F-4FC7-BD8F-9381295E0187}</b:Guid>
    <b:Author>
      <b:Author>
        <b:NameList>
          <b:Person>
            <b:Last>BCP</b:Last>
          </b:Person>
        </b:NameList>
      </b:Author>
    </b:Author>
    <b:Title>BCP</b:Title>
    <b:InternetSiteTitle>Informe estadístico de IPC</b:InternetSiteTitle>
    <b:URL>www.bcp.gov.py</b:URL>
    <b:RefOrder>1</b:RefOrder>
  </b:Source>
  <b:Source>
    <b:Tag>OPE</b:Tag>
    <b:SourceType>Book</b:SourceType>
    <b:Guid>{3F934C00-9822-4F25-8960-6D2F4F9777C2}</b:Guid>
    <b:Author>
      <b:Author>
        <b:NameList>
          <b:Person>
            <b:Last>OPEP</b:Last>
          </b:Person>
        </b:NameList>
      </b:Author>
    </b:Author>
    <b:Title>OPEP</b:Title>
    <b:URL>https://asb.opec.org</b:URL>
    <b:RefOrder>2</b:RefOrder>
  </b:Source>
  <b:Source>
    <b:Tag>Kru18</b:Tag>
    <b:SourceType>Book</b:SourceType>
    <b:Guid>{28DCA1C3-969E-4257-8C68-503DFAAF6B17}</b:Guid>
    <b:Title>Economia Internacional: Teoría y Política (11º Ed)</b:Title>
    <b:Year>2018</b:Year>
    <b:Author>
      <b:Author>
        <b:NameList>
          <b:Person>
            <b:Last>Krugman</b:Last>
            <b:First>P.,</b:First>
            <b:Middle>Obstfeld, M., &amp; Melitz, M.</b:Middle>
          </b:Person>
        </b:NameList>
      </b:Author>
    </b:Author>
    <b:RefOrder>5</b:RefOrder>
  </b:Source>
  <b:Source>
    <b:Tag>MarcadorDePosición1</b:Tag>
    <b:SourceType>InternetSite</b:SourceType>
    <b:Guid>{1B9E2540-5462-4865-86B9-72EFC750E440}</b:Guid>
    <b:Author>
      <b:Author>
        <b:NameList>
          <b:Person>
            <b:Last>BCP</b:Last>
          </b:Person>
        </b:NameList>
      </b:Author>
    </b:Author>
    <b:Title>BCP</b:Title>
    <b:InternetSiteTitle>Informe estadístico de IPC</b:InternetSiteTitle>
    <b:URL>www.bcp.gov.py</b:URL>
    <b:Year>2025</b:Year>
    <b:RefOrder>3</b:RefOrder>
  </b:Source>
  <b:Source>
    <b:Tag>MarcadorDePosición2</b:Tag>
    <b:SourceType>InternetSite</b:SourceType>
    <b:Guid>{8B5C4EC6-E433-4ADA-BE91-95E30CA4D2D1}</b:Guid>
    <b:Author>
      <b:Author>
        <b:NameList>
          <b:Person>
            <b:Last>OPEP</b:Last>
          </b:Person>
        </b:NameList>
      </b:Author>
    </b:Author>
    <b:Title>OPEP</b:Title>
    <b:URL>https://asb.opec.org</b:URL>
    <b:InternetSiteTitle>Annual Statistical Bulletin. Viena: OPEC Secretariat</b:InternetSiteTitle>
    <b:Year>2023</b:Year>
    <b:RefOrder>4</b:RefOrder>
  </b:Source>
</b:Sources>
</file>

<file path=customXml/itemProps1.xml><?xml version="1.0" encoding="utf-8"?>
<ds:datastoreItem xmlns:ds="http://schemas.openxmlformats.org/officeDocument/2006/customXml" ds:itemID="{B14B10B8-0EBD-4C39-A0A2-1585FDEC2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22</Pages>
  <Words>6457</Words>
  <Characters>35517</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Mirta Camacho</dc:creator>
  <cp:keywords/>
  <dc:description/>
  <cp:lastModifiedBy>Laviero Scavera</cp:lastModifiedBy>
  <cp:revision>8</cp:revision>
  <dcterms:created xsi:type="dcterms:W3CDTF">2025-11-18T21:17:00Z</dcterms:created>
  <dcterms:modified xsi:type="dcterms:W3CDTF">2026-06-27T22:23:00Z</dcterms:modified>
</cp:coreProperties>
</file>