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Guion de defensa — Trabajo Final de Grado</w:t>
      </w:r>
    </w:p>
    <w:p>
      <w:r>
        <w:rPr>
          <w:i/>
        </w:rPr>
        <w:t>Diferencial de retornos entre CDA en guaraníes y dólares. Sistema Bancario Paraguayo, 2004–2024. Scavone &amp; Fernández.</w:t>
      </w:r>
    </w:p>
    <w:p>
      <w:r>
        <w:rPr>
          <w:color w:val="555555"/>
          <w:sz w:val="20"/>
        </w:rPr>
        <w:t>Documento de preparación (uso interno; no forma parte de la tesis). Responde las 14 preguntas probables de la mesa examinadora con los resultados de la especificación vigente: serie principal tramo CDA ≤365 días, corte institucional 2011:T2, todos los números de una única corrida del do-file en Stata 17.</w:t>
      </w:r>
    </w:p>
    <w:p>
      <w:pPr>
        <w:pStyle w:val="Heading1"/>
      </w:pPr>
      <w:r>
        <w:t>Las 14 preguntas y sus respuestas</w:t>
      </w:r>
    </w:p>
    <w:p>
      <w:r>
        <w:rPr>
          <w:b/>
          <w:sz w:val="22"/>
        </w:rPr>
        <w:t>1. ¿Cuál es exactamente la serie principal: tramo ≤365 días o promedio ponderado? ¿Por qué?</w:t>
      </w:r>
    </w:p>
    <w:p>
      <w:r>
        <w:rPr>
          <w:sz w:val="21"/>
        </w:rPr>
        <w:t>La serie principal es el tramo CDA ≤365 días (tasa efectiva, bancos; boletines «Promedio de Tasas» de la Superintendencia de Bancos del BCP). La elección es teórica, no por significancia: es una fuente única con una sola definición para todo 2004–2024, sin empalme entre publicaciones, lo que elimina el sesgo de composición por plazos y el salto definicional de la serie ponderada anterior. La ponderada se conserva solo como análisis de sensibilidad (Apéndice M).</w:t>
      </w:r>
    </w:p>
    <w:p/>
    <w:p>
      <w:r>
        <w:rPr>
          <w:b/>
          <w:sz w:val="22"/>
        </w:rPr>
        <w:t>2. ¿Por qué una versión anterior informaba +3,70 pp en el Resumen y +1,52 pp en la Tabla 8.3?</w:t>
      </w:r>
    </w:p>
    <w:p>
      <w:r>
        <w:rPr>
          <w:sz w:val="21"/>
        </w:rPr>
        <w:t>Esa discrepancia provenía de una versión que mezclaba dos series (primaria en el Resumen y ponderada en las tablas). Está corregido: TODO el documento usa la serie primaria con corte 2011:T2, de una única corrida. El salto de nivel es +3,89 pp y coincide en el Resumen, la Tabla y las Conclusiones. No hay números híbridos.</w:t>
      </w:r>
    </w:p>
    <w:p/>
    <w:p>
      <w:r>
        <w:rPr>
          <w:b/>
          <w:sz w:val="22"/>
        </w:rPr>
        <w:t>3. ¿Por qué una tabla decía que β6 no era significativo con p=0,012?</w:t>
      </w:r>
    </w:p>
    <w:p>
      <w:r>
        <w:rPr>
          <w:sz w:val="21"/>
        </w:rPr>
        <w:t>También era producto de la mezcla de series (el 0,012 venía de la ponderada). Con la serie primaria y corte T2, β6 (D2011×dolarización) = −0,234 con p=0,088 (no significativo al 5 %), y la tabla y el texto reportan el mismo valor.</w:t>
      </w:r>
    </w:p>
    <w:p/>
    <w:p>
      <w:r>
        <w:rPr>
          <w:b/>
          <w:sz w:val="22"/>
        </w:rPr>
        <w:t>4. ¿Cómo explica que el do-file diera p≈0,70 y el texto p=0,008 para las interacciones?</w:t>
      </w:r>
    </w:p>
    <w:p>
      <w:r>
        <w:rPr>
          <w:sz w:val="21"/>
        </w:rPr>
        <w:t>Misma causa: el 0,008 era de la serie ponderada; el valor de la serie primaria es la prueba de Wald conjunta F=2,00; p=0,142, idéntica en el do-file (Apéndice G) y en el texto.</w:t>
      </w:r>
    </w:p>
    <w:p/>
    <w:p>
      <w:r>
        <w:rPr>
          <w:b/>
          <w:sz w:val="22"/>
        </w:rPr>
        <w:t>5. ¿Por qué D2011 desde T1 si la resolución es de mayo (T2)?</w:t>
      </w:r>
    </w:p>
    <w:p>
      <w:r>
        <w:rPr>
          <w:sz w:val="21"/>
        </w:rPr>
        <w:t>Se adoptó 2011:T2 como corte principal, el trimestre de la Resolución N.º 22, Acta N.º 31 del 18/05/2011. Además, la prueba de quiebre endógeno sobre la prima de riesgo rp (Apéndice C) sitúa la ruptura exactamente en 2011:T2 (supremo de Wald = 43,66; p&lt;0,001): la fecha no es solo institucional, la eligen los datos. El corte T1 queda como sensibilidad (Apéndice L), con conclusiones idénticas (salto +3,71 pp; pendientes estables p=0,717).</w:t>
      </w:r>
    </w:p>
    <w:p/>
    <w:p>
      <w:r>
        <w:rPr>
          <w:b/>
          <w:sz w:val="22"/>
        </w:rPr>
        <w:t>6. ¿Por qué llama «iliquidez» a la dolarización de depósitos?</w:t>
      </w:r>
    </w:p>
    <w:p>
      <w:r>
        <w:rPr>
          <w:sz w:val="21"/>
        </w:rPr>
        <w:t>La dolarización es una proxy del componente de iliquidez/segmentación del mercado de fondos prestables (Ize &amp; Levy-Yeyati, 2003): alta dolarización indica un mercado segmentado por moneda. Se reconoce que también capta cobertura cambiaria y calce de monedas; por eso se la nombra «dolarización/segmentación» y la lectura de iliquidez se presenta como interpretación tentativa, no como identificación pura.</w:t>
      </w:r>
    </w:p>
    <w:p/>
    <w:p>
      <w:r>
        <w:rPr>
          <w:b/>
          <w:sz w:val="22"/>
        </w:rPr>
        <w:t>7. ¿Por qué rp es una prima de riesgo y no simplemente un residuo contable?</w:t>
      </w:r>
    </w:p>
    <w:p>
      <w:r>
        <w:rPr>
          <w:sz w:val="21"/>
        </w:rPr>
        <w:t>rp = diferencial de tasas − diferencial de inflación es un diferencial real residual que aproxima la prima de riesgo tras remover el componente Fisher. Se declara el error de medición (usa inflación observada como proxy de la esperada) y por eso se lo denomina proxy / diferencial real residual, no prima identificada de forma pura. Su patrón (negativo pre-2011, positivo post) es económicamente interpretable.</w:t>
      </w:r>
    </w:p>
    <w:p/>
    <w:p>
      <w:r>
        <w:rPr>
          <w:b/>
          <w:sz w:val="22"/>
        </w:rPr>
        <w:t>8. ¿Por qué usa inflación observada contemporánea como expectativa?</w:t>
      </w:r>
    </w:p>
    <w:p>
      <w:r>
        <w:rPr>
          <w:sz w:val="21"/>
        </w:rPr>
        <w:t>Es el estándar empírico ante la ausencia de una serie de expectativas de inflación de horizonte homogéneo para Paraguay 2004–2024. El error de medición se declara; la robustez del resultado de nivel a múltiples especificaciones sugiere que no distorsiona la conclusión central.</w:t>
      </w:r>
    </w:p>
    <w:p/>
    <w:p>
      <w:r>
        <w:rPr>
          <w:b/>
          <w:sz w:val="22"/>
        </w:rPr>
        <w:t>9. ¿Son comparables un CDA local en dólares, la Fed Funds y el IPC de EE. UU.?</w:t>
      </w:r>
    </w:p>
    <w:p>
      <w:r>
        <w:rPr>
          <w:sz w:val="21"/>
        </w:rPr>
        <w:t>El diferencial se construye con dos CDA del mismo sistema bancario (Gs y USD), plenamente comparables. La Fed Funds y el IPC de EE. UU. entran solo como referencias del bloque externo. Se reconoce que el CDA en USD local conserva riesgo bancario y soberano local (no es libre de riesgo) y el lenguaje se acota en consecuencia.</w:t>
      </w:r>
    </w:p>
    <w:p/>
    <w:p>
      <w:r>
        <w:rPr>
          <w:b/>
          <w:sz w:val="22"/>
        </w:rPr>
        <w:t>10. ¿Cómo verificó cada valor contra BCP/FRED? Muestre el archivo fuente y la fila.</w:t>
      </w:r>
    </w:p>
    <w:p>
      <w:r>
        <w:rPr>
          <w:sz w:val="21"/>
        </w:rPr>
        <w:t>Con trazabilidad completa (Apéndices O y P): por cada serie, la fuente oficial, el cuadro/columna, la URL, la fecha de extracción y el archivo crudo conservado en data/raw/. FRED se re-descargó y coincide byte a byte; las series del Anexo del BCP se cotejaron celda por celda; y el do-file verifica con un assert que la inflación recalculada coincide con la publicada. El do-file, la base y los crudos constituyen el anexo digital reproducible.</w:t>
      </w:r>
    </w:p>
    <w:p/>
    <w:p>
      <w:r>
        <w:rPr>
          <w:b/>
          <w:sz w:val="22"/>
        </w:rPr>
        <w:t>11. ¿Dónde está el script Python y el informe de coincidencia 50/50?</w:t>
      </w:r>
    </w:p>
    <w:p>
      <w:r>
        <w:rPr>
          <w:sz w:val="21"/>
        </w:rPr>
        <w:t>La réplica en Python se usó durante el desarrollo y se retiró del entregable. La validación definitiva es la corrida real del do-file en Stata 17: su registro (output/tesis_cda.log) reproduce cada cifra del documento. El do-file es la única implementación canónica.</w:t>
      </w:r>
    </w:p>
    <w:p/>
    <w:p>
      <w:r>
        <w:rPr>
          <w:b/>
          <w:sz w:val="22"/>
        </w:rPr>
        <w:t>12. ¿Cómo evita una regresión espuria si las pruebas de integración son mixtas?</w:t>
      </w:r>
    </w:p>
    <w:p>
      <w:r>
        <w:rPr>
          <w:sz w:val="21"/>
        </w:rPr>
        <w:t>Las pruebas ADF/PP/KPSS (Apéndice B) muestran explicativas aproximadamente integradas, por lo que el modelo se interpreta como una relación de cointegración. La prueba de Engle-Granger (Apéndice I) confirma que los residuos son estacionarios (ADF = −5,00; p&lt;0,001), lo que descarta la regresión espuria.</w:t>
      </w:r>
    </w:p>
    <w:p/>
    <w:p>
      <w:r>
        <w:rPr>
          <w:b/>
          <w:sz w:val="22"/>
        </w:rPr>
        <w:t>13. ¿Qué cambia al usar conversión compuesta de tasas y D2011 desde T2?</w:t>
      </w:r>
    </w:p>
    <w:p>
      <w:r>
        <w:rPr>
          <w:sz w:val="21"/>
        </w:rPr>
        <w:t>Conversión compuesta (1+i)^(1/4)−1 en la regresión de Fama: β prácticamente no cambia (≈1,21; no se rechaza β=1). D2011 desde T2 (principal): salto de nivel +3,89 pp (vs +3,71 con T1); pendientes igualmente estables (p=0,142 vs 0,717). Ninguna conclusión cambia.</w:t>
      </w:r>
    </w:p>
    <w:p/>
    <w:p>
      <w:r>
        <w:rPr>
          <w:b/>
          <w:sz w:val="22"/>
        </w:rPr>
        <w:t>14. ¿Por qué afirma que no existe mercado forward si el BCP publica operaciones y curva forward?</w:t>
      </w:r>
    </w:p>
    <w:p>
      <w:r>
        <w:rPr>
          <w:sz w:val="21"/>
        </w:rPr>
        <w:t>El texto ya no afirma inexistencia. Se habla de «limitada profundidad y liquidez del mercado forward local» para el arbitraje cubierto: se reconoce que el BCP publica operaciones y una curva forward, pero con cobertura temporal y profundidad limitadas para el período y los instrumentos analizados.</w:t>
      </w:r>
    </w:p>
    <w:p/>
    <w:p>
      <w:pPr>
        <w:pStyle w:val="Heading1"/>
      </w:pPr>
      <w:r>
        <w:t>Mensaje central para la mesa (30 segundos)</w:t>
      </w:r>
    </w:p>
    <w:p>
      <w:r>
        <w:t>Con una base única, verificable y sin invenciones, documentamos que tras la adopción de Metas de Inflación (2011:T2) el diferencial de retornos entre CDA se recompuso: la prima de inflación se comprimió (−3,07 pp) y emergió una prima de riesgo positiva donde antes era negativa (salto de +3,89 pp; p&lt;0,001). El quiebre endógeno de la prima cae exactamente en 2011:T2. La recomposición ocurre entre primas —un cambio de nivel—, no dentro de la estructura interna de la prima de riesgo (la prueba conjunta de pendientes no la respalda: F=2,00; p=0,142). Reportamos ese matiz tal como sale: una confirmación parcial, honesta y reproducible.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