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Apéndice</w:t>
      </w:r>
    </w:p>
    <w:p>
      <w:r>
        <w:rPr>
          <w:rFonts w:ascii="Arial" w:hAnsi="Arial"/>
          <w:i w:val="0"/>
          <w:sz w:val="20"/>
        </w:rPr>
        <w:t>Cada apéndice reproduce el comando de Stata 17 y su salida tal como surge de la corrida del do-file tesis_cda.do sobre la base base_cda.csv (84 trimestres, 2004:T1–2024:T4; serie principal: tramo CDA ≤365 días; corte institucional principal: 2011:T2). Las salidas se reproducen sin ajustes; provienen del archivo de registro output/tesis_cda.log.</w:t>
      </w:r>
    </w:p>
    <w:p>
      <w:r>
        <w:br w:type="page"/>
      </w:r>
    </w:p>
    <w:p>
      <w:pPr>
        <w:pStyle w:val="Heading2"/>
      </w:pPr>
      <w:r>
        <w:t>Apéndice A. Estadística descriptiva de las series por subperíodo (corte 2011:T2)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. tabstat difn DR DRcons InflDiff rp, by(D2011) statistics(n mean sd min p50 max) columns(statistics)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Summary for variables: difn DR DRcons InflDiff rp</w:t>
        <w:br/>
      </w:r>
      <w:r>
        <w:rPr>
          <w:rFonts w:ascii="Consolas" w:hAnsi="Consolas"/>
          <w:sz w:val="15"/>
        </w:rPr>
        <w:t>Group variable: D2011 (Post-regimen (&gt;=2011T2, principal))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 xml:space="preserve">   D2011 |         N      Mean        SD       Min       p50       Max</w:t>
        <w:br/>
      </w:r>
      <w:r>
        <w:rPr>
          <w:rFonts w:ascii="Consolas" w:hAnsi="Consolas"/>
          <w:sz w:val="15"/>
        </w:rPr>
        <w:t>---------+------------------------------------------------------------</w:t>
        <w:br/>
      </w:r>
      <w:r>
        <w:rPr>
          <w:rFonts w:ascii="Consolas" w:hAnsi="Consolas"/>
          <w:sz w:val="15"/>
        </w:rPr>
        <w:t xml:space="preserve">       0 |        29  2.806779  1.475885  .8850002    2.5933    8.1467      difn</w:t>
        <w:br/>
      </w:r>
      <w:r>
        <w:rPr>
          <w:rFonts w:ascii="Consolas" w:hAnsi="Consolas"/>
          <w:sz w:val="15"/>
        </w:rPr>
        <w:t xml:space="preserve">         |        29  1.929235  5.765756  -21.7747  2.463284  12.94143      DR</w:t>
        <w:br/>
      </w:r>
      <w:r>
        <w:rPr>
          <w:rFonts w:ascii="Consolas" w:hAnsi="Consolas"/>
          <w:sz w:val="15"/>
        </w:rPr>
        <w:t xml:space="preserve">         |        29 -.5550785  4.290326  -21.7747    .56875  2.036675      DRcons</w:t>
        <w:br/>
      </w:r>
      <w:r>
        <w:rPr>
          <w:rFonts w:ascii="Consolas" w:hAnsi="Consolas"/>
          <w:sz w:val="15"/>
        </w:rPr>
        <w:t xml:space="preserve">         |        25  4.719871  2.726745  -.953639  4.107531   9.95689      InflDiff</w:t>
        <w:br/>
      </w:r>
      <w:r>
        <w:rPr>
          <w:rFonts w:ascii="Consolas" w:hAnsi="Consolas"/>
          <w:sz w:val="15"/>
        </w:rPr>
        <w:t xml:space="preserve">         |        25 -2.265071  2.803874  -8.11689 -2.147531  3.227039      rp</w:t>
        <w:br/>
      </w:r>
      <w:r>
        <w:rPr>
          <w:rFonts w:ascii="Consolas" w:hAnsi="Consolas"/>
          <w:sz w:val="15"/>
        </w:rPr>
        <w:t>---------+------------------------------------------------------------</w:t>
        <w:br/>
      </w:r>
      <w:r>
        <w:rPr>
          <w:rFonts w:ascii="Consolas" w:hAnsi="Consolas"/>
          <w:sz w:val="15"/>
        </w:rPr>
        <w:t xml:space="preserve">       1 |        55  3.283662  1.102242    1.3367      3.23  5.593301      difn</w:t>
        <w:br/>
      </w:r>
      <w:r>
        <w:rPr>
          <w:rFonts w:ascii="Consolas" w:hAnsi="Consolas"/>
          <w:sz w:val="15"/>
        </w:rPr>
        <w:t xml:space="preserve">         |        54 -.4829109  3.485183 -9.603506 -.5415331  7.641005      DR</w:t>
        <w:br/>
      </w:r>
      <w:r>
        <w:rPr>
          <w:rFonts w:ascii="Consolas" w:hAnsi="Consolas"/>
          <w:sz w:val="15"/>
        </w:rPr>
        <w:t xml:space="preserve">         |        54 -1.235727  2.602828 -9.603506 -.5415331  1.365825      DRcons</w:t>
        <w:br/>
      </w:r>
      <w:r>
        <w:rPr>
          <w:rFonts w:ascii="Consolas" w:hAnsi="Consolas"/>
          <w:sz w:val="15"/>
        </w:rPr>
        <w:t xml:space="preserve">         |        55   1.65521  1.419379 -.8321977  1.510283  5.592872      InflDiff</w:t>
        <w:br/>
      </w:r>
      <w:r>
        <w:rPr>
          <w:rFonts w:ascii="Consolas" w:hAnsi="Consolas"/>
          <w:sz w:val="15"/>
        </w:rPr>
        <w:t xml:space="preserve">         |        55  1.628452  1.289507 -.6856518  1.544064   5.47426      rp</w:t>
        <w:br/>
      </w:r>
      <w:r>
        <w:rPr>
          <w:rFonts w:ascii="Consolas" w:hAnsi="Consolas"/>
          <w:sz w:val="15"/>
        </w:rPr>
        <w:t>---------+------------------------------------------------------------</w:t>
        <w:br/>
      </w:r>
      <w:r>
        <w:rPr>
          <w:rFonts w:ascii="Consolas" w:hAnsi="Consolas"/>
          <w:sz w:val="15"/>
        </w:rPr>
        <w:t xml:space="preserve">   Total |        84  3.119024  1.255904  .8850002    3.0983    8.1467      difn</w:t>
        <w:br/>
      </w:r>
      <w:r>
        <w:rPr>
          <w:rFonts w:ascii="Consolas" w:hAnsi="Consolas"/>
          <w:sz w:val="15"/>
        </w:rPr>
        <w:t xml:space="preserve">         |        83   .359887  4.532235  -21.7747   .488668  12.94143      DR</w:t>
        <w:br/>
      </w:r>
      <w:r>
        <w:rPr>
          <w:rFonts w:ascii="Consolas" w:hAnsi="Consolas"/>
          <w:sz w:val="15"/>
        </w:rPr>
        <w:t xml:space="preserve">         |        83 -.9979099  3.281868  -21.7747       .25  2.036675      DRcons</w:t>
        <w:br/>
      </w:r>
      <w:r>
        <w:rPr>
          <w:rFonts w:ascii="Consolas" w:hAnsi="Consolas"/>
          <w:sz w:val="15"/>
        </w:rPr>
        <w:t xml:space="preserve">         |        80  2.612916  2.383119  -.953639  1.989453   9.95689      InflDiff</w:t>
        <w:br/>
      </w:r>
      <w:r>
        <w:rPr>
          <w:rFonts w:ascii="Consolas" w:hAnsi="Consolas"/>
          <w:sz w:val="15"/>
        </w:rPr>
        <w:t xml:space="preserve">         |        80   .411726  2.612114  -8.11689  1.004833   5.47426      rp</w:t>
        <w:br/>
      </w:r>
      <w:r>
        <w:rPr>
          <w:rFonts w:ascii="Consolas" w:hAnsi="Consolas"/>
          <w:sz w:val="15"/>
        </w:rPr>
        <w:t>----------------------------------------------------------------------</w:t>
      </w:r>
    </w:p>
    <w:p>
      <w:pPr>
        <w:pStyle w:val="Heading2"/>
      </w:pPr>
      <w:r>
        <w:t>Apéndice B. Pruebas de raíz unitaria (ADF, Phillips-Perron y KPSS) sobre las series del modelo</w:t>
      </w:r>
    </w:p>
    <w:p>
      <w:r>
        <w:rPr>
          <w:rFonts w:ascii="Arial" w:hAnsi="Arial"/>
          <w:i w:val="0"/>
          <w:sz w:val="20"/>
        </w:rPr>
        <w:t>H0 del ADF y Phillips-Perron: la serie tiene raíz unitaria. H0 del KPSS: la serie es estacionaria (nula invertida). Se corren sobre la muestra contigua de cada serie.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. dfuller DR, lags(4)                             . dfuller rp, lags(4)</w:t>
        <w:br/>
      </w:r>
      <w:r>
        <w:rPr>
          <w:rFonts w:ascii="Consolas" w:hAnsi="Consolas"/>
          <w:sz w:val="15"/>
        </w:rPr>
        <w:t xml:space="preserve"> Z(t) = -4.346   MacKinnon p = 0.0004  (obs 78)   Z(t) = -2.288   MacKinnon p = 0.1759  (obs 75)</w:t>
        <w:br/>
      </w:r>
      <w:r>
        <w:rPr>
          <w:rFonts w:ascii="Consolas" w:hAnsi="Consolas"/>
          <w:sz w:val="15"/>
        </w:rPr>
        <w:t>. pperron DR                                      . pperron rp</w:t>
        <w:br/>
      </w:r>
      <w:r>
        <w:rPr>
          <w:rFonts w:ascii="Consolas" w:hAnsi="Consolas"/>
          <w:sz w:val="15"/>
        </w:rPr>
        <w:t xml:space="preserve"> Z(t) = -7.330   MacKinnon p = 0.0000  (obs 82)   Z(t) = -5.127   MacKinnon p = 0.0000  (obs 79)</w:t>
        <w:br/>
      </w:r>
      <w:r>
        <w:rPr>
          <w:rFonts w:ascii="Consolas" w:hAnsi="Consolas"/>
          <w:sz w:val="15"/>
        </w:rPr>
        <w:t>. kpss DR, maxlag(4)   stat(lag 4) = 0.0537       . kpss rp, maxlag(4)   stat(lag 4) = 0.147</w:t>
        <w:br/>
      </w:r>
      <w:r>
        <w:rPr>
          <w:rFonts w:ascii="Consolas" w:hAnsi="Consolas"/>
          <w:sz w:val="15"/>
        </w:rPr>
        <w:t xml:space="preserve">   (KPSS valores criticos: 10% 0.119 | 5% 0.146 | 1% 0.216)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. dfuller VolTC, lags(4)   Z(t)=-2.304  p=0.1708      . kpss VolTC   stat(4)=0.195</w:t>
        <w:br/>
      </w:r>
      <w:r>
        <w:rPr>
          <w:rFonts w:ascii="Consolas" w:hAnsi="Consolas"/>
          <w:sz w:val="15"/>
        </w:rPr>
        <w:t>. pperron VolTC           Z(t)=-2.436  p=0.1318</w:t>
        <w:br/>
      </w:r>
      <w:r>
        <w:rPr>
          <w:rFonts w:ascii="Consolas" w:hAnsi="Consolas"/>
          <w:sz w:val="15"/>
        </w:rPr>
        <w:t>. dfuller dolar, lags(4)   Z(t)=-2.086  p=0.2502      . kpss dolar   stat(4)=0.248</w:t>
        <w:br/>
      </w:r>
      <w:r>
        <w:rPr>
          <w:rFonts w:ascii="Consolas" w:hAnsi="Consolas"/>
          <w:sz w:val="15"/>
        </w:rPr>
        <w:t>. pperron dolar           Z(t)=-2.825  p=0.0548</w:t>
        <w:br/>
      </w:r>
      <w:r>
        <w:rPr>
          <w:rFonts w:ascii="Consolas" w:hAnsi="Consolas"/>
          <w:sz w:val="15"/>
        </w:rPr>
        <w:t>. dfuller InflDiff, lags(4) Z(t)=-2.324 p=0.1643      . kpss InflDiff stat(4)=0.0583</w:t>
        <w:br/>
      </w:r>
      <w:r>
        <w:rPr>
          <w:rFonts w:ascii="Consolas" w:hAnsi="Consolas"/>
          <w:sz w:val="15"/>
        </w:rPr>
        <w:t>. pperron InflDiff        Z(t)=-4.524  p=0.0002</w:t>
      </w:r>
    </w:p>
    <w:p>
      <w:r>
        <w:rPr>
          <w:rFonts w:ascii="Arial" w:hAnsi="Arial"/>
          <w:i w:val="0"/>
          <w:sz w:val="20"/>
        </w:rPr>
        <w:t>El diferencial de retorno DR es fuertemente estacionario (ADF y PP rechazan al 1 %). Las explicativas se comportan como series aproximadamente integradas → cointegración (Apéndice I).</w:t>
      </w:r>
    </w:p>
    <w:p>
      <w:pPr>
        <w:pStyle w:val="Heading2"/>
      </w:pPr>
      <w:r>
        <w:t>Apéndice C. Contraste de quiebre estructural con fecha endógena (estat sbsingle)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. regress DR L.DR</w:t>
        <w:br/>
      </w:r>
      <w:r>
        <w:rPr>
          <w:rFonts w:ascii="Consolas" w:hAnsi="Consolas"/>
          <w:sz w:val="15"/>
        </w:rPr>
        <w:t>. estat sbsingle</w:t>
        <w:br/>
      </w:r>
      <w:r>
        <w:rPr>
          <w:rFonts w:ascii="Consolas" w:hAnsi="Consolas"/>
          <w:sz w:val="15"/>
        </w:rPr>
        <w:t>Test for a structural break: Unknown break date</w:t>
        <w:br/>
      </w:r>
      <w:r>
        <w:rPr>
          <w:rFonts w:ascii="Consolas" w:hAnsi="Consolas"/>
          <w:sz w:val="15"/>
        </w:rPr>
        <w:t>Full sample: 2 thru 83   Trimmed sample: 15 thru 71   Estimated break date: 18  -&gt;  2008:T2</w:t>
        <w:br/>
      </w:r>
      <w:r>
        <w:rPr>
          <w:rFonts w:ascii="Consolas" w:hAnsi="Consolas"/>
          <w:sz w:val="15"/>
        </w:rPr>
        <w:t xml:space="preserve">                         Number of obs = 82</w:t>
        <w:br/>
      </w:r>
      <w:r>
        <w:rPr>
          <w:rFonts w:ascii="Consolas" w:hAnsi="Consolas"/>
          <w:sz w:val="15"/>
        </w:rPr>
        <w:t xml:space="preserve">             Test    Statistic      p-value</w:t>
        <w:br/>
      </w:r>
      <w:r>
        <w:rPr>
          <w:rFonts w:ascii="Consolas" w:hAnsi="Consolas"/>
          <w:sz w:val="15"/>
        </w:rPr>
        <w:t xml:space="preserve">    Supremum Wald       7.8200       0.2192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. regress rp L.rp</w:t>
        <w:br/>
      </w:r>
      <w:r>
        <w:rPr>
          <w:rFonts w:ascii="Consolas" w:hAnsi="Consolas"/>
          <w:sz w:val="15"/>
        </w:rPr>
        <w:t>. estat sbsingle</w:t>
        <w:br/>
      </w:r>
      <w:r>
        <w:rPr>
          <w:rFonts w:ascii="Consolas" w:hAnsi="Consolas"/>
          <w:sz w:val="15"/>
        </w:rPr>
        <w:t>Test for a structural break: Unknown break date</w:t>
        <w:br/>
      </w:r>
      <w:r>
        <w:rPr>
          <w:rFonts w:ascii="Consolas" w:hAnsi="Consolas"/>
          <w:sz w:val="15"/>
        </w:rPr>
        <w:t>Full sample: 2 thru 80   Trimmed sample: 14 thru 69   Estimated break date: 26  -&gt;  2011:T2</w:t>
        <w:br/>
      </w:r>
      <w:r>
        <w:rPr>
          <w:rFonts w:ascii="Consolas" w:hAnsi="Consolas"/>
          <w:sz w:val="15"/>
        </w:rPr>
        <w:t xml:space="preserve">                         Number of obs = 79</w:t>
        <w:br/>
      </w:r>
      <w:r>
        <w:rPr>
          <w:rFonts w:ascii="Consolas" w:hAnsi="Consolas"/>
          <w:sz w:val="15"/>
        </w:rPr>
        <w:t xml:space="preserve">             Test    Statistic      p-value</w:t>
        <w:br/>
      </w:r>
      <w:r>
        <w:rPr>
          <w:rFonts w:ascii="Consolas" w:hAnsi="Consolas"/>
          <w:sz w:val="15"/>
        </w:rPr>
        <w:t xml:space="preserve">    Supremum Wald      43.6614       0.0000</w:t>
      </w:r>
    </w:p>
    <w:p>
      <w:r>
        <w:rPr>
          <w:rFonts w:ascii="Arial" w:hAnsi="Arial"/>
          <w:i w:val="0"/>
          <w:sz w:val="20"/>
        </w:rPr>
        <w:t>El quiebre endógeno de la prima de riesgo rp cae exactamente en 2011:T2 (supremo de Wald 43,66; p&lt;0,001), el trimestre de la Resolución N.º 22, Acta N.º 31 del BCP: respalda el corte adoptado.</w:t>
      </w:r>
    </w:p>
    <w:p>
      <w:pPr>
        <w:pStyle w:val="Heading2"/>
      </w:pPr>
      <w:r>
        <w:t>Apéndice D. Regresión de Fama y contraste de la Paridad Descubierta de Tasas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. newey depLead difq, lag(4)                    [Total]</w:t>
        <w:br/>
      </w:r>
      <w:r>
        <w:rPr>
          <w:rFonts w:ascii="Consolas" w:hAnsi="Consolas"/>
          <w:sz w:val="15"/>
        </w:rPr>
        <w:t>Regression with Newey–West standard errors     Number of obs = 83    Maximum lag = 4</w:t>
        <w:br/>
      </w:r>
      <w:r>
        <w:rPr>
          <w:rFonts w:ascii="Consolas" w:hAnsi="Consolas"/>
          <w:sz w:val="15"/>
        </w:rPr>
        <w:t>------------------------------------------------------------------------------</w:t>
        <w:br/>
      </w:r>
      <w:r>
        <w:rPr>
          <w:rFonts w:ascii="Consolas" w:hAnsi="Consolas"/>
          <w:sz w:val="15"/>
        </w:rPr>
        <w:t xml:space="preserve">     depLead | Coefficient  std. err.      t    P&gt;|t|     [95% conf. interval]</w:t>
        <w:br/>
      </w:r>
      <w:r>
        <w:rPr>
          <w:rFonts w:ascii="Consolas" w:hAnsi="Consolas"/>
          <w:sz w:val="15"/>
        </w:rPr>
        <w:t>-------------+----------------------------------------------------------------</w:t>
        <w:br/>
      </w:r>
      <w:r>
        <w:rPr>
          <w:rFonts w:ascii="Consolas" w:hAnsi="Consolas"/>
          <w:sz w:val="15"/>
        </w:rPr>
        <w:t xml:space="preserve">        difq |   1.163497   1.269541    0.92   0.362    -1.362491    3.689485</w:t>
        <w:br/>
      </w:r>
      <w:r>
        <w:rPr>
          <w:rFonts w:ascii="Consolas" w:hAnsi="Consolas"/>
          <w:sz w:val="15"/>
        </w:rPr>
        <w:t xml:space="preserve">       _cons |  -.4877238   1.282599   -0.38   0.705    -3.039694    2.064246</w:t>
        <w:br/>
      </w:r>
      <w:r>
        <w:rPr>
          <w:rFonts w:ascii="Consolas" w:hAnsi="Consolas"/>
          <w:sz w:val="15"/>
        </w:rPr>
        <w:t>------------------------------------------------------------------------------</w:t>
        <w:br/>
      </w:r>
      <w:r>
        <w:rPr>
          <w:rFonts w:ascii="Consolas" w:hAnsi="Consolas"/>
          <w:sz w:val="15"/>
        </w:rPr>
        <w:t>. test difq = 1     -&gt;  F(1,81) = 0.02   Prob &gt; F = 0.8978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. newey depLead difq if D2011==0, lag(4)   [Pre-2011:T2, n=29]  difq=.0518615  test difq=1: F=0.35 p=0.5569</w:t>
        <w:br/>
      </w:r>
      <w:r>
        <w:rPr>
          <w:rFonts w:ascii="Consolas" w:hAnsi="Consolas"/>
          <w:sz w:val="15"/>
        </w:rPr>
        <w:t>. newey depLead difq if D2011==1, lag(4)   [Post-2011:T2, n=54] difq=.8363325  test difq=1: F=0.02 p=0.8999</w:t>
      </w:r>
    </w:p>
    <w:p>
      <w:r>
        <w:rPr>
          <w:rFonts w:ascii="Arial" w:hAnsi="Arial"/>
          <w:i w:val="0"/>
          <w:sz w:val="20"/>
        </w:rPr>
        <w:t>β no se distingue de 1 en ninguna muestra (contraste no concluyente, R²≈0,01): con estos datos no se rechaza la Paridad Descubierta.</w:t>
      </w:r>
    </w:p>
    <w:p>
      <w:pPr>
        <w:pStyle w:val="Heading2"/>
      </w:pPr>
      <w:r>
        <w:t>Apéndice E. Prueba conservadora del retorno del guaraní (DRcons)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. newey DRcons, lag(4)               [Total]      _cons=-.9979099 (t=-2.76)   p_1cola(H1&gt;0)=0.9964</w:t>
        <w:br/>
      </w:r>
      <w:r>
        <w:rPr>
          <w:rFonts w:ascii="Consolas" w:hAnsi="Consolas"/>
          <w:sz w:val="15"/>
        </w:rPr>
        <w:t>. newey DRcons if D2011==1, lag(4)   [Post]       _cons=-1.235727  (t=-3.66)   p_1cola(H1&gt;0)=0.9997</w:t>
      </w:r>
    </w:p>
    <w:p>
      <w:r>
        <w:rPr>
          <w:rFonts w:ascii="Arial" w:hAnsi="Arial"/>
          <w:i w:val="0"/>
          <w:sz w:val="20"/>
        </w:rPr>
        <w:t>La media conservadora es negativa y significativamente &lt; 0 post-2011: excluidas las apreciaciones, el guaraní del tramo corto no ofrece premio positivo.</w:t>
      </w:r>
    </w:p>
    <w:p>
      <w:pPr>
        <w:pStyle w:val="Heading2"/>
      </w:pPr>
      <w:r>
        <w:t>Apéndice F. Descomposición de Fisher (prima de inflación vs. prima de riesgo)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Medias por subperiodo (muestra con rp no faltante):</w:t>
        <w:br/>
      </w:r>
      <w:r>
        <w:rPr>
          <w:rFonts w:ascii="Consolas" w:hAnsi="Consolas"/>
          <w:sz w:val="15"/>
        </w:rPr>
        <w:t xml:space="preserve">   Pre-2011:T2  (n=25): difn=2.4548   InflDiff=4.719871   rp=-2.265071</w:t>
        <w:br/>
      </w:r>
      <w:r>
        <w:rPr>
          <w:rFonts w:ascii="Consolas" w:hAnsi="Consolas"/>
          <w:sz w:val="15"/>
        </w:rPr>
        <w:t xml:space="preserve">   Post-2011:T2 (n=55): difn=3.283662 InflDiff=1.65521    rp= 1.628452</w:t>
        <w:br/>
      </w:r>
      <w:r>
        <w:rPr>
          <w:rFonts w:ascii="Consolas" w:hAnsi="Consolas"/>
          <w:sz w:val="15"/>
        </w:rPr>
        <w:br/>
      </w:r>
      <w:r>
        <w:rPr>
          <w:rFonts w:ascii="Consolas" w:hAnsi="Consolas"/>
          <w:sz w:val="15"/>
        </w:rPr>
        <w:t>. newey rp D2011 if !missing(rp), lag(4)        D2011 = 3.893523 (t=6.44; p=0.000)  -&gt; Delta rp = +3.894</w:t>
        <w:br/>
      </w:r>
      <w:r>
        <w:rPr>
          <w:rFonts w:ascii="Consolas" w:hAnsi="Consolas"/>
          <w:sz w:val="15"/>
        </w:rPr>
        <w:t>. newey InflDiff D2011 if !missing(rp), lag(4)  D2011 = -3.064661 (t=-4.33; p=0.000) -&gt; Delta Infl = -3.065</w:t>
        <w:br/>
      </w:r>
      <w:r>
        <w:rPr>
          <w:rFonts w:ascii="Consolas" w:hAnsi="Consolas"/>
          <w:sz w:val="15"/>
        </w:rPr>
        <w:t>. newey difn D2011 if !missing(rp), lag(4)      D2011 = 0.828862 (t=2.41; p=0.019)  -&gt; Delta difn = +0.829</w:t>
      </w:r>
    </w:p>
    <w:p>
      <w:r>
        <w:rPr>
          <w:rFonts w:ascii="Arial" w:hAnsi="Arial"/>
          <w:i w:val="0"/>
          <w:sz w:val="20"/>
        </w:rPr>
        <w:t>Tras 2011:T2 la prima de inflación se contrae (−3,07 pp; p&lt;0,001) y emerge una prima de riesgo positiva donde era negativa (de −2,27 a +1,63; salto de +3,89 pp; p&lt;0,001). Primera capa confirmada.</w:t>
      </w:r>
    </w:p>
    <w:p>
      <w:pPr>
        <w:pStyle w:val="Heading2"/>
      </w:pPr>
      <w:r>
        <w:t>Apéndice G. Modelo central MCO-HAC con interacciones sobre la prima de riesgo (corte 2011:T2)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. newey rp VolTC_c dolar_c D2011 DxVolTC DxDolar, lag(4)</w:t>
        <w:br/>
      </w:r>
      <w:r>
        <w:rPr>
          <w:rFonts w:ascii="Consolas" w:hAnsi="Consolas"/>
          <w:sz w:val="15"/>
        </w:rPr>
        <w:t>Regression with Newey–West standard errors      Number of obs     =         80</w:t>
        <w:br/>
      </w:r>
      <w:r>
        <w:rPr>
          <w:rFonts w:ascii="Consolas" w:hAnsi="Consolas"/>
          <w:sz w:val="15"/>
        </w:rPr>
        <w:t>Maximum lag = 4                                 F(  5,        74) =      21.71</w:t>
        <w:br/>
      </w:r>
      <w:r>
        <w:rPr>
          <w:rFonts w:ascii="Consolas" w:hAnsi="Consolas"/>
          <w:sz w:val="15"/>
        </w:rPr>
        <w:t xml:space="preserve">                                                Prob &gt; F          =     0.0000</w:t>
        <w:br/>
      </w:r>
      <w:r>
        <w:rPr>
          <w:rFonts w:ascii="Consolas" w:hAnsi="Consolas"/>
          <w:sz w:val="15"/>
        </w:rPr>
        <w:t>------------------------------------------------------------------------------</w:t>
        <w:br/>
      </w:r>
      <w:r>
        <w:rPr>
          <w:rFonts w:ascii="Consolas" w:hAnsi="Consolas"/>
          <w:sz w:val="15"/>
        </w:rPr>
        <w:t xml:space="preserve">             |             Newey–West</w:t>
        <w:br/>
      </w:r>
      <w:r>
        <w:rPr>
          <w:rFonts w:ascii="Consolas" w:hAnsi="Consolas"/>
          <w:sz w:val="15"/>
        </w:rPr>
        <w:t xml:space="preserve">          rp | Coefficient  std. err.      t    P&gt;|t|     [95% conf. interval]</w:t>
        <w:br/>
      </w:r>
      <w:r>
        <w:rPr>
          <w:rFonts w:ascii="Consolas" w:hAnsi="Consolas"/>
          <w:sz w:val="15"/>
        </w:rPr>
        <w:t>-------------+----------------------------------------------------------------</w:t>
        <w:br/>
      </w:r>
      <w:r>
        <w:rPr>
          <w:rFonts w:ascii="Consolas" w:hAnsi="Consolas"/>
          <w:sz w:val="15"/>
        </w:rPr>
        <w:t xml:space="preserve">     VolTC_c |   .2831829   .1107176     2.56   0.013     .0625732    .5037925</w:t>
        <w:br/>
      </w:r>
      <w:r>
        <w:rPr>
          <w:rFonts w:ascii="Consolas" w:hAnsi="Consolas"/>
          <w:sz w:val="15"/>
        </w:rPr>
        <w:t xml:space="preserve">     dolar_c |   .1575548   .0972506     1.62   0.109    -.0362212    .3513308</w:t>
        <w:br/>
      </w:r>
      <w:r>
        <w:rPr>
          <w:rFonts w:ascii="Consolas" w:hAnsi="Consolas"/>
          <w:sz w:val="15"/>
        </w:rPr>
        <w:t xml:space="preserve">       D2011 |   3.887182   .5159631     7.53   0.000     2.859104    4.915261</w:t>
        <w:br/>
      </w:r>
      <w:r>
        <w:rPr>
          <w:rFonts w:ascii="Consolas" w:hAnsi="Consolas"/>
          <w:sz w:val="15"/>
        </w:rPr>
        <w:t xml:space="preserve">     DxVolTC |  -.3453329   .2159286    -1.60   0.114    -.7755801    .0849143</w:t>
        <w:br/>
      </w:r>
      <w:r>
        <w:rPr>
          <w:rFonts w:ascii="Consolas" w:hAnsi="Consolas"/>
          <w:sz w:val="15"/>
        </w:rPr>
        <w:t xml:space="preserve">     DxDolar |  -.2341287   .1355953    -1.73   0.088    -.5043082    .0360507</w:t>
        <w:br/>
      </w:r>
      <w:r>
        <w:rPr>
          <w:rFonts w:ascii="Consolas" w:hAnsi="Consolas"/>
          <w:sz w:val="15"/>
        </w:rPr>
        <w:t xml:space="preserve">       _cons |  -2.214195   .4535386    -4.88   0.000     -3.11789     -1.3105</w:t>
        <w:br/>
      </w:r>
      <w:r>
        <w:rPr>
          <w:rFonts w:ascii="Consolas" w:hAnsi="Consolas"/>
          <w:sz w:val="15"/>
        </w:rPr>
        <w:t>------------------------------------------------------------------------------</w:t>
        <w:br/>
      </w:r>
      <w:r>
        <w:rPr>
          <w:rFonts w:ascii="Consolas" w:hAnsi="Consolas"/>
          <w:sz w:val="15"/>
        </w:rPr>
        <w:t>. test DxVolTC DxDolar         -&gt;  F(2,74) =  2.00   Prob &gt; F = 0.1422   (Wald conjunto de pendientes)</w:t>
        <w:br/>
      </w:r>
      <w:r>
        <w:rPr>
          <w:rFonts w:ascii="Consolas" w:hAnsi="Consolas"/>
          <w:sz w:val="15"/>
        </w:rPr>
        <w:t>. test D2011 DxVolTC DxDolar   -&gt;  F(3,74) = 26.00   Prob &gt; F = 0.0000   (Chow completo)</w:t>
      </w:r>
    </w:p>
    <w:p>
      <w:r>
        <w:rPr>
          <w:rFonts w:ascii="Arial" w:hAnsi="Arial"/>
          <w:i w:val="0"/>
          <w:sz w:val="20"/>
        </w:rPr>
        <w:t>Salto de nivel de la prima grande y preciso (β4=+3,89; p&lt;0,001) y Chow que rechaza estabilidad (F=26,00). La prueba de Wald conjunta sobre las interacciones NO rechaza la estabilidad de pendientes (F=2,00; p=0,142): la recomposición ocurre entre primas (nivel), no dentro de la prima.</w:t>
      </w:r>
    </w:p>
    <w:p>
      <w:pPr>
        <w:pStyle w:val="Heading2"/>
      </w:pPr>
      <w:r>
        <w:t>Apéndice H. Diagnósticos del modelo (Breusch-Godfrey, White, Ramsey RESET, normalidad, VIF)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OLS paralelo: regress rp VolTC_c dolar_c D2011 DxVolTC DxDolar   (n=80, R2=0.5327)</w:t>
        <w:br/>
      </w:r>
      <w:r>
        <w:rPr>
          <w:rFonts w:ascii="Consolas" w:hAnsi="Consolas"/>
          <w:sz w:val="15"/>
        </w:rPr>
        <w:t>. estat bgodfrey, lags(1 2 3 4)   lag1 chi2=0.414 p=0.5197 | lag2 0.538 p=0.7642 | lag3 11.091 p=0.0112 | lag4 23.079 p=0.0001</w:t>
        <w:br/>
      </w:r>
      <w:r>
        <w:rPr>
          <w:rFonts w:ascii="Consolas" w:hAnsi="Consolas"/>
          <w:sz w:val="15"/>
        </w:rPr>
        <w:t>. estat imtest, white             White chi2(11)=40.13  Prob&gt;chi2=0.0000</w:t>
        <w:br/>
      </w:r>
      <w:r>
        <w:rPr>
          <w:rFonts w:ascii="Consolas" w:hAnsi="Consolas"/>
          <w:sz w:val="15"/>
        </w:rPr>
        <w:t>. estat ovtest                    Ramsey RESET F(3,71)=1.31  Prob&gt;F=0.2774</w:t>
        <w:br/>
      </w:r>
      <w:r>
        <w:rPr>
          <w:rFonts w:ascii="Consolas" w:hAnsi="Consolas"/>
          <w:sz w:val="15"/>
        </w:rPr>
        <w:t>. sktest (residuos)               Adj chi2(2)=4.36  Prob&gt;chi2=0.1128</w:t>
        <w:br/>
      </w:r>
      <w:r>
        <w:rPr>
          <w:rFonts w:ascii="Consolas" w:hAnsi="Consolas"/>
          <w:sz w:val="15"/>
        </w:rPr>
        <w:t>. vif   DxDolar 2.89 | dolar_c 2.65 | DxVolTC 2.27 | VolTC_c 1.88 | D2011 1.16 | media 2.17</w:t>
      </w:r>
    </w:p>
    <w:p>
      <w:r>
        <w:rPr>
          <w:rFonts w:ascii="Arial" w:hAnsi="Arial"/>
          <w:i w:val="0"/>
          <w:sz w:val="20"/>
        </w:rPr>
        <w:t>Autocorrelación (rezagos altos) y heterocedasticidad → justifican los errores HAC. Forma funcional adecuada (RESET); normalidad no rechazada; multicolinealidad baja (VIF máx 2,89).</w:t>
      </w:r>
    </w:p>
    <w:p>
      <w:pPr>
        <w:pStyle w:val="Heading2"/>
      </w:pPr>
      <w:r>
        <w:t>Apéndice I. Prueba de cointegración de Engle-Granger sobre los residuos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. predict __r, resid</w:t>
        <w:br/>
      </w:r>
      <w:r>
        <w:rPr>
          <w:rFonts w:ascii="Consolas" w:hAnsi="Consolas"/>
          <w:sz w:val="15"/>
        </w:rPr>
        <w:t>. dfuller __r, lags(3)</w:t>
        <w:br/>
      </w:r>
      <w:r>
        <w:rPr>
          <w:rFonts w:ascii="Consolas" w:hAnsi="Consolas"/>
          <w:sz w:val="15"/>
        </w:rPr>
        <w:t xml:space="preserve"> Z(t) = -5.000     1%: -3.544   5%: -2.909   10%: -2.590     (obs 76)</w:t>
        <w:br/>
      </w:r>
      <w:r>
        <w:rPr>
          <w:rFonts w:ascii="Consolas" w:hAnsi="Consolas"/>
          <w:sz w:val="15"/>
        </w:rPr>
        <w:t xml:space="preserve"> MacKinnon approximate p-value for Z(t) = 0.0000</w:t>
      </w:r>
    </w:p>
    <w:p>
      <w:r>
        <w:rPr>
          <w:rFonts w:ascii="Arial" w:hAnsi="Arial"/>
          <w:i w:val="0"/>
          <w:sz w:val="20"/>
        </w:rPr>
        <w:t>Los residuos son estacionarios (ADF −5,00, por debajo del crítico de Engle-Granger): las series cointegran y la relación no es espuria pese a la integración de las explicativas.</w:t>
      </w:r>
    </w:p>
    <w:p>
      <w:pPr>
        <w:pStyle w:val="Heading2"/>
      </w:pPr>
      <w:r>
        <w:t>Apéndice J. Composición interna de la prima (Shapley/LMG) y dominancia estandarizada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Reparto del R2 de rp:  Pre-2011:T2  R2=0.129  %VolTC=65.6%  %Iliq=34.4%</w:t>
        <w:br/>
      </w:r>
      <w:r>
        <w:rPr>
          <w:rFonts w:ascii="Consolas" w:hAnsi="Consolas"/>
          <w:sz w:val="15"/>
        </w:rPr>
        <w:t xml:space="preserve">                       Post-2011:T2 R2=0.026  %VolTC=11.2%  %Iliq=88.8%  (R2 muy bajo -&gt; descriptivo)</w:t>
        <w:br/>
      </w:r>
      <w:r>
        <w:rPr>
          <w:rFonts w:ascii="Consolas" w:hAnsi="Consolas"/>
          <w:sz w:val="15"/>
        </w:rPr>
        <w:t>Dominancia estandarizada post-2011:T2:</w:t>
        <w:br/>
      </w:r>
      <w:r>
        <w:rPr>
          <w:rFonts w:ascii="Consolas" w:hAnsi="Consolas"/>
          <w:sz w:val="15"/>
        </w:rPr>
        <w:t>. lincom zV + DzV   (riesgo cambiario) = -.1523516  (t=-0.33; p=0.744)</w:t>
        <w:br/>
      </w:r>
      <w:r>
        <w:rPr>
          <w:rFonts w:ascii="Consolas" w:hAnsi="Consolas"/>
          <w:sz w:val="15"/>
        </w:rPr>
        <w:t>. lincom zI + DzI   (iliquidez)        = -.3167573  (t=-0.78; p=0.437)</w:t>
        <w:br/>
      </w:r>
      <w:r>
        <w:rPr>
          <w:rFonts w:ascii="Consolas" w:hAnsi="Consolas"/>
          <w:sz w:val="15"/>
        </w:rPr>
        <w:t>. lincom (zI+DzI)-(zV+DzV)  (diferencia)= -.1644056 (t=-0.45; p=0.657)</w:t>
      </w:r>
    </w:p>
    <w:p>
      <w:r>
        <w:rPr>
          <w:rFonts w:ascii="Arial" w:hAnsi="Arial"/>
          <w:i w:val="0"/>
          <w:sz w:val="20"/>
        </w:rPr>
        <w:t>Las incidencias estandarizadas de ambos determinantes son estadísticamente indistinguibles post-2011 (p=0,657): no hay migración de dominancia hacia la iliquidez.</w:t>
      </w:r>
    </w:p>
    <w:p>
      <w:pPr>
        <w:pStyle w:val="Heading2"/>
      </w:pPr>
      <w:r>
        <w:t>Apéndice K. Diferencia de medias del diferencial de retorno DR entre subperíodos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. newey DR D2011, lag(4)        D2011 = -2.412  (p = 0.034)   -&gt; caida de 2,41 pp entre subperiodos</w:t>
      </w:r>
    </w:p>
    <w:p>
      <w:pPr>
        <w:pStyle w:val="Heading2"/>
      </w:pPr>
      <w:r>
        <w:t>Apéndice L. Robustez del modelo central (especificaciones alternativas)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(i) Corte 2011:T1:   D2011_T1 = 3.713726 (p&lt;0.001) | Wald pendientes F(2,74)=0.33  p=0.7169</w:t>
        <w:br/>
      </w:r>
      <w:r>
        <w:rPr>
          <w:rFonts w:ascii="Consolas" w:hAnsi="Consolas"/>
          <w:sz w:val="15"/>
        </w:rPr>
        <w:t>(ii) Control crisis 2008-09: D2011 = 3.582942 (p&lt;0.001) | crisis = -1.992846 (p=0.017)</w:t>
        <w:br/>
      </w:r>
      <w:r>
        <w:rPr>
          <w:rFonts w:ascii="Consolas" w:hAnsi="Consolas"/>
          <w:sz w:val="15"/>
        </w:rPr>
        <w:t>(iii) Tasas fin de trimestre: D2011 = 4.022753 (p&lt;0.001) | Wald pendientes F(2,74)=0.75 p=0.4768</w:t>
        <w:br/>
      </w:r>
      <w:r>
        <w:rPr>
          <w:rFonts w:ascii="Consolas" w:hAnsi="Consolas"/>
          <w:sz w:val="15"/>
        </w:rPr>
        <w:t>(iv) Rezago HAC 3 / 5 / 6:  Wald pendientes F=2.01/1.99/2.07 (p=0.142/0.144/0.133); Chow fuerte en todos</w:t>
        <w:br/>
      </w:r>
      <w:r>
        <w:rPr>
          <w:rFonts w:ascii="Consolas" w:hAnsi="Consolas"/>
          <w:sz w:val="15"/>
        </w:rPr>
        <w:t>(vi) Regimen gradual (rampa 2011:T2-2016):  Wald pendientes F(2,74)=1.85 p=0.164 | RxD=-0.468 p=0.060</w:t>
        <w:br/>
      </w:r>
      <w:r>
        <w:rPr>
          <w:rFonts w:ascii="Consolas" w:hAnsi="Consolas"/>
          <w:sz w:val="15"/>
        </w:rPr>
        <w:t>(vii) Dolarizacion rezagada 1 trim.:        Wald pendientes F(2,74)=2.34 p=0.103</w:t>
      </w:r>
    </w:p>
    <w:p>
      <w:r>
        <w:rPr>
          <w:rFonts w:ascii="Arial" w:hAnsi="Arial"/>
          <w:i w:val="0"/>
          <w:sz w:val="20"/>
        </w:rPr>
        <w:t>El salto de nivel es robusto (varía entre +3,58 y +4,02 pp, siempre p&lt;0,001) y la estabilidad de las pendientes se mantiene en todas las especificaciones. Nota: (i), (vi) y (vii) provienen de la corrida actualizada del do-file (se reproducen con newey_nogap y los mismos rezagos).</w:t>
      </w:r>
    </w:p>
    <w:p>
      <w:pPr>
        <w:pStyle w:val="Heading2"/>
      </w:pPr>
      <w:r>
        <w:t>Apéndice M. Sensibilidad — serie de promedio ponderado de plazos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. newey rp_pond VolTC_cp dolar_cp D2011 DxVp DxDp, lag(4)     [n=79]</w:t>
        <w:br/>
      </w:r>
      <w:r>
        <w:rPr>
          <w:rFonts w:ascii="Consolas" w:hAnsi="Consolas"/>
          <w:sz w:val="15"/>
        </w:rPr>
        <w:t xml:space="preserve">       D2011 |   1.759895   0.419927   4.19   0.000</w:t>
        <w:br/>
      </w:r>
      <w:r>
        <w:rPr>
          <w:rFonts w:ascii="Consolas" w:hAnsi="Consolas"/>
          <w:sz w:val="15"/>
        </w:rPr>
        <w:t xml:space="preserve">        DxDp |  -0.464174   0.111033  -4.18   0.000</w:t>
        <w:br/>
      </w:r>
      <w:r>
        <w:rPr>
          <w:rFonts w:ascii="Consolas" w:hAnsi="Consolas"/>
          <w:sz w:val="15"/>
        </w:rPr>
        <w:t>. test DxVp DxDp        -&gt;  F(2,73) = 9.59   Prob &gt; F = 0.0002</w:t>
        <w:br/>
      </w:r>
      <w:r>
        <w:rPr>
          <w:rFonts w:ascii="Consolas" w:hAnsi="Consolas"/>
          <w:sz w:val="15"/>
        </w:rPr>
        <w:t>. newey rp_pond D2011, lag(4)   -&gt;  D2011 = 1.987329 (t=2.57; p=0.012)   [salto de nivel]</w:t>
      </w:r>
    </w:p>
    <w:p>
      <w:r>
        <w:rPr>
          <w:rFonts w:ascii="Arial" w:hAnsi="Arial"/>
          <w:i w:val="0"/>
          <w:sz w:val="20"/>
        </w:rPr>
        <w:t>Con la serie alternativa (empalma dos publicaciones del BCP, con sesgo de composición por plazos) el salto de nivel se mantiene (+1,99 pp; p=0,012) pero las interacciones aparecen significativas (F=9,59; p&lt;0,001). La evidencia de nivel es robusta a la definición; la de pendientes es sensible a ella, y esa sensibilidad se declara.</w:t>
      </w:r>
    </w:p>
    <w:p>
      <w:pPr>
        <w:pStyle w:val="Heading2"/>
      </w:pPr>
      <w:r>
        <w:t>Apéndice N. Correlación entre la prima de riesgo y la dolarización, por subperíodo</w:t>
      </w:r>
    </w:p>
    <w:p>
      <w:pPr>
        <w:spacing w:after="0" w:before="0" w:line="240" w:lineRule="auto"/>
      </w:pPr>
      <w:r>
        <w:rPr>
          <w:rFonts w:ascii="Consolas" w:hAnsi="Consolas"/>
          <w:sz w:val="15"/>
        </w:rPr>
        <w:t>. corr rp dolar if D2011==0   -&gt;  +0.146   (n=25)</w:t>
        <w:br/>
      </w:r>
      <w:r>
        <w:rPr>
          <w:rFonts w:ascii="Consolas" w:hAnsi="Consolas"/>
          <w:sz w:val="15"/>
        </w:rPr>
        <w:t>. corr rp dolar if D2011==1   -&gt;  -0.149   (n=55)</w:t>
      </w:r>
    </w:p>
    <w:p>
      <w:r>
        <w:rPr>
          <w:rFonts w:ascii="Arial" w:hAnsi="Arial"/>
          <w:i w:val="0"/>
          <w:sz w:val="20"/>
        </w:rPr>
        <w:t>Correlación baja e indistinguible entre subperíodos (prueba de Fisher: p≈0,24).</w:t>
      </w:r>
    </w:p>
    <w:p>
      <w:r>
        <w:br w:type="page"/>
      </w:r>
    </w:p>
    <w:p>
      <w:pPr>
        <w:pStyle w:val="Heading2"/>
      </w:pPr>
      <w:r>
        <w:t>Apéndice O. Figura A1 — Diferencial de retorno trimestral DR (guaraníes vs. dólares), 2004–2024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91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8_1_D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1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18"/>
        </w:rPr>
        <w:t>La línea roja marca la adopción de Metas de Inflación (2011:T2). Fuente: elaboración propia con datos del BCP.</w:t>
      </w:r>
    </w:p>
    <w:p>
      <w:pPr>
        <w:pStyle w:val="Heading2"/>
      </w:pPr>
      <w:r>
        <w:t>Apéndice P. Figura A2 — Descomposición de Fisher: prima de inflación vs. prima de riesgo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913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8_2_Fish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1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18"/>
        </w:rPr>
        <w:t>Fuente: elaboración propia con datos del BCP y FRED.</w:t>
      </w:r>
    </w:p>
    <w:p>
      <w:pPr>
        <w:pStyle w:val="Heading2"/>
      </w:pPr>
      <w:r>
        <w:t>Apéndice Q. Figura A3 — Composición de la prima de riesgo (ventana móvil de 20 trimestres)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9135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_8_3_Composi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1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i/>
          <w:sz w:val="18"/>
        </w:rPr>
        <w:t>Fuente: elaboración propia.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