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788C" w14:textId="77777777" w:rsidR="00503C6D" w:rsidRPr="00EA7AF6" w:rsidRDefault="00503C6D" w:rsidP="00503C6D">
      <w:pPr>
        <w:spacing w:after="0" w:line="360" w:lineRule="auto"/>
        <w:rPr>
          <w:rFonts w:ascii="Times New Roman" w:eastAsia="Times New Roman" w:hAnsi="Times New Roman" w:cs="Times New Roman"/>
          <w:sz w:val="24"/>
          <w:szCs w:val="24"/>
        </w:rPr>
      </w:pPr>
      <w:bookmarkStart w:id="0" w:name="_Hlk208257908"/>
      <w:r>
        <w:rPr>
          <w:rFonts w:ascii="Times New Roman" w:hAnsi="Times New Roman" w:cs="Times New Roman"/>
          <w:noProof/>
          <w:sz w:val="24"/>
          <w:szCs w:val="24"/>
        </w:rPr>
        <w:drawing>
          <wp:anchor distT="0" distB="0" distL="0" distR="0" simplePos="0" relativeHeight="251659264" behindDoc="1" locked="0" layoutInCell="1" hidden="0" allowOverlap="1" wp14:anchorId="60D1DA2B" wp14:editId="6DAB9AAE">
            <wp:simplePos x="0" y="0"/>
            <wp:positionH relativeFrom="margin">
              <wp:align>center</wp:align>
            </wp:positionH>
            <wp:positionV relativeFrom="paragraph">
              <wp:posOffset>52</wp:posOffset>
            </wp:positionV>
            <wp:extent cx="1877291" cy="1357745"/>
            <wp:effectExtent l="0" t="0" r="8890" b="0"/>
            <wp:wrapNone/>
            <wp:docPr id="18437607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877291" cy="135774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CBA5B05" w14:textId="77777777" w:rsidR="00503C6D" w:rsidRPr="00EA7AF6" w:rsidRDefault="00503C6D" w:rsidP="00503C6D">
      <w:pPr>
        <w:spacing w:after="0" w:line="360" w:lineRule="auto"/>
        <w:rPr>
          <w:rFonts w:ascii="Times New Roman" w:eastAsia="Times New Roman" w:hAnsi="Times New Roman" w:cs="Times New Roman"/>
          <w:b/>
          <w:sz w:val="24"/>
          <w:szCs w:val="24"/>
        </w:rPr>
      </w:pPr>
    </w:p>
    <w:p w14:paraId="64427F38" w14:textId="77777777" w:rsidR="00503C6D" w:rsidRPr="00EA7AF6" w:rsidRDefault="00503C6D" w:rsidP="00503C6D">
      <w:pPr>
        <w:spacing w:after="0" w:line="360" w:lineRule="auto"/>
        <w:jc w:val="center"/>
        <w:rPr>
          <w:rFonts w:ascii="Times New Roman" w:eastAsia="Times New Roman" w:hAnsi="Times New Roman" w:cs="Times New Roman"/>
          <w:b/>
          <w:sz w:val="24"/>
          <w:szCs w:val="24"/>
        </w:rPr>
      </w:pPr>
    </w:p>
    <w:p w14:paraId="66176E38" w14:textId="77777777" w:rsidR="00503C6D" w:rsidRPr="00D27E85" w:rsidRDefault="00503C6D" w:rsidP="00503C6D">
      <w:pPr>
        <w:spacing w:after="0" w:line="360" w:lineRule="auto"/>
        <w:jc w:val="center"/>
        <w:rPr>
          <w:rFonts w:ascii="Arial" w:eastAsia="Times New Roman" w:hAnsi="Arial" w:cs="Arial"/>
          <w:sz w:val="24"/>
          <w:szCs w:val="24"/>
        </w:rPr>
      </w:pPr>
      <w:r>
        <w:rPr>
          <w:rFonts w:ascii="Arial" w:eastAsia="Times New Roman" w:hAnsi="Arial" w:cs="Arial"/>
          <w:b/>
          <w:sz w:val="24"/>
          <w:szCs w:val="24"/>
        </w:rPr>
        <w:t xml:space="preserve">Universidad Católica Nuestra Señora de la Asunción </w:t>
      </w:r>
    </w:p>
    <w:p w14:paraId="5953081F" w14:textId="77777777" w:rsidR="00CA0128" w:rsidRDefault="00503C6D"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 xml:space="preserve">Facultad de Ciencias Contables, Administrativas y </w:t>
      </w:r>
      <w:r w:rsidR="00CA0128">
        <w:rPr>
          <w:rFonts w:ascii="Arial" w:eastAsia="Times New Roman" w:hAnsi="Arial" w:cs="Arial"/>
          <w:b/>
          <w:sz w:val="24"/>
          <w:szCs w:val="24"/>
        </w:rPr>
        <w:t>Económicas</w:t>
      </w:r>
    </w:p>
    <w:p w14:paraId="2BEC433F" w14:textId="51AF9E26" w:rsidR="00503C6D" w:rsidRDefault="00CA0128"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Carrera</w:t>
      </w:r>
      <w:r w:rsidR="00503C6D">
        <w:rPr>
          <w:rFonts w:ascii="Arial" w:eastAsia="Times New Roman" w:hAnsi="Arial" w:cs="Arial"/>
          <w:b/>
          <w:sz w:val="24"/>
          <w:szCs w:val="24"/>
        </w:rPr>
        <w:t xml:space="preserve"> de Economía</w:t>
      </w:r>
    </w:p>
    <w:p w14:paraId="42C356F5" w14:textId="77777777" w:rsidR="00CA0128" w:rsidRPr="00D27E85" w:rsidRDefault="00CA0128" w:rsidP="00503C6D">
      <w:pPr>
        <w:spacing w:after="0" w:line="360" w:lineRule="auto"/>
        <w:jc w:val="center"/>
        <w:rPr>
          <w:rFonts w:ascii="Arial" w:eastAsia="Times New Roman" w:hAnsi="Arial" w:cs="Arial"/>
          <w:b/>
          <w:sz w:val="24"/>
          <w:szCs w:val="24"/>
        </w:rPr>
      </w:pPr>
    </w:p>
    <w:p w14:paraId="21DC86C1" w14:textId="77777777" w:rsidR="00DF3903" w:rsidRPr="00D27E85" w:rsidRDefault="00DF3903" w:rsidP="00DF3903">
      <w:pPr>
        <w:spacing w:after="600"/>
        <w:jc w:val="center"/>
        <w:rPr>
          <w:rFonts w:ascii="Arial" w:hAnsi="Arial" w:cs="Arial"/>
        </w:rPr>
      </w:pPr>
      <w:r>
        <w:rPr>
          <w:rFonts w:ascii="Arial" w:hAnsi="Arial" w:cs="Arial"/>
          <w:b/>
          <w:bCs/>
          <w:sz w:val="24"/>
          <w:szCs w:val="24"/>
        </w:rPr>
        <w:t>TRABAJO FINAL DE GRADO</w:t>
      </w:r>
    </w:p>
    <w:p w14:paraId="0836F147" w14:textId="132BF339" w:rsidR="00503C6D" w:rsidRPr="00CA0128" w:rsidRDefault="00CA0128" w:rsidP="00CA0128">
      <w:pPr>
        <w:spacing w:before="400" w:after="400"/>
        <w:jc w:val="center"/>
        <w:rPr>
          <w:rFonts w:ascii="Arial" w:hAnsi="Arial" w:cs="Arial"/>
        </w:rPr>
      </w:pPr>
      <w:r>
        <w:rPr>
          <w:rFonts w:ascii="Arial" w:hAnsi="Arial" w:cs="Arial"/>
          <w:b/>
          <w:bCs/>
          <w:sz w:val="28"/>
          <w:szCs w:val="28"/>
        </w:rPr>
        <w:t>Recomposición de la Prima de Riesgo en el Diferencial de Retornos entre Certificados de Depósito de ahorro en Guaraníes y Dólares tras la Adopción de Metas de Inflación: Sistema Bancario Paraguayo 2004–2024</w:t>
      </w:r>
    </w:p>
    <w:p w14:paraId="3ED2EB3D" w14:textId="65F96CF8" w:rsidR="00503C6D" w:rsidRPr="00D27E85" w:rsidRDefault="00503C6D" w:rsidP="00503C6D">
      <w:pPr>
        <w:spacing w:after="0" w:line="360" w:lineRule="auto"/>
        <w:rPr>
          <w:rFonts w:ascii="Arial" w:eastAsia="Times New Roman" w:hAnsi="Arial" w:cs="Arial"/>
          <w:sz w:val="24"/>
          <w:szCs w:val="24"/>
        </w:rPr>
      </w:pPr>
    </w:p>
    <w:p w14:paraId="3C9750B6" w14:textId="77777777" w:rsidR="00503C6D" w:rsidRPr="00D27E85" w:rsidRDefault="00503C6D"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Alumnos:</w:t>
      </w:r>
      <w:r>
        <w:rPr>
          <w:rFonts w:ascii="Arial" w:eastAsia="Times New Roman" w:hAnsi="Arial" w:cs="Arial"/>
          <w:b/>
          <w:sz w:val="24"/>
          <w:szCs w:val="24"/>
        </w:rPr>
        <w:br/>
        <w:t xml:space="preserve"> Laviero Scavone </w:t>
      </w:r>
    </w:p>
    <w:p w14:paraId="14002FE2" w14:textId="77777777" w:rsidR="00503C6D" w:rsidRPr="00D27E85" w:rsidRDefault="00503C6D" w:rsidP="00503C6D">
      <w:pPr>
        <w:spacing w:after="0" w:line="360" w:lineRule="auto"/>
        <w:jc w:val="center"/>
        <w:rPr>
          <w:rFonts w:ascii="Arial" w:eastAsia="Times New Roman" w:hAnsi="Arial" w:cs="Arial"/>
          <w:b/>
          <w:sz w:val="24"/>
          <w:szCs w:val="24"/>
        </w:rPr>
      </w:pPr>
      <w:r>
        <w:rPr>
          <w:rFonts w:ascii="Arial" w:eastAsia="Times New Roman" w:hAnsi="Arial" w:cs="Arial"/>
          <w:b/>
          <w:sz w:val="24"/>
          <w:szCs w:val="24"/>
        </w:rPr>
        <w:t>Matías Fernández</w:t>
      </w:r>
      <w:r>
        <w:rPr>
          <w:rFonts w:ascii="Arial" w:eastAsia="Times New Roman" w:hAnsi="Arial" w:cs="Arial"/>
          <w:b/>
          <w:sz w:val="24"/>
          <w:szCs w:val="24"/>
        </w:rPr>
        <w:br/>
      </w:r>
    </w:p>
    <w:p w14:paraId="6639BBCE" w14:textId="77777777" w:rsidR="00503C6D" w:rsidRPr="00D27E85" w:rsidRDefault="00503C6D" w:rsidP="00503C6D">
      <w:pPr>
        <w:spacing w:after="0" w:line="360" w:lineRule="auto"/>
        <w:jc w:val="center"/>
        <w:rPr>
          <w:rFonts w:ascii="Arial" w:eastAsia="Times New Roman" w:hAnsi="Arial" w:cs="Arial"/>
          <w:b/>
          <w:sz w:val="24"/>
          <w:szCs w:val="24"/>
        </w:rPr>
      </w:pPr>
    </w:p>
    <w:p w14:paraId="4FE6AB59" w14:textId="77777777" w:rsidR="00503C6D" w:rsidRPr="00D27E85" w:rsidRDefault="00503C6D" w:rsidP="00503C6D">
      <w:pPr>
        <w:spacing w:after="0" w:line="360" w:lineRule="auto"/>
        <w:jc w:val="center"/>
        <w:rPr>
          <w:rFonts w:ascii="Arial" w:eastAsia="Times New Roman" w:hAnsi="Arial" w:cs="Arial"/>
          <w:b/>
          <w:sz w:val="24"/>
          <w:szCs w:val="24"/>
        </w:rPr>
      </w:pPr>
    </w:p>
    <w:p w14:paraId="5F48432E" w14:textId="77777777" w:rsidR="00503C6D" w:rsidRPr="00D27E85" w:rsidRDefault="00DF3903" w:rsidP="00DF3903">
      <w:pPr>
        <w:spacing w:after="40"/>
        <w:jc w:val="center"/>
        <w:rPr>
          <w:rFonts w:ascii="Arial" w:hAnsi="Arial" w:cs="Arial"/>
        </w:rPr>
      </w:pPr>
      <w:r>
        <w:rPr>
          <w:rFonts w:ascii="Arial" w:eastAsia="Times New Roman" w:hAnsi="Arial" w:cs="Arial"/>
          <w:b/>
          <w:sz w:val="24"/>
          <w:szCs w:val="24"/>
        </w:rPr>
        <w:t xml:space="preserve">Tutor: </w:t>
      </w:r>
      <w:r>
        <w:rPr>
          <w:rFonts w:ascii="Arial" w:hAnsi="Arial" w:cs="Arial"/>
          <w:sz w:val="24"/>
          <w:szCs w:val="24"/>
        </w:rPr>
        <w:t>Prof. Marcelo Wagner</w:t>
      </w:r>
    </w:p>
    <w:p w14:paraId="72463158" w14:textId="77777777" w:rsidR="00503C6D" w:rsidRPr="00D27E85" w:rsidRDefault="00503C6D" w:rsidP="00503C6D">
      <w:pPr>
        <w:spacing w:after="0" w:line="360" w:lineRule="auto"/>
        <w:rPr>
          <w:rFonts w:ascii="Arial" w:eastAsia="Times New Roman" w:hAnsi="Arial" w:cs="Arial"/>
          <w:sz w:val="24"/>
          <w:szCs w:val="24"/>
        </w:rPr>
      </w:pPr>
    </w:p>
    <w:p w14:paraId="09E003EB" w14:textId="77777777" w:rsidR="00DF3903" w:rsidRPr="00D27E85" w:rsidRDefault="00DF3903" w:rsidP="00503C6D">
      <w:pPr>
        <w:spacing w:after="0" w:line="360" w:lineRule="auto"/>
        <w:rPr>
          <w:rFonts w:ascii="Arial" w:eastAsia="Times New Roman" w:hAnsi="Arial" w:cs="Arial"/>
          <w:sz w:val="24"/>
          <w:szCs w:val="24"/>
        </w:rPr>
      </w:pPr>
    </w:p>
    <w:p w14:paraId="72030717" w14:textId="77777777" w:rsidR="00503C6D" w:rsidRPr="00D27E85" w:rsidRDefault="00503C6D" w:rsidP="00503C6D">
      <w:pPr>
        <w:spacing w:after="0" w:line="360" w:lineRule="auto"/>
        <w:rPr>
          <w:rFonts w:ascii="Arial" w:eastAsia="Times New Roman" w:hAnsi="Arial" w:cs="Arial"/>
          <w:b/>
          <w:bCs/>
          <w:sz w:val="24"/>
          <w:szCs w:val="24"/>
        </w:rPr>
      </w:pPr>
    </w:p>
    <w:p w14:paraId="7933EA73" w14:textId="77777777" w:rsidR="002C66E2" w:rsidRPr="00D27E85" w:rsidRDefault="00503C6D" w:rsidP="00503C6D">
      <w:pPr>
        <w:spacing w:after="0" w:line="360" w:lineRule="auto"/>
        <w:jc w:val="center"/>
        <w:rPr>
          <w:rFonts w:ascii="Arial" w:eastAsia="Times New Roman" w:hAnsi="Arial" w:cs="Arial"/>
          <w:b/>
          <w:bCs/>
          <w:sz w:val="24"/>
          <w:szCs w:val="24"/>
        </w:rPr>
      </w:pPr>
      <w:r>
        <w:rPr>
          <w:rFonts w:ascii="Arial" w:eastAsia="Times New Roman" w:hAnsi="Arial" w:cs="Arial"/>
          <w:b/>
          <w:bCs/>
          <w:sz w:val="24"/>
          <w:szCs w:val="24"/>
        </w:rPr>
        <w:t>Asunción, Paraguay</w:t>
      </w:r>
    </w:p>
    <w:p w14:paraId="57B62999" w14:textId="77777777" w:rsidR="00375663" w:rsidRPr="00D27E85" w:rsidRDefault="00503C6D" w:rsidP="00375663">
      <w:pPr>
        <w:spacing w:after="0" w:line="360" w:lineRule="auto"/>
        <w:jc w:val="center"/>
        <w:rPr>
          <w:rFonts w:ascii="Arial" w:eastAsia="Times New Roman" w:hAnsi="Arial" w:cs="Arial"/>
          <w:b/>
          <w:bCs/>
          <w:sz w:val="24"/>
          <w:szCs w:val="24"/>
        </w:rPr>
        <w:sectPr w:rsidR="00375663" w:rsidRPr="00D27E8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pPr>
      <w:r>
        <w:rPr>
          <w:rFonts w:ascii="Arial" w:eastAsia="Times New Roman" w:hAnsi="Arial" w:cs="Arial"/>
          <w:b/>
          <w:bCs/>
          <w:sz w:val="24"/>
          <w:szCs w:val="24"/>
        </w:rPr>
        <w:br/>
        <w:t>Julio de 2026</w:t>
      </w:r>
      <w:bookmarkEnd w:id="0"/>
    </w:p>
    <w:p w14:paraId="0266BB1C" w14:textId="77777777" w:rsidR="00375663" w:rsidRPr="00D27E85" w:rsidRDefault="00375663" w:rsidP="007B7381">
      <w:pPr>
        <w:spacing w:after="0" w:line="360" w:lineRule="auto"/>
        <w:jc w:val="both"/>
        <w:rPr>
          <w:rFonts w:ascii="Arial" w:eastAsia="Times New Roman" w:hAnsi="Arial" w:cs="Arial"/>
          <w:sz w:val="24"/>
          <w:szCs w:val="24"/>
        </w:rPr>
        <w:sectPr w:rsidR="00375663" w:rsidRPr="00D27E85" w:rsidSect="00375663">
          <w:type w:val="continuous"/>
          <w:pgSz w:w="12240" w:h="15840"/>
          <w:pgMar w:top="1440" w:right="1440" w:bottom="1440" w:left="1440" w:header="708" w:footer="708" w:gutter="0"/>
          <w:cols w:space="708"/>
          <w:docGrid w:linePitch="360"/>
        </w:sectPr>
      </w:pPr>
    </w:p>
    <w:p w14:paraId="343ABC3E" w14:textId="71FA2F9F" w:rsidR="00AC5DC1" w:rsidRDefault="00000000" w:rsidP="00CA0128">
      <w:pPr>
        <w:jc w:val="center"/>
      </w:pPr>
      <w:r>
        <w:rPr>
          <w:b/>
          <w:sz w:val="30"/>
          <w:szCs w:val="30"/>
        </w:rPr>
        <w:lastRenderedPageBreak/>
        <w:t>Resumen</w:t>
      </w:r>
    </w:p>
    <w:p w14:paraId="4C547874" w14:textId="0BB297CC" w:rsidR="00AC5DC1" w:rsidRDefault="00000000">
      <w:pPr>
        <w:spacing w:after="160" w:line="300" w:lineRule="auto"/>
        <w:jc w:val="both"/>
      </w:pPr>
      <w:proofErr w:type="spellStart"/>
      <w:proofErr w:type="spellEnd"/>
      <w:r>
        <w:rPr/>
        <w:t>Esta investigación examina el diferencial de retornos entre certificados de depósito de ahorro (CDA) en guaraníes y en dólares del sistema bancario paraguayo entre 2004 y 2024 (84 trimestres), a partir de series oficiales del Banco Central del Paraguay y de la Reserva Federal de San Luis (FRED). Mediante la descomposición de Fisher y un modelo MCO con errores HAC de Newey-West e interacciones de régimen, se documenta que, tras la adopción del esquema de Metas de Inflación (mayo de 2011), el diferencial cambió de naturaleza: el componente expectacional ligado a la inflación se comprimió (−3,07 pp; p &lt; 0,001) y emergió, dominando el diferencial, una prima de riesgo real donde antes era negativa (salto de +3,89 puntos porcentuales; p &lt; 0,001). El quiebre estructural endógeno de esa prima de riesgo se ubica exactamente en el trimestre de adopción del régimen. La evidencia respalda así una migración de la fuente del diferencial, desde un componente expectacional (inflación y depreciación esperadas) hacia un residuo de riesgo real; en cambio, la identificación del factor estructural específico que gobierna ese residuo no es concluyente: la prueba conjunta sobre las interacciones no rechaza la estabilidad de las pendientes de volatilidad cambiaria y dolarización (F = 2,00; p = 0,142), y el análisis exploratorio sugiere un papel de primer orden de los factores financieros globales. Los resultados son robustos a la fecha exacta del tratamiento, al control por la crisis financiera de 2008-2009, al ancho de banda del estimador y a la forma de conversión de tasas, y su sensibilidad a la definición de la serie de tasas se declara y analiza. El diseño es correlacional: los hallazgos se interpretan como cambios coincidentes con el régimen, no como efectos causales identificados.</w:t>
      </w:r>
    </w:p>
    <w:p w14:paraId="5F9DE37D" w14:textId="258916E3" w:rsidR="00AC5DC1" w:rsidRDefault="00000000">
      <w:pPr>
        <w:spacing w:after="160" w:line="300" w:lineRule="auto"/>
        <w:jc w:val="both"/>
      </w:pPr>
      <w:r>
        <w:t xml:space="preserve">Palabras clave: diferencial de tasas, prima de riesgo, metas de inflación, dolarización financiera, Paraguay, </w:t>
      </w:r>
      <w:proofErr w:type="spellStart"/>
      <w:r>
        <w:t>NeweyWest</w:t>
      </w:r>
      <w:proofErr w:type="spellEnd"/>
      <w:r>
        <w:t>.</w:t>
      </w:r>
    </w:p>
    <w:p w14:paraId="472D1B16" w14:textId="77777777" w:rsidR="00AC5DC1" w:rsidRDefault="00000000">
      <w:pPr>
        <w:spacing w:after="160" w:line="300" w:lineRule="auto"/>
      </w:pPr>
      <w:r>
        <w:rPr>
          <w:b/>
          <w:sz w:val="30"/>
          <w:szCs w:val="30"/>
        </w:rPr>
        <w:t>Abstract</w:t>
      </w:r>
    </w:p>
    <w:p w14:paraId="2874EB51" w14:textId="195C7A31" w:rsidR="00AC5DC1" w:rsidRDefault="00000000">
      <w:pPr>
        <w:spacing w:after="160" w:line="300"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This thesis examines the return differential between local-currency (guaraní) and dollar-denominated savings certificates of deposit (CDA) in the Paraguayan banking system over 2004–2024 (84 quarters), using official data from the Central Bank of Paraguay and FRED. Using a Fisher decomposition and OLS models with Newey-West HAC errors and regime interactions, we document that, following the adoption of inflation targeting (May 2011), the differential changed in nature: the expectational component tied to inflation compressed (−3.07 pp; p &lt; 0.001) and a real risk premium emerged and came to dominate the differential, having previously been negative (a level shift of +3.89 percentage points; p &lt; 0.001). The endogenous structural break of this risk premium is located exactly at the quarter of regime adoption. The evidence thus supports a migration of the differential's source, from an expectational component (expected inflation and depreciation) toward a real risk residual; identifying the specific structural driver of that residual is, however, inconclusive: a joint Wald test does not reject the stability of the slopes on exchange-rate volatility and deposit dollarization (F = 2.00; p = 0.142), and exploratory analysis points to a first-order role for global financial factors. Results are robust to treatment timing, to controlling for the 2008-09 global financial crisis, to the HAC bandwidth, and to compound rate conversion; sensitivity to the rate-series definition is declared and analyzed. The design is correlational: findings are interpreted as changes coincident with the regime, not as identified causal effects.</w:t>
      </w:r>
    </w:p>
    <w:p w14:paraId="2874517A" w14:textId="653D33F3" w:rsidR="00AC5DC1" w:rsidRDefault="00000000">
      <w:pPr>
        <w:spacing w:after="160" w:line="300" w:lineRule="auto"/>
        <w:jc w:val="both"/>
      </w:pPr>
      <w:r>
        <w:t xml:space="preserve">Keywords: interest rate differential, risk premium, inflation targeting, </w:t>
      </w:r>
      <w:proofErr w:type="spellStart"/>
      <w:r>
        <w:t>financial</w:t>
      </w:r>
      <w:proofErr w:type="spellEnd"/>
      <w:r>
        <w:t xml:space="preserve"> </w:t>
      </w:r>
      <w:proofErr w:type="spellStart"/>
      <w:r>
        <w:t>dollarization</w:t>
      </w:r>
      <w:proofErr w:type="spellEnd"/>
      <w:r>
        <w:t xml:space="preserve">, Paraguay, </w:t>
      </w:r>
      <w:proofErr w:type="spellStart"/>
      <w:r>
        <w:t>NeweyWest</w:t>
      </w:r>
      <w:proofErr w:type="spellEnd"/>
      <w:r>
        <w:t>.</w:t>
      </w:r>
    </w:p>
    <w:p w14:paraId="11668100" w14:textId="77777777" w:rsidR="00AC5DC1" w:rsidRDefault="00000000">
      <w:r>
        <w:br w:type="page"/>
      </w:r>
    </w:p>
    <w:p w14:paraId="246FA203" w14:textId="77777777" w:rsidR="00DF3903" w:rsidRPr="00DF3903" w:rsidRDefault="00DF3903" w:rsidP="00DF3903">
      <w:pPr>
        <w:spacing w:line="240" w:lineRule="auto"/>
        <w:rPr>
          <w:rFonts w:ascii="Arial" w:eastAsia="Arial" w:hAnsi="Arial" w:cs="Arial"/>
          <w:lang w:val="es-ES" w:eastAsia="es-ES"/>
        </w:rPr>
      </w:pPr>
      <w:r>
        <w:rPr>
          <w:rFonts w:ascii="Arial" w:eastAsia="Arial" w:hAnsi="Arial" w:cs="Arial"/>
          <w:b/>
          <w:bCs/>
          <w:sz w:val="32"/>
          <w:szCs w:val="32"/>
          <w:lang w:val="es-ES" w:eastAsia="es-ES"/>
        </w:rPr>
        <w:lastRenderedPageBreak/>
        <w:t>Índice</w:t>
      </w:r>
    </w:p>
    <w:sdt>
      <w:sdtPr>
        <w:rPr>
          <w:rFonts w:ascii="Arial" w:eastAsia="Arial" w:hAnsi="Arial" w:cs="Arial"/>
          <w:lang w:val="es-ES" w:eastAsia="es-ES"/>
        </w:rPr>
        <w:alias w:val="Tabla de Contenido"/>
        <w:id w:val="-1655061917"/>
      </w:sdtPr>
      <w:sdtContent>
        <w:p w14:paraId="69A70BBA" w14:textId="77777777" w:rsidR="00DF3903" w:rsidRPr="00DF3903" w:rsidRDefault="00DF3903" w:rsidP="00DF3903">
          <w:pPr>
            <w:spacing w:after="0" w:line="240" w:lineRule="auto"/>
            <w:rPr>
              <w:rFonts w:ascii="Arial" w:eastAsia="Arial" w:hAnsi="Arial" w:cs="Arial"/>
              <w:lang w:val="es-ES" w:eastAsia="es-ES"/>
            </w:rPr>
          </w:pPr>
          <w:r>
            <w:rPr>
              <w:rFonts w:ascii="Arial" w:eastAsia="Arial" w:hAnsi="Arial" w:cs="Arial"/>
              <w:color w:val="000000" w:themeColor="text1"/>
              <w:lang w:val="es-ES" w:eastAsia="es-ES"/>
            </w:rPr>
            <w:fldChar w:fldCharType="begin"/>
          </w:r>
          <w:r>
            <w:rPr>
              <w:rFonts w:ascii="Arial" w:eastAsia="Arial" w:hAnsi="Arial" w:cs="Arial"/>
              <w:color w:val="000000" w:themeColor="text1"/>
              <w:lang w:val="es-ES" w:eastAsia="es-ES"/>
            </w:rPr>
            <w:instrText>TOC \h \o "1-3"</w:instrText>
          </w:r>
          <w:r>
            <w:rPr>
              <w:rFonts w:ascii="Arial" w:eastAsia="Arial" w:hAnsi="Arial" w:cs="Arial"/>
              <w:color w:val="000000" w:themeColor="text1"/>
              <w:lang w:val="es-ES" w:eastAsia="es-ES"/>
            </w:rPr>
            <w:fldChar w:fldCharType="separate"/>
          </w:r>
          <w:r w:rsidR="00CA0128">
            <w:rPr>
              <w:rFonts w:ascii="Arial" w:eastAsia="Arial" w:hAnsi="Arial" w:cs="Arial"/>
              <w:b/>
              <w:bCs/>
              <w:noProof/>
              <w:color w:val="000000" w:themeColor="text1"/>
              <w:lang w:val="es-ES" w:eastAsia="es-ES"/>
            </w:rPr>
            <w:t>No se encontraron entradas de tabla de contenido.</w:t>
          </w:r>
          <w:r>
            <w:rPr>
              <w:rFonts w:ascii="Arial" w:eastAsia="Arial" w:hAnsi="Arial" w:cs="Arial"/>
              <w:color w:val="000000" w:themeColor="text1"/>
              <w:lang w:val="es-ES" w:eastAsia="es-ES"/>
            </w:rPr>
            <w:fldChar w:fldCharType="end"/>
          </w:r>
        </w:p>
      </w:sdtContent>
    </w:sdt>
    <w:p w14:paraId="4879D914" w14:textId="77777777" w:rsidR="00DF3903" w:rsidRPr="00DF3903" w:rsidRDefault="00DF3903" w:rsidP="00DF3903">
      <w:pPr>
        <w:spacing w:after="0" w:line="240" w:lineRule="auto"/>
        <w:rPr>
          <w:rFonts w:ascii="Arial" w:eastAsia="Arial" w:hAnsi="Arial" w:cs="Arial"/>
          <w:lang w:val="es-ES" w:eastAsia="es-ES"/>
        </w:rPr>
        <w:sectPr w:rsidR="00DF3903" w:rsidRPr="00DF3903" w:rsidSect="00DF3903">
          <w:footerReference w:type="default" r:id="rId15"/>
          <w:pgSz w:w="11906" w:h="16838"/>
          <w:pgMar w:top="1417" w:right="1417" w:bottom="1417" w:left="1701" w:header="708" w:footer="708" w:gutter="0"/>
          <w:pgNumType w:fmt="lowerRoman" w:start="1"/>
          <w:cols w:space="720"/>
          <w:docGrid w:linePitch="360"/>
        </w:sectPr>
      </w:pPr>
    </w:p>
    <w:p w14:paraId="0589AD6F" w14:textId="77777777" w:rsidR="00AC5DC1" w:rsidRDefault="00000000">
      <w:pPr>
        <w:spacing w:after="160" w:line="300" w:lineRule="auto"/>
      </w:pPr>
      <w:r>
        <w:rPr>
          <w:b/>
          <w:sz w:val="28"/>
          <w:szCs w:val="28"/>
        </w:rPr>
        <w:lastRenderedPageBreak/>
        <w:t>Lista de Tablas</w:t>
      </w:r>
    </w:p>
    <w:p w14:paraId="0DCF34A6" w14:textId="0B34E7E5" w:rsidR="00AC5DC1" w:rsidRDefault="00000000">
      <w:pPr>
        <w:spacing w:after="160" w:line="300" w:lineRule="auto"/>
        <w:jc w:val="both"/>
      </w:pPr>
      <w:r>
        <w:t>Tabla 7.1  Operacionalización de las variables. · Tabla 8.1  Regresión de Fama con diferencial trimestralizado. · Tabla 8.2  Descomposición de Fisher por subperíodo (niveles, pp). · Tabla 8.3  Modelo MCOHAC con interacciones (dependiente: diferencial real residual rp; variables centradas). · Tabla 8.4  Evolución de la composición (ventana móvil de 20 trimestres). · Tabla 8.5  Veredicto por componente de la hipótesis.</w:t>
      </w:r>
    </w:p>
    <w:p w14:paraId="6123760E" w14:textId="77777777" w:rsidR="00AC5DC1" w:rsidRDefault="00000000">
      <w:pPr>
        <w:spacing w:after="160" w:line="300" w:lineRule="auto"/>
      </w:pPr>
      <w:r>
        <w:rPr>
          <w:b/>
          <w:sz w:val="28"/>
          <w:szCs w:val="28"/>
        </w:rPr>
        <w:t>Lista de Figuras</w:t>
      </w:r>
    </w:p>
    <w:p w14:paraId="2874E84E" w14:textId="35973595" w:rsidR="00AC5DC1" w:rsidRDefault="00000000">
      <w:pPr>
        <w:spacing w:after="160" w:line="300" w:lineRule="auto"/>
        <w:jc w:val="both"/>
      </w:pPr>
      <w:r>
        <w:t>Figura 8.1  Diferencial de retorno trimestral DR (Gs vs. USD), 2004–2024. · Figura 8.2  Descomposición de Fisher: prima de inflación vs. residuo real. · Figura 8.3  Evolución de la composición de la prima (ventanas móviles).</w:t>
      </w:r>
    </w:p>
    <w:p w14:paraId="2800BD6C" w14:textId="77777777" w:rsidR="00AC5DC1" w:rsidRDefault="00000000">
      <w:r>
        <w:br w:type="page"/>
      </w:r>
    </w:p>
    <w:p w14:paraId="3F6F9DD8"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lastRenderedPageBreak/>
        <w:t>1. Título de la Investigación</w:t>
      </w:r>
    </w:p>
    <w:p w14:paraId="3807377E" w14:textId="4E2E52E6" w:rsidR="00D27E85" w:rsidRPr="00DF3903" w:rsidRDefault="00CA0128" w:rsidP="00D27E85">
      <w:pPr>
        <w:spacing w:after="120" w:line="480" w:lineRule="auto"/>
        <w:jc w:val="both"/>
        <w:rPr>
          <w:rFonts w:ascii="Arial" w:eastAsia="Arial" w:hAnsi="Arial" w:cs="Arial"/>
          <w:lang w:val="es-ES" w:eastAsia="es-ES"/>
        </w:rPr>
      </w:pPr>
      <w:r w:rsidRPr="00CA0128">
        <w:rPr>
          <w:rFonts w:ascii="Arial" w:eastAsia="Arial" w:hAnsi="Arial" w:cs="Arial"/>
          <w:lang w:val="es-ES" w:eastAsia="es-ES"/>
        </w:rPr>
        <w:t>Recomposición de la Prima de Riesgo en el Diferencial de Retornos entre Certificados de Depósito de ahorro en Guaraníes y Dólares tras la Adopción de Metas de Inflación: Sistema Bancario Paraguayo 2004–2024</w:t>
      </w:r>
    </w:p>
    <w:p w14:paraId="07E8B651"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2. Planteamiento del Problema</w:t>
      </w:r>
    </w:p>
    <w:p w14:paraId="05A6F73A"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En una economía pequeña, abierta y parcialmente dolarizada como la paraguaya, ahorristas, empresas y entidades financieras enfrentan cotidianamente una decisión concreta: en qué moneda constituir sus certificados de depósito de ahorro (CDA). La elección entre un CDA en guaraníes y uno en dólares depende, en última instancia, de cuál ofrece un mayor retorno una vez considerada la variación del tipo de cambio durante el plazo del depósito.</w:t>
      </w:r>
    </w:p>
    <w:p w14:paraId="71672F94"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teoría establece que, bajo libre movilidad de capitales y ausencia de fricciones, el retorno en moneda doméstica debería igualarse al retorno en moneda extranjera ajustado por la depreciación del tipo de cambio (condición conocida como Paridad Descubierta de Tasas de Interés, UIP) (Keynes, 1923; Frenkel, 1973). Esto implica que lo que el guaraní paga de más en tasa debería perderse, en promedio, por depreciación frente al dólar. Sin embargo, la evidencia observable en Paraguay durante 2004–2024 sugiere que esta condición no se cumple de manera estricta (Fama, 1984).</w:t>
      </w:r>
    </w:p>
    <w:p w14:paraId="1E9933D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problema central es doble: primero, cuantificar si los CDA en guaraníes efectivamente pagan más que los CDA en dólares una vez descontada la depreciación; y segundo, explicar por qué se sostiene ese mayor pago. Para que la medición sea conservadora, el diferencial debe medirse de manera conservadora: la depreciación se descuenta íntegramente del retorno del guaraní, pero los episodios de apreciación (en los que el guaraní gana valor frente al dólar) se excluyen del cálculo. Si, aun bajo ese criterio estricto, el guaraní continúa pagando más, el resultado no puede atribuirse a episodios favorables del tipo de cambio.</w:t>
      </w:r>
    </w:p>
    <w:p w14:paraId="7667326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Esta pregunta es especialmente relevante a la luz del cambio de régimen monetario ocurrido el 18 de mayo de 2011, cuando el Banco Central del Paraguay (BCP) adoptó formalmente un esquema de Metas de Inflación (Banco Central del Paraguay, 2011), desplazando el control de agregados monetarios como instrumento principal de política y sustituyéndolo por la Tasa de Política Monetaria (TPM) en guaraníes. La teoría predice que un régimen de metas creíble reduce la incertidumbre inflacionaria y cambiaria y, con ello, debería comprimir la prima de inflación contenida en el diferencial de retornos entre las dos monedas (Svensson, 1997; Mishkin, 2004).</w:t>
      </w:r>
    </w:p>
    <w:p w14:paraId="700544B9" w14:textId="7169C74A"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Ahora bien, el efecto de 2011 sobre el </w:t>
      </w:r>
      <w:r>
        <w:rPr>
          <w:rFonts w:ascii="Arial" w:eastAsia="Arial" w:hAnsi="Arial" w:cs="Arial"/>
          <w:i/>
          <w:iCs/>
          <w:lang w:val="es-ES" w:eastAsia="es-ES"/>
        </w:rPr>
        <w:t>nivel</w:t>
      </w:r>
      <w:r>
        <w:rPr>
          <w:rFonts w:ascii="Arial" w:eastAsia="Arial" w:hAnsi="Arial" w:cs="Arial"/>
          <w:lang w:val="es-ES" w:eastAsia="es-ES"/>
        </w:rPr>
        <w:t xml:space="preserve"> total del diferencial es teóricamente indeterminado: el régimen de metas opera sobre la prima de inflación, pero no necesariamente sobre la prima de riesgo real, que responde a factores estructurales del sistema financiero. Por ello, el problema no es únicamente si el diferencial </w:t>
      </w:r>
      <w:r>
        <w:rPr>
          <w:rFonts w:ascii="Arial" w:eastAsia="Arial" w:hAnsi="Arial" w:cs="Arial"/>
          <w:i/>
          <w:iCs/>
          <w:lang w:val="es-ES" w:eastAsia="es-ES"/>
        </w:rPr>
        <w:t>disminuyó</w:t>
      </w:r>
      <w:r>
        <w:rPr>
          <w:rFonts w:ascii="Arial" w:eastAsia="Arial" w:hAnsi="Arial" w:cs="Arial"/>
          <w:lang w:val="es-ES" w:eastAsia="es-ES"/>
        </w:rPr>
        <w:t xml:space="preserve">, sino si su </w:t>
      </w:r>
      <w:r>
        <w:rPr>
          <w:rFonts w:ascii="Arial" w:eastAsia="Arial" w:hAnsi="Arial" w:cs="Arial"/>
          <w:b/>
          <w:bCs/>
          <w:lang w:val="es-ES" w:eastAsia="es-ES"/>
        </w:rPr>
        <w:t>composición se recompuso</w:t>
      </w:r>
      <w:r>
        <w:rPr>
          <w:rFonts w:ascii="Arial" w:eastAsia="Arial" w:hAnsi="Arial" w:cs="Arial"/>
          <w:lang w:val="es-ES" w:eastAsia="es-ES"/>
        </w:rPr>
        <w:t>: determinar si, tras 2011, el diferencial dejó de estar dominado por la prima de inflación y pasó a estar sostenido por una prima de riesgo cuyo determinante principal migró del riesgo de depreciación cambiaria al riesgo de iliquidez del mercado de fondos prestables. Esta recomposición y no una simple reducción de magnitud es el fenómeno central que esta investigación busca documentar.</w:t>
      </w:r>
    </w:p>
    <w:p w14:paraId="152A6D1D" w14:textId="04DA0E8A"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Paraguay presenta condiciones estructurales que hacen pertinente este análisis: elevada dolarización financiera, con depósitos en dólares que han representado entre el 38 % y el 60 % del total del sistema bancario a lo largo del período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ausencia de un mercado de forward, que impide comparar retornos cubiertos; y un proceso gradual de consolidación del régimen monetario. A la fecha no existe evidencia empírica publicada que haya cuantificado y analizado sistemáticamente el diferencial de retornos entre CDA en ambas monedas para el mercado bancario paraguayo, configurando un vacío en la literatura.</w:t>
      </w:r>
    </w:p>
    <w:p w14:paraId="17A8A769" w14:textId="77777777" w:rsidR="00D27E85" w:rsidRPr="00DF3903" w:rsidRDefault="00D27E85" w:rsidP="00D27E85">
      <w:pPr>
        <w:spacing w:after="120" w:line="480" w:lineRule="auto"/>
        <w:jc w:val="both"/>
        <w:rPr>
          <w:rFonts w:ascii="Arial" w:eastAsia="Arial" w:hAnsi="Arial" w:cs="Arial"/>
          <w:lang w:val="es-ES" w:eastAsia="es-ES"/>
        </w:rPr>
      </w:pPr>
    </w:p>
    <w:p w14:paraId="3C2B31A0"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lastRenderedPageBreak/>
        <w:t>3. Pregunta de Investigación</w:t>
      </w:r>
    </w:p>
    <w:p w14:paraId="601B8FBB"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Pregunta general</w:t>
      </w:r>
    </w:p>
    <w:p w14:paraId="1C65D326"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Tras la adopción del régimen de Metas de Inflación en 2011, ¿cómo se recompuso la estructura de determinantes de la prima de riesgo que sostiene el diferencial de retornos entre certificados en guaraníes y en dólares del sistema bancario paraguayo entre 2004 y 2024; en qué medida cayó la incidencia del riesgo de depreciación cambiaria y aumentó la del riesgo de iliquidez del mercado de fondos prestables?</w:t>
      </w:r>
    </w:p>
    <w:p w14:paraId="096226F5"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4. Justificación y Alcance de la Investigación</w:t>
      </w:r>
    </w:p>
    <w:p w14:paraId="157D49CA"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Justificación</w:t>
      </w:r>
    </w:p>
    <w:p w14:paraId="02849A7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Desde el punto de vista teórico, la investigación permite contrastar empíricamente la UIP en una economía emergente con alta dolarización y un régimen de metas en consolidación. Las desviaciones sistemáticas respecto de esta condición constituyen evidencia de una prima de riesgo cambiaria persistente, con implicancias directas para el mecanismo de transmisión de la política monetaria (Hansen &amp; Hodrick, 1980).</w:t>
      </w:r>
    </w:p>
    <w:p w14:paraId="34274131"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Desde la perspectiva práctica, los resultados son de utilidad para el BCP (en tanto permiten evaluar no solo si la adopción de Metas de Inflación en 2011 comprimió el diferencial, sino cómo recompuso sus determinantes) y para ahorristas, empresas y entidades financieras que toman decisiones de cartera en un contexto de dolarización parcial.</w:t>
      </w:r>
    </w:p>
    <w:p w14:paraId="60FCCCD8"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En términos metodológicos, la construcción de una serie histórica del diferencial bajo el criterio conservador de excluir la apreciación aporta una cota inferior robusta del premio estructural del guaraní. La descomposición del diferencial en prima de inflación y prima de riesgo, junto con la identificación econométrica de la recomposición de sus determinantes mediante términos de interacción, añade rigor al análisis y permite contrastar formalmente una hipótesis que la mera comparación de medias no podría capturar. Finalmente, la ausencia de evidencia empírica publicada para el mercado de CDA paraguayo hace de </w:t>
      </w:r>
      <w:r>
        <w:rPr>
          <w:rFonts w:ascii="Arial" w:eastAsia="Arial" w:hAnsi="Arial" w:cs="Arial"/>
          <w:lang w:val="es-ES" w:eastAsia="es-ES"/>
        </w:rPr>
        <w:lastRenderedPageBreak/>
        <w:t>este trabajo la primera cuantificación sistemática disponible: un insumo directo para la autoridad monetaria, que necesita saber sobre qué componente del diferencial actúa su régimen, y para los ahorristas y tesorerías que hoy eligen moneda de depósito sin ese dato.</w:t>
      </w:r>
    </w:p>
    <w:p w14:paraId="5D4B555B" w14:textId="77777777" w:rsidR="00D27E85" w:rsidRPr="00DF3903" w:rsidRDefault="00D27E85" w:rsidP="00D27E85">
      <w:pPr>
        <w:spacing w:after="120" w:line="480" w:lineRule="auto"/>
        <w:jc w:val="both"/>
        <w:rPr>
          <w:rFonts w:ascii="Arial" w:eastAsia="Arial" w:hAnsi="Arial" w:cs="Arial"/>
          <w:lang w:val="es-ES" w:eastAsia="es-ES"/>
        </w:rPr>
      </w:pPr>
    </w:p>
    <w:p w14:paraId="2E166A90" w14:textId="77777777" w:rsidR="00D27E85" w:rsidRPr="00DF3903" w:rsidRDefault="00D27E85" w:rsidP="00D27E85">
      <w:pPr>
        <w:spacing w:after="120" w:line="480" w:lineRule="auto"/>
        <w:jc w:val="both"/>
        <w:rPr>
          <w:rFonts w:ascii="Arial" w:eastAsia="Arial" w:hAnsi="Arial" w:cs="Arial"/>
          <w:lang w:val="es-ES" w:eastAsia="es-ES"/>
        </w:rPr>
      </w:pPr>
    </w:p>
    <w:p w14:paraId="2D02DC5F"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Alcance</w:t>
      </w:r>
    </w:p>
    <w:p w14:paraId="61CCFBFB" w14:textId="6DFBE6CD"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El alcance temático comprende el mercado de certificados de depósito de ahorro (CDA) del sistema bancario; se excluyen otros instrumentos financieros y la evaluación de la Paridad Cubierta, dado que el mercado forward de divisas local cuyas operaciones y curva publica el BCP carece de la profundidad y de la cobertura histórica 2004–2024 necesarias para ese contraste. El alcance espacial es el sistema bancario paraguayo en su conjunto (tasas promedio del sistema, no entidades individuales). El alcance temporal abarca 2004–2024 (84 trimestres), justificado por la disponibilidad de cobertura homogénea y reglamentada de las tasas pasivas por moneda desde 2004. La unidad de análisis es el diferencial trimestral de retornos y, dentro de él, la prima de riesgo que lo sostiene. La profundidad del estudio es correlacional, de incidencia: el diseño una única serie observada antes y después del cambio de régimen, sin grupo de control mide asociación a través de un quiebre, no efectos causales. Se utilizan datos de acceso público del BCP (tasas pasivas de CDA por moneda, tipo de cambio nominal y ratio de dolarización de depósitos), de la Reserva Federal (tasa de fondos federales) y de FRED (el índice de precios al consumidor de los Estados Unidos; el IPC del Paraguay proviene del BCP).</w:t>
      </w:r>
    </w:p>
    <w:p w14:paraId="0FEBB35D"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5. Objetivos de la Investigación</w:t>
      </w:r>
    </w:p>
    <w:p w14:paraId="604CAED4"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Objetivo general</w:t>
      </w:r>
    </w:p>
    <w:p w14:paraId="78DBF61F"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Determinar cómo se recompuso la incidencia relativa de los determinantes de la prima de riesgo del diferencial de retornos entre certificados en guaraníes y dólares tras la adopción de las Metas de Inflación en 2011, en el sistema bancario paraguayo, 2004–2024.</w:t>
      </w:r>
    </w:p>
    <w:p w14:paraId="297DEDD0"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Objetivos específicos</w:t>
      </w:r>
    </w:p>
    <w:p w14:paraId="5F19036D"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Caracterizar la evolución del diferencial de retornos estándar y de su medida conservadora durante 2004–2024, a partir de las tasas pasivas de CDA y el tipo de cambio publicados por el BCP (Banco Central del Paraguay, 2024).</w:t>
      </w:r>
    </w:p>
    <w:p w14:paraId="5DA555A5"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lang w:val="es-ES" w:eastAsia="es-ES"/>
        </w:rPr>
        <w:t>Verificar, como premisa del análisis, si el diferencial conservador (que excluye la apreciación) permanece positivo para el período completo y para cada subperíodo.</w:t>
      </w:r>
    </w:p>
    <w:p w14:paraId="2AD38E1C"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Contrastar si la dinámica del diferencial exhibe un quiebre estructural asociado al cambio de régimen de 2011, mediante pruebas de cambio estructural con fecha de quiebre endógena.</w:t>
      </w:r>
    </w:p>
    <w:p w14:paraId="10FF829F"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lang w:val="es-ES" w:eastAsia="es-ES"/>
        </w:rPr>
        <w:t>Descomponer el diferencial de tasas en su componente de inflación esperada y su componente de prima de riesgo real, y comparar ambas proporciones entre los subperíodos pre y post 2011 (primera capa de la recomposición).</w:t>
      </w:r>
    </w:p>
    <w:p w14:paraId="3542B4F3"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Identificar la migración del determinante dominante dentro de la prima de riesgo tras 2011, contrastando formalmente el cambio en la incidencia relativa del riesgo de depreciación cambiaria y del riesgo de iliquidez del mercado de fondos prestables (segunda capa y núcleo de la investigación).</w:t>
      </w:r>
    </w:p>
    <w:p w14:paraId="5B24A80A"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6. Hipótesis de Investigación</w:t>
      </w:r>
    </w:p>
    <w:p w14:paraId="284F78B4"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Sobre la base del marco teórico desarrollado en la Sección 7 (Pilares 1 a 6), se formula la siguiente hipótesis de investigación.</w:t>
      </w:r>
    </w:p>
    <w:p w14:paraId="0BD6488B" w14:textId="647B31C4" w:rsidR="00D27E85" w:rsidRPr="00DF3903" w:rsidRDefault="00D27E85" w:rsidP="00D27E85">
      <w:pPr>
        <w:spacing w:after="120" w:line="480" w:lineRule="auto"/>
        <w:jc w:val="both"/>
        <w:rPr>
          <w:rFonts w:ascii="Arial" w:eastAsia="Arial" w:hAnsi="Arial" w:cs="Arial"/>
          <w:lang w:val="es-ES" w:eastAsia="es-ES"/>
        </w:rPr>
      </w:pPr>
      <w:r>
        <w:rPr>
          <w:rFonts w:ascii="Arial" w:hAnsi="Arial"/>
          <w:b/>
        </w:rPr>
        <w:t xml:space="preserve">Hipótesis de investigación. </w:t>
      </w:r>
      <w:r>
        <w:rPr>
          <w:rFonts w:ascii="Arial" w:hAnsi="Arial"/>
        </w:rPr>
        <w:t>Tras la adopción del régimen de Metas de Inflación en 2011, el diferencial de retornos entre CDA en guaraníes y en dólares no desaparece, sino que cambia de naturaleza. La prima de inflación —el componente expectacional ligado a la pérdida esperada de valor de la moneda— se contrae al anclarse las expectativas; pero el diferencial persiste porque emerge, y pasa a dominarlo, una prima de riesgo real de origen estructural y no expectacional. El fenómeno central que esta investigación documenta es, por tanto, la migración de la fuente del diferencial desde un componente expectacional (inflación y depreciación esperadas) hacia un residuo de riesgo real. Determinar cuál factor estructural gobierna ese residuo es una pregunta abierta: se examinan como candidatos la segmentación del mercado de fondos prestables (aproximada por la dolarización de depósitos) y los factores financieros globales, sin imponer a priori una dirección; la conjetura de una migración específica hacia el riesgo de iliquidez se somete a contraste empírico como hipótesis subordinada, no como la afirmación central. En consecuencia, el resultado neto sobre el nivel del diferencial es teóricamente indeterminado, y lo relevante es el cambio en la naturaleza y la composición de sus determinantes, no la mera variación de su magnitud promedio.</w:t>
      </w:r>
    </w:p>
    <w:p w14:paraId="36A9A3FC" w14:textId="277386A2"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sistema de hipótesis estadísticas que operacionaliza esta proposición formulado sobre los coeficientes de los términos de interacción del modelo de regresión se presenta en el Marco Metodológico (Etapa 5), conforme a la convención de reservar la hipótesis declarativa para esta sección y el par H</w:t>
      </w:r>
      <w:r>
        <w:rPr>
          <w:rFonts w:ascii="Arial" w:eastAsia="Arial" w:hAnsi="Arial" w:cs="Arial"/>
          <w:vertAlign w:val="subscript"/>
          <w:lang w:val="es-ES" w:eastAsia="es-ES"/>
        </w:rPr>
        <w:t>0</w:t>
      </w:r>
      <w:r>
        <w:rPr>
          <w:rFonts w:ascii="Arial" w:eastAsia="Arial" w:hAnsi="Arial" w:cs="Arial"/>
          <w:lang w:val="es-ES" w:eastAsia="es-ES"/>
        </w:rPr>
        <w:t>/H</w:t>
      </w:r>
      <w:r>
        <w:rPr>
          <w:rFonts w:ascii="Arial" w:eastAsia="Arial" w:hAnsi="Arial" w:cs="Arial"/>
          <w:vertAlign w:val="subscript"/>
          <w:lang w:val="es-ES" w:eastAsia="es-ES"/>
        </w:rPr>
        <w:t>A</w:t>
      </w:r>
      <w:r>
        <w:rPr>
          <w:rFonts w:ascii="Arial" w:eastAsia="Arial" w:hAnsi="Arial" w:cs="Arial"/>
          <w:lang w:val="es-ES" w:eastAsia="es-ES"/>
        </w:rPr>
        <w:t xml:space="preserve"> para el diseño econométrico.</w:t>
      </w:r>
    </w:p>
    <w:p w14:paraId="2504C9D3" w14:textId="77777777" w:rsidR="00D27E85" w:rsidRPr="00DF3903" w:rsidRDefault="00D27E85" w:rsidP="00D27E85">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7. Marco Teórico y Metodológico</w:t>
      </w:r>
    </w:p>
    <w:p w14:paraId="43BF5DDF"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7.1. Marco teórico</w:t>
      </w:r>
    </w:p>
    <w:p w14:paraId="1F811306" w14:textId="3377227B" w:rsidR="00AC5DC1" w:rsidRDefault="00000000">
      <w:pPr>
        <w:jc w:val="both"/>
        <w:rPr>
          <w:rFonts w:ascii="Arial" w:hAnsi="Arial" w:cs="Arial"/>
        </w:rPr>
      </w:pPr>
      <w:r>
        <w:rPr>
          <w:rFonts w:ascii="Arial" w:hAnsi="Arial" w:cs="Arial"/>
        </w:rPr>
        <w:t xml:space="preserve">Este marco teórico establece el fundamento conceptual del trabajo siguiendo una progresión de lo general a lo específico. Primero se ubica la investigación en la literatura internacional que le sirve de antecedente; luego se desarrolla el contexto </w:t>
      </w:r>
      <w:proofErr w:type="spellStart"/>
      <w:r>
        <w:rPr>
          <w:rFonts w:ascii="Arial" w:hAnsi="Arial" w:cs="Arial"/>
        </w:rPr>
        <w:t>históricoinstitucional</w:t>
      </w:r>
      <w:proofErr w:type="spellEnd"/>
      <w:r>
        <w:rPr>
          <w:rFonts w:ascii="Arial" w:hAnsi="Arial" w:cs="Arial"/>
        </w:rPr>
        <w:t xml:space="preserve"> del sistema financiero paraguayo y los pilares teóricos que sustentan el análisis la paridad de tasas y su incumplimiento, la descomposición de Fisher, el régimen de Metas de Inflación, los determinantes estructurales del diferencial y la dolarización financiera como fenómeno transversal; y se cierra con las bases legales, el sistema de variables y la definición de los términos empleados. El hilo conductor es una única pregunta: qué sostiene el diferencial de retornos entre certificados de depósito de ahorro en guaraníes y en dólares, y cómo cabe esperar que un cambio de régimen monetario altere su composición.</w:t>
      </w:r>
    </w:p>
    <w:p w14:paraId="35C38CF2"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Antecedentes de investigación</w:t>
      </w:r>
    </w:p>
    <w:p w14:paraId="2A02E97F" w14:textId="6F64C2EC"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evidencia internacional ofrece tres líneas de antecedentes directamente vinculadas a esta investigación. Primero, las pruebas de la paridad descubierta en economías emergentes: Bansal y Dahlquist (2000) documentan que el incumplimiento de la UIP es sistemáticamente mayor en economías de menor ingreso y mayor volatilidad inflacionaria, </w:t>
      </w:r>
      <w:r>
        <w:rPr>
          <w:rFonts w:ascii="Arial" w:eastAsia="Arial" w:hAnsi="Arial" w:cs="Arial"/>
          <w:lang w:val="es-ES" w:eastAsia="es-ES"/>
        </w:rPr>
        <w:lastRenderedPageBreak/>
        <w:t xml:space="preserve">y Lewis (1995) sistematiza las explicaciones del exceso de retorno cambiario, incluidas las basadas en el problema del peso (Krasker, 1980), que constituye además la hipótesis rival que este trabajo debe arbitrar: una prima persistente puede reflejar la expectativa de un evento extremo no materializado en la muestra, y no una prima estructural que se recompone. Segundo, la evidencia sobre regímenes de metas de inflación y primas de riesgo: Mishkin y </w:t>
      </w:r>
      <w:proofErr w:type="spellStart"/>
      <w:r>
        <w:rPr>
          <w:rFonts w:ascii="Arial" w:eastAsia="Arial" w:hAnsi="Arial" w:cs="Arial"/>
          <w:lang w:val="es-ES" w:eastAsia="es-ES"/>
        </w:rPr>
        <w:t>SchmidtHebbel</w:t>
      </w:r>
      <w:proofErr w:type="spellEnd"/>
      <w:r>
        <w:rPr>
          <w:rFonts w:ascii="Arial" w:eastAsia="Arial" w:hAnsi="Arial" w:cs="Arial"/>
          <w:lang w:val="es-ES" w:eastAsia="es-ES"/>
        </w:rPr>
        <w:t xml:space="preserve"> (2007) encuentran que la adopción de metas reduce el nivel y la volatilidad de la inflación sin eliminar los diferenciales de riesgo, y Leiderman, Maino y Parrado (2006) analizan la operación de metas de inflación en economías dolarizadas, el caso más próximo al paraguayo. Tercero, la literatura de dolarización financiera (Calvo &amp; Végh, 1992;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y del «miedo a flotar» (Calvo &amp; Reinhart, 2002), que explica por qué las fricciones estructurales asociadas a la moneda extranjera sobreviven a la estabilización nominal. No se identificó evidencia empírica publicada para el mercado de CDA paraguayo; ese vacío justifica el aporte del trabajo, y esta sección lo ubica en la conversación internacional a la que contribuye.</w:t>
      </w:r>
    </w:p>
    <w:p w14:paraId="4CC46ED9" w14:textId="0796BF70" w:rsidR="00AC5DC1" w:rsidRDefault="00000000">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 xml:space="preserve">Pilar preliminar: Antecedentes </w:t>
      </w:r>
      <w:proofErr w:type="spellStart"/>
      <w:r>
        <w:rPr>
          <w:rFonts w:ascii="Arial" w:eastAsia="Arial" w:hAnsi="Arial" w:cs="Arial"/>
          <w:b/>
          <w:bCs/>
          <w:i/>
          <w:iCs/>
          <w:color w:val="000000"/>
          <w:lang w:val="es-ES" w:eastAsia="es-ES"/>
        </w:rPr>
        <w:t>históricoinstitucionales</w:t>
      </w:r>
      <w:proofErr w:type="spellEnd"/>
      <w:r>
        <w:rPr>
          <w:rFonts w:ascii="Arial" w:eastAsia="Arial" w:hAnsi="Arial" w:cs="Arial"/>
          <w:b/>
          <w:bCs/>
          <w:i/>
          <w:iCs/>
          <w:color w:val="000000"/>
          <w:lang w:val="es-ES" w:eastAsia="es-ES"/>
        </w:rPr>
        <w:t xml:space="preserve"> del sistema financiero paraguayo</w:t>
      </w:r>
    </w:p>
    <w:p w14:paraId="26DD6023" w14:textId="52875ABC"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punto de partida empírico de esta investigación el primer trimestre de 2004 no es arbitrario, pero tampoco se explica por sí solo. Para comprender la magnitud y la composición del diferencial de retornos que los datos exhiben desde ese año es necesario remontarse al proceso que dio forma al sistema financiero paraguayo en las décadas anteriores. Ese proceso estuvo marcado por tres episodios sucesivos cuya huella es aún detectable en el período 2004–2024: la transición de un régimen de represión financiera hacia un sistema de mercado parcialmente liberalizado a partir de 1989, la crisis bancaria sistémica de 1995–1998 que erosionó de forma duradera la confianza de los depositantes en los instrumentos denominados en guaraníes, y la contaminación regional producida por los colapsos monetarios de Argentina y Uruguay en 2001–2002. Cada uno de esos </w:t>
      </w:r>
      <w:r>
        <w:rPr>
          <w:rFonts w:ascii="Arial" w:eastAsia="Arial" w:hAnsi="Arial" w:cs="Arial"/>
          <w:lang w:val="es-ES" w:eastAsia="es-ES"/>
        </w:rPr>
        <w:lastRenderedPageBreak/>
        <w:t>episodios sedimentó expectativas, hábitos y estructuras institucionales que condicionaron las decisiones de cartera de los ahorristas paraguayos a lo largo del período analizado.</w:t>
      </w:r>
    </w:p>
    <w:p w14:paraId="15BDE85F" w14:textId="3D3AEE26"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Durante los más de treinta y cinco años del régimen de Stroessner (1954–1989), el sistema financiero paraguayo operó bajo condiciones de represión financiera: el tipo de cambio estuvo administrativamente controlado durante períodos prolongados y la política monetaria respondía a las necesidades de financiamiento del Estado antes que a objetivos de estabilidad de precios. La transición democrática de febrero de 1989 y la liberalización cambiaria que le siguió pusieron en evidencia las tensiones acumuladas: el guaraní experimentó episodios de depreciación significativa en los primeros años de la década de 1990, y la inflación, antes contenida de forma administrativa, mostró aceleraciones que instalaron en el ahorrista paraguayo la percepción de que mantener activos en moneda doméstica implicaba un riesgo real y cuantificable. Esta primera experiencia de inestabilidad </w:t>
      </w:r>
      <w:proofErr w:type="spellStart"/>
      <w:r>
        <w:rPr>
          <w:rFonts w:ascii="Arial" w:eastAsia="Arial" w:hAnsi="Arial" w:cs="Arial"/>
          <w:lang w:val="es-ES" w:eastAsia="es-ES"/>
        </w:rPr>
        <w:t>postliberalización</w:t>
      </w:r>
      <w:proofErr w:type="spellEnd"/>
      <w:r>
        <w:rPr>
          <w:rFonts w:ascii="Arial" w:eastAsia="Arial" w:hAnsi="Arial" w:cs="Arial"/>
          <w:lang w:val="es-ES" w:eastAsia="es-ES"/>
        </w:rPr>
        <w:t xml:space="preserve"> estableció el piso sobre el que se construyeron las decisiones de cartera de la generación que llegaría a 2004 con sus ahorros ya constituidos.</w:t>
      </w:r>
    </w:p>
    <w:p w14:paraId="31884D32" w14:textId="6F0AEE97"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episodio más determinante para entender la estructura de la dolarización que caracterizó al sistema bancario paraguayo en el período 2004–2024 fue la crisis bancaria sistémica de 1995–1998. A lo largo de esos años, el Banco Central del Paraguay debió intervenir, liquidar o rescatar un conjunto de entidades financieras privadas cuyos problemas de solvencia y liquidez se habían acumulado bajo la superficie de un período de expansión crediticia. El efecto sobre los depositantes fue inmediato y duradero: numerosos ahorristas sufrieron pérdidas patrimoniales reales o experimentaron la inmovilización temporal de depósitos denominados en guaraníes. La respuesta fue previsible: la migración hacia depósitos en dólares estadounidenses, ajenos a los problemas del sistema bancario local, se aceleró de forma significativa, y la dolarización de depósitos escaló hacia los niveles más altos del período analizado precisamente en los años inmediatamente posteriores a 1998. La literatura sobre </w:t>
      </w:r>
      <w:r>
        <w:rPr>
          <w:rFonts w:ascii="Arial" w:eastAsia="Arial" w:hAnsi="Arial" w:cs="Arial"/>
          <w:i/>
          <w:iCs/>
          <w:lang w:val="es-ES" w:eastAsia="es-ES"/>
        </w:rPr>
        <w:t>histéresis</w:t>
      </w:r>
      <w:r>
        <w:rPr>
          <w:rFonts w:ascii="Arial" w:eastAsia="Arial" w:hAnsi="Arial" w:cs="Arial"/>
          <w:lang w:val="es-ES" w:eastAsia="es-ES"/>
        </w:rPr>
        <w:t xml:space="preserve"> financiera documentada, entre otros, por Calvo y Végh (1992) e Ize y </w:t>
      </w:r>
      <w:proofErr w:type="spellStart"/>
      <w:r>
        <w:rPr>
          <w:rFonts w:ascii="Arial" w:eastAsia="Arial" w:hAnsi="Arial" w:cs="Arial"/>
          <w:lang w:val="es-ES" w:eastAsia="es-ES"/>
        </w:rPr>
        <w:t>LevyYeyati</w:t>
      </w:r>
      <w:proofErr w:type="spellEnd"/>
      <w:r>
        <w:rPr>
          <w:rFonts w:ascii="Arial" w:eastAsia="Arial" w:hAnsi="Arial" w:cs="Arial"/>
          <w:lang w:val="es-ES" w:eastAsia="es-ES"/>
        </w:rPr>
        <w:t xml:space="preserve"> (2003) predice con exactitud este patrón: los comportamientos </w:t>
      </w:r>
      <w:r>
        <w:rPr>
          <w:rFonts w:ascii="Arial" w:eastAsia="Arial" w:hAnsi="Arial" w:cs="Arial"/>
          <w:lang w:val="es-ES" w:eastAsia="es-ES"/>
        </w:rPr>
        <w:lastRenderedPageBreak/>
        <w:t>de dolarización adoptados en respuesta a crisis bancarias o cambiarias tienden a persistir mucho más allá de la resolución de la crisis que los motivó, porque la información que el ahorrista incorporó durante ese episodio es genuinamente relevante para evaluar el riesgo futuro de los instrumentos domésticos.</w:t>
      </w:r>
    </w:p>
    <w:p w14:paraId="550631FB" w14:textId="5713FFCA"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Si la crisis bancaria de 1995–1998 fue el detonante interno de la dolarización, el entorno regional de 2001–2002 operó como su amplificador externo. La crisis argentina de diciembre de 2001 con el congelamiento bancario, el abandono de la convertibilidad y la cesación de pagos de la deuda soberana tuvo efectos directos sobre Paraguay a través de dos canales: el comercial, por la contracción de la demanda de exportaciones, y el de expectativas, más relevante para esta investigación, pues los ahorristas paraguayos observaron en el país vecino exactamente el escenario que más temían un sistema bancario incapaz de devolver los depósitos en moneda doméstica a su valor y recalibraron su disposición a mantener activos en guaraníes. Simultáneamente, Uruguay atravesaba su propia crisis bancaria de 2002. Paraguay, enclavado entre sus dos vecinos en crisis, procesó esos episodios como confirmación de la racionalidad de la dolarización precautoria. El período 2002–2003 constituyó el punto de mayor dolarización del sistema financiero paraguayo, y el punto de partida desde el que la tendencia de largo plazo comenzaría, lenta pero sostenidamente, a revertirse.</w:t>
      </w:r>
    </w:p>
    <w:p w14:paraId="69B85A93" w14:textId="7B5C6F19"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La recuperación comenzó a perfilarse a partir de 2003–2004, impulsada por la reactivación económica asociada al auge de los precios internacionales de los </w:t>
      </w:r>
      <w:proofErr w:type="spellStart"/>
      <w:r>
        <w:rPr>
          <w:rFonts w:ascii="Arial" w:eastAsia="Arial" w:hAnsi="Arial" w:cs="Arial"/>
          <w:i/>
          <w:iCs/>
          <w:lang w:val="es-ES" w:eastAsia="es-ES"/>
        </w:rPr>
        <w:t>commodities</w:t>
      </w:r>
      <w:proofErr w:type="spellEnd"/>
      <w:r>
        <w:rPr>
          <w:rFonts w:ascii="Arial" w:eastAsia="Arial" w:hAnsi="Arial" w:cs="Arial"/>
          <w:lang w:val="es-ES" w:eastAsia="es-ES"/>
        </w:rPr>
        <w:t xml:space="preserve"> agrícolas en particular la soja y por una gestión monetaria del BCP progresivamente más orientada hacia la estabilidad. Entre 2004 y 2010, la inflación mantuvo una tendencia declinante, aunque con volatilidad, y el BCP fue construyendo los instrumentos operativos en particular la Tasa de Política Monetaria como señal de mercado que serían la base del régimen de Metas de Inflación adoptado el 18 de mayo de 2011. Ese proceso de aprendizaje institucional y construcción de credibilidad es el telón de fondo sobre el que debe interpretarse el diferencial de retornos del período 2004–2010: un diferencial elevado, en </w:t>
      </w:r>
      <w:r>
        <w:rPr>
          <w:rFonts w:ascii="Arial" w:eastAsia="Arial" w:hAnsi="Arial" w:cs="Arial"/>
          <w:lang w:val="es-ES" w:eastAsia="es-ES"/>
        </w:rPr>
        <w:lastRenderedPageBreak/>
        <w:t>buena parte dominado por la prima de inflación derivada de la incertidumbre del régimen de agregados monetarios, pero que ya comenzaba a reflejar los primeros indicios de la estabilización que el régimen de Metas de Inflación vendría a consolidar. Este es el punto exacto en el que la teoría de la Paridad Descubierta de Tasas de Interés, desarrollada en el pilar siguiente, comienza a operar como marco interpretativo de los datos.</w:t>
      </w:r>
    </w:p>
    <w:p w14:paraId="6077A4EC"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Pilar 1: Paridad Descubierta de Tasas de Interés (UIP)</w:t>
      </w:r>
    </w:p>
    <w:p w14:paraId="68FEE4A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condición de UIP (Keynes, 1923; Frenkel, 1973) establece que, bajo libre movilidad de capitales y neutralidad al riesgo, el diferencial de tasas nominales entre dos países debe igualarse a la depreciación esperada del tipo de cambio:</w:t>
      </w:r>
    </w:p>
    <w:p w14:paraId="15978CC1"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E</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 / TC</w:t>
      </w:r>
      <w:r>
        <w:rPr>
          <w:rFonts w:ascii="Cambria Math" w:eastAsia="Arial" w:hAnsi="Cambria Math" w:cs="Cambria Math"/>
          <w:i/>
          <w:iCs/>
          <w:lang w:val="es-ES" w:eastAsia="es-ES"/>
        </w:rPr>
        <w:t>ₜ</w:t>
      </w:r>
      <w:r>
        <w:rPr>
          <w:rFonts w:ascii="Arial" w:eastAsia="Arial" w:hAnsi="Arial" w:cs="Arial"/>
          <w:i/>
          <w:iCs/>
          <w:lang w:val="es-ES" w:eastAsia="es-ES"/>
        </w:rPr>
        <w:t>]</w:t>
      </w:r>
      <w:r>
        <w:rPr>
          <w:rFonts w:ascii="Arial" w:eastAsia="Arial" w:hAnsi="Arial" w:cs="Arial"/>
          <w:lang w:val="es-ES" w:eastAsia="es-ES"/>
        </w:rPr>
        <w:tab/>
        <w:t>(1)</w:t>
      </w:r>
    </w:p>
    <w:p w14:paraId="71FF7BA9"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donde i</w:t>
      </w:r>
      <w:r>
        <w:rPr>
          <w:rFonts w:ascii="Arial" w:eastAsia="Arial" w:hAnsi="Arial" w:cs="Arial"/>
          <w:vertAlign w:val="subscript"/>
          <w:lang w:val="es-ES" w:eastAsia="es-ES"/>
        </w:rPr>
        <w:t>t</w:t>
      </w:r>
      <w:r>
        <w:rPr>
          <w:rFonts w:ascii="Arial" w:eastAsia="Arial" w:hAnsi="Arial" w:cs="Arial"/>
          <w:lang w:val="es-ES" w:eastAsia="es-ES"/>
        </w:rPr>
        <w:t>(Gs) es la tasa pasiva del CDA en guaraníes, i</w:t>
      </w:r>
      <w:r>
        <w:rPr>
          <w:rFonts w:ascii="Arial" w:eastAsia="Arial" w:hAnsi="Arial" w:cs="Arial"/>
          <w:vertAlign w:val="subscript"/>
          <w:lang w:val="es-ES" w:eastAsia="es-ES"/>
        </w:rPr>
        <w:t>t</w:t>
      </w:r>
      <w:r>
        <w:rPr>
          <w:rFonts w:ascii="Arial" w:eastAsia="Arial" w:hAnsi="Arial" w:cs="Arial"/>
          <w:lang w:val="es-ES" w:eastAsia="es-ES"/>
        </w:rPr>
        <w:t>(USD) la del CDA en dólares y TC</w:t>
      </w:r>
      <w:r>
        <w:rPr>
          <w:rFonts w:ascii="Arial" w:eastAsia="Arial" w:hAnsi="Arial" w:cs="Arial"/>
          <w:vertAlign w:val="subscript"/>
          <w:lang w:val="es-ES" w:eastAsia="es-ES"/>
        </w:rPr>
        <w:t>t</w:t>
      </w:r>
      <w:r>
        <w:rPr>
          <w:rFonts w:ascii="Arial" w:eastAsia="Arial" w:hAnsi="Arial" w:cs="Arial"/>
          <w:lang w:val="es-ES" w:eastAsia="es-ES"/>
        </w:rPr>
        <w:t xml:space="preserve"> el tipo de cambio nominal guaraní/dólar al cierre del trimestre t. El diferencial de retornos </w:t>
      </w:r>
      <w:r>
        <w:rPr>
          <w:rFonts w:ascii="Arial" w:eastAsia="Arial" w:hAnsi="Arial" w:cs="Arial"/>
          <w:i/>
          <w:iCs/>
          <w:lang w:val="es-ES" w:eastAsia="es-ES"/>
        </w:rPr>
        <w:t>ex post</w:t>
      </w:r>
      <w:r>
        <w:rPr>
          <w:rFonts w:ascii="Arial" w:eastAsia="Arial" w:hAnsi="Arial" w:cs="Arial"/>
          <w:lang w:val="es-ES" w:eastAsia="es-ES"/>
        </w:rPr>
        <w:t xml:space="preserve"> (la ganancia o pérdida efectiva de haber depositado en guaraníes respecto de haber depositado en dólares) se define como:</w:t>
      </w:r>
    </w:p>
    <w:p w14:paraId="71380165"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DR</w:t>
      </w:r>
      <w:r>
        <w:rPr>
          <w:rFonts w:ascii="Cambria Math" w:eastAsia="Arial" w:hAnsi="Cambria Math" w:cs="Cambria Math"/>
          <w:i/>
          <w:iCs/>
          <w:lang w:val="es-ES" w:eastAsia="es-ES"/>
        </w:rPr>
        <w:t>ₜ₊₁</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w:t>
      </w:r>
      <w:r>
        <w:rPr>
          <w:rFonts w:ascii="Arial" w:eastAsia="Arial" w:hAnsi="Arial" w:cs="Arial"/>
          <w:i/>
          <w:iCs/>
          <w:lang w:val="es-ES" w:eastAsia="es-ES"/>
        </w:rPr>
        <w:t>] × 100</w:t>
      </w:r>
      <w:r>
        <w:rPr>
          <w:rFonts w:ascii="Arial" w:eastAsia="Arial" w:hAnsi="Arial" w:cs="Arial"/>
          <w:lang w:val="es-ES" w:eastAsia="es-ES"/>
        </w:rPr>
        <w:tab/>
        <w:t>(2)</w:t>
      </w:r>
    </w:p>
    <w:p w14:paraId="0C9A7B67"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Bajo UIP, E[DR</w:t>
      </w:r>
      <w:r>
        <w:rPr>
          <w:rFonts w:ascii="Arial" w:eastAsia="Arial" w:hAnsi="Arial" w:cs="Arial"/>
          <w:vertAlign w:val="subscript"/>
          <w:lang w:val="es-ES" w:eastAsia="es-ES"/>
        </w:rPr>
        <w:t>t+1</w:t>
      </w:r>
      <w:r>
        <w:rPr>
          <w:rFonts w:ascii="Arial" w:eastAsia="Arial" w:hAnsi="Arial" w:cs="Arial"/>
          <w:lang w:val="es-ES" w:eastAsia="es-ES"/>
        </w:rPr>
        <w:t>] = 0. Un valor positivo y persistente de DR</w:t>
      </w:r>
      <w:r>
        <w:rPr>
          <w:rFonts w:ascii="Arial" w:eastAsia="Arial" w:hAnsi="Arial" w:cs="Arial"/>
          <w:vertAlign w:val="subscript"/>
          <w:lang w:val="es-ES" w:eastAsia="es-ES"/>
        </w:rPr>
        <w:t>t+1</w:t>
      </w:r>
      <w:r>
        <w:rPr>
          <w:rFonts w:ascii="Arial" w:eastAsia="Arial" w:hAnsi="Arial" w:cs="Arial"/>
          <w:lang w:val="es-ES" w:eastAsia="es-ES"/>
        </w:rPr>
        <w:t xml:space="preserve"> constituye evidencia de una prima de riesgo cambiario a favor del guaraní que el mercado no arbitra por completo (Hansen &amp; Hodrick, 1980).</w:t>
      </w:r>
    </w:p>
    <w:p w14:paraId="1D7CCDB3"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Pilar 2: El «forward premium puzzle» y el coeficiente de Fama</w:t>
      </w:r>
    </w:p>
    <w:p w14:paraId="57EC171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literatura empírica documenta sistemáticamente que la UIP no se cumple. Fama (1984) demostró que, al estimar la regresión:</w:t>
      </w:r>
    </w:p>
    <w:p w14:paraId="173F40CD"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Δs</w:t>
      </w:r>
      <w:r>
        <w:rPr>
          <w:rFonts w:ascii="Cambria Math" w:eastAsia="Arial" w:hAnsi="Cambria Math" w:cs="Cambria Math"/>
          <w:i/>
          <w:iCs/>
          <w:lang w:val="es-ES" w:eastAsia="es-ES"/>
        </w:rPr>
        <w:t>ₜ₊₁</w:t>
      </w:r>
      <w:r>
        <w:rPr>
          <w:rFonts w:ascii="Arial" w:eastAsia="Arial" w:hAnsi="Arial" w:cs="Arial"/>
          <w:i/>
          <w:iCs/>
          <w:lang w:val="es-ES" w:eastAsia="es-ES"/>
        </w:rPr>
        <w:t xml:space="preserve"> = α + β·[i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ε</w:t>
      </w:r>
      <w:r>
        <w:rPr>
          <w:rFonts w:ascii="Cambria Math" w:eastAsia="Arial" w:hAnsi="Cambria Math" w:cs="Cambria Math"/>
          <w:i/>
          <w:iCs/>
          <w:lang w:val="es-ES" w:eastAsia="es-ES"/>
        </w:rPr>
        <w:t>ₜ₊₁</w:t>
      </w:r>
      <w:r>
        <w:rPr>
          <w:rFonts w:ascii="Arial" w:eastAsia="Arial" w:hAnsi="Arial" w:cs="Arial"/>
          <w:lang w:val="es-ES" w:eastAsia="es-ES"/>
        </w:rPr>
        <w:tab/>
        <w:t>(3)</w:t>
      </w:r>
    </w:p>
    <w:p w14:paraId="70A5B1B7"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donde Δs</w:t>
      </w:r>
      <w:r>
        <w:rPr>
          <w:rFonts w:ascii="Arial" w:eastAsia="Arial" w:hAnsi="Arial" w:cs="Arial"/>
          <w:vertAlign w:val="subscript"/>
          <w:lang w:val="es-ES" w:eastAsia="es-ES"/>
        </w:rPr>
        <w:t>t+1</w:t>
      </w:r>
      <w:r>
        <w:rPr>
          <w:rFonts w:ascii="Arial" w:eastAsia="Arial" w:hAnsi="Arial" w:cs="Arial"/>
          <w:lang w:val="es-ES" w:eastAsia="es-ES"/>
        </w:rPr>
        <w:t xml:space="preserve"> es la depreciación efectiva del guaraní, el coeficiente β resulta menor que 1 (e incluso negativo en muchas economías emergentes) (Fama, 1984). Un β &lt; 1 implica que el guaraní no se deprecia tanto como predice el diferencial de tasas, de modo que el </w:t>
      </w:r>
      <w:r>
        <w:rPr>
          <w:rFonts w:ascii="Arial" w:eastAsia="Arial" w:hAnsi="Arial" w:cs="Arial"/>
          <w:lang w:val="es-ES" w:eastAsia="es-ES"/>
        </w:rPr>
        <w:lastRenderedPageBreak/>
        <w:t xml:space="preserve">tenedor de CDA en guaraníes obtiene un retorno neto positivo. Un β &lt; 0, el hallazgo más extremo del </w:t>
      </w:r>
      <w:r>
        <w:rPr>
          <w:rFonts w:ascii="Arial" w:eastAsia="Arial" w:hAnsi="Arial" w:cs="Arial"/>
          <w:i/>
          <w:iCs/>
          <w:lang w:val="es-ES" w:eastAsia="es-ES"/>
        </w:rPr>
        <w:t>forward premium puzzle</w:t>
      </w:r>
      <w:r>
        <w:rPr>
          <w:rFonts w:ascii="Arial" w:eastAsia="Arial" w:hAnsi="Arial" w:cs="Arial"/>
          <w:lang w:val="es-ES" w:eastAsia="es-ES"/>
        </w:rPr>
        <w:t xml:space="preserve">, indica que una tasa más alta en guaraníes se asocia, en promedio, con una </w:t>
      </w:r>
      <w:r>
        <w:rPr>
          <w:rFonts w:ascii="Arial" w:eastAsia="Arial" w:hAnsi="Arial" w:cs="Arial"/>
          <w:i/>
          <w:iCs/>
          <w:lang w:val="es-ES" w:eastAsia="es-ES"/>
        </w:rPr>
        <w:t>apreciación</w:t>
      </w:r>
      <w:r>
        <w:rPr>
          <w:rFonts w:ascii="Arial" w:eastAsia="Arial" w:hAnsi="Arial" w:cs="Arial"/>
          <w:lang w:val="es-ES" w:eastAsia="es-ES"/>
        </w:rPr>
        <w:t xml:space="preserve"> del guaraní, lo opuesto de lo que predice la UIP. Este fenómeno tiene una explicación intuitiva en el caso paraguayo: tasas domésticas altas pueden atraer capital externo, que aprecia el guaraní en lugar de depreciarlo. La encuesta de Engel (1996) confirma que el fenómeno es robusto en una amplia muestra de países y períodos.</w:t>
      </w:r>
    </w:p>
    <w:p w14:paraId="1F9FB0FE"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Operacionalización. </w:t>
      </w:r>
      <w:r>
        <w:rPr>
          <w:rFonts w:ascii="Arial" w:eastAsia="Arial" w:hAnsi="Arial" w:cs="Arial"/>
          <w:lang w:val="es-ES" w:eastAsia="es-ES"/>
        </w:rPr>
        <w:t>A diferencia de su tratamiento como antecedente meramente ilustrativo, en esta investigación la regresión de Fama se incorpora como corroboración empírica secundaria (Etapa 2), estimándose el coeficiente β para el período completo y para cada subperíodo. Esto permite evaluar si el grado de incumplimiento de la UIP cambió tras 2011 y articula el Pilar 2 con la estrategia econométrica, en lugar de dejarlo como un marco puramente expositivo.</w:t>
      </w:r>
    </w:p>
    <w:p w14:paraId="4C55CF53" w14:textId="241F06D3"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Alcance del fenómeno en economías emergentes. </w:t>
      </w:r>
      <w:r>
        <w:rPr>
          <w:rFonts w:ascii="Arial" w:eastAsia="Arial" w:hAnsi="Arial" w:cs="Arial"/>
          <w:lang w:val="es-ES" w:eastAsia="es-ES"/>
        </w:rPr>
        <w:t xml:space="preserve">Para los propósitos de esta investigación, la relevancia del </w:t>
      </w:r>
      <w:r>
        <w:rPr>
          <w:rFonts w:ascii="Arial" w:eastAsia="Arial" w:hAnsi="Arial" w:cs="Arial"/>
          <w:i/>
          <w:iCs/>
          <w:lang w:val="es-ES" w:eastAsia="es-ES"/>
        </w:rPr>
        <w:t>forward premium puzzle</w:t>
      </w:r>
      <w:r>
        <w:rPr>
          <w:rFonts w:ascii="Arial" w:eastAsia="Arial" w:hAnsi="Arial" w:cs="Arial"/>
          <w:lang w:val="es-ES" w:eastAsia="es-ES"/>
        </w:rPr>
        <w:t xml:space="preserve"> no se agota en su interés teórico sino en su manifestación específica en economías como Paraguay. Bansal y Dahlquist (2000) analizaron el </w:t>
      </w:r>
      <w:r>
        <w:rPr>
          <w:rFonts w:ascii="Arial" w:eastAsia="Arial" w:hAnsi="Arial" w:cs="Arial"/>
          <w:i/>
          <w:iCs/>
          <w:lang w:val="es-ES" w:eastAsia="es-ES"/>
        </w:rPr>
        <w:t>puzzle</w:t>
      </w:r>
      <w:r>
        <w:rPr>
          <w:rFonts w:ascii="Arial" w:eastAsia="Arial" w:hAnsi="Arial" w:cs="Arial"/>
          <w:lang w:val="es-ES" w:eastAsia="es-ES"/>
        </w:rPr>
        <w:t xml:space="preserve"> en una muestra amplia de países y encontraron que el rechazo de la UIP es sistemáticamente más pronunciado en las economías con menores ingresos per cápita, mayor volatilidad inflacionaria y mercados financieros menos desarrollados exactamente las características del entorno financiero paraguayo del período estudiado. En términos del coeficiente β, ello significa que en economías como Paraguay el incumplimiento de la UIP tiende a ser de mayor magnitud, de modo que el diferencial de retornos </w:t>
      </w:r>
      <w:r>
        <w:rPr>
          <w:rFonts w:ascii="Arial" w:eastAsia="Arial" w:hAnsi="Arial" w:cs="Arial"/>
          <w:i/>
          <w:iCs/>
          <w:lang w:val="es-ES" w:eastAsia="es-ES"/>
        </w:rPr>
        <w:t>ex post</w:t>
      </w:r>
      <w:r>
        <w:rPr>
          <w:rFonts w:ascii="Arial" w:eastAsia="Arial" w:hAnsi="Arial" w:cs="Arial"/>
          <w:lang w:val="es-ES" w:eastAsia="es-ES"/>
        </w:rPr>
        <w:t xml:space="preserve"> observable (DRₜ₊₁) tiende a ser más positivo y más persistente que en las economías avanzadas para las que el </w:t>
      </w:r>
      <w:r>
        <w:rPr>
          <w:rFonts w:ascii="Arial" w:eastAsia="Arial" w:hAnsi="Arial" w:cs="Arial"/>
          <w:i/>
          <w:iCs/>
          <w:lang w:val="es-ES" w:eastAsia="es-ES"/>
        </w:rPr>
        <w:t>puzzle</w:t>
      </w:r>
      <w:r>
        <w:rPr>
          <w:rFonts w:ascii="Arial" w:eastAsia="Arial" w:hAnsi="Arial" w:cs="Arial"/>
          <w:lang w:val="es-ES" w:eastAsia="es-ES"/>
        </w:rPr>
        <w:t xml:space="preserve"> fue originalmente documentado.</w:t>
      </w:r>
    </w:p>
    <w:p w14:paraId="12FF6ED5" w14:textId="4C2143A9"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Explicaciones y estado del debate. </w:t>
      </w:r>
      <w:r>
        <w:rPr>
          <w:rFonts w:ascii="Arial" w:eastAsia="Arial" w:hAnsi="Arial" w:cs="Arial"/>
          <w:lang w:val="es-ES" w:eastAsia="es-ES"/>
        </w:rPr>
        <w:t xml:space="preserve">Cuatro familias de explicación han competido en la literatura sin que ninguna haya alcanzado aceptación definitiva. La primera es la </w:t>
      </w:r>
      <w:r>
        <w:rPr>
          <w:rFonts w:ascii="Arial" w:eastAsia="Arial" w:hAnsi="Arial" w:cs="Arial"/>
          <w:i/>
          <w:iCs/>
          <w:lang w:val="es-ES" w:eastAsia="es-ES"/>
        </w:rPr>
        <w:t>prima de riesgo variable en el tiempo</w:t>
      </w:r>
      <w:r>
        <w:rPr>
          <w:rFonts w:ascii="Arial" w:eastAsia="Arial" w:hAnsi="Arial" w:cs="Arial"/>
          <w:lang w:val="es-ES" w:eastAsia="es-ES"/>
        </w:rPr>
        <w:t xml:space="preserve">: si los inversores son aversos al riesgo y el dólar opera como </w:t>
      </w:r>
      <w:r>
        <w:rPr>
          <w:rFonts w:ascii="Arial" w:eastAsia="Arial" w:hAnsi="Arial" w:cs="Arial"/>
          <w:lang w:val="es-ES" w:eastAsia="es-ES"/>
        </w:rPr>
        <w:lastRenderedPageBreak/>
        <w:t xml:space="preserve">activo de refugio, aceptarán un retorno esperado más bajo en dólares a cambio de esa seguridad, y la moneda de mayor riesgo el guaraní debe prometer un retorno esperado más alto para ser sostenida en cartera. La segunda es el </w:t>
      </w:r>
      <w:r>
        <w:rPr>
          <w:rFonts w:ascii="Arial" w:eastAsia="Arial" w:hAnsi="Arial" w:cs="Arial"/>
          <w:i/>
          <w:iCs/>
          <w:lang w:val="es-ES" w:eastAsia="es-ES"/>
        </w:rPr>
        <w:t>problema del peso</w:t>
      </w:r>
      <w:r>
        <w:rPr>
          <w:rFonts w:ascii="Arial" w:eastAsia="Arial" w:hAnsi="Arial" w:cs="Arial"/>
          <w:lang w:val="es-ES" w:eastAsia="es-ES"/>
        </w:rPr>
        <w:t xml:space="preserve"> (Krasker, 1980): si los agentes asignan una probabilidad pequeña pero positiva a un evento de devaluación abrupta que no se materializa en la muestra, el exceso de retorno a favor de la moneda de mayor tasa puede ser una prima cobrada durante los períodos observados que se revertiría en el evento que la muestra no incluyó; en el caso paraguayo, la historia financiera regional muestra que ese evento no es hipotético. La tercera, más cercana a las finanzas del comportamiento, atribuye el fenómeno a errores sistemáticos de predicción sobre el tipo de cambio (Engel, 1996).</w:t>
      </w:r>
    </w:p>
    <w:p w14:paraId="6C4BA663" w14:textId="7425843E"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Una cuarta explicación conecta el </w:t>
      </w:r>
      <w:r>
        <w:rPr>
          <w:rFonts w:ascii="Arial" w:eastAsia="Arial" w:hAnsi="Arial" w:cs="Arial"/>
          <w:i/>
          <w:iCs/>
          <w:lang w:val="es-ES" w:eastAsia="es-ES"/>
        </w:rPr>
        <w:t>puzzle</w:t>
      </w:r>
      <w:r>
        <w:rPr>
          <w:rFonts w:ascii="Arial" w:eastAsia="Arial" w:hAnsi="Arial" w:cs="Arial"/>
          <w:lang w:val="es-ES" w:eastAsia="es-ES"/>
        </w:rPr>
        <w:t xml:space="preserve"> con el </w:t>
      </w:r>
      <w:r>
        <w:rPr>
          <w:rFonts w:ascii="Arial" w:eastAsia="Arial" w:hAnsi="Arial" w:cs="Arial"/>
          <w:i/>
          <w:iCs/>
          <w:lang w:val="es-ES" w:eastAsia="es-ES"/>
        </w:rPr>
        <w:t>carry trade</w:t>
      </w:r>
      <w:r>
        <w:rPr>
          <w:rFonts w:ascii="Arial" w:eastAsia="Arial" w:hAnsi="Arial" w:cs="Arial"/>
          <w:lang w:val="es-ES" w:eastAsia="es-ES"/>
        </w:rPr>
        <w:t xml:space="preserve">. Brunnermeier, Nagel y Pedersen (2009) documentaron que los inversores institucionales explotan sistemáticamente el </w:t>
      </w:r>
      <w:r>
        <w:rPr>
          <w:rFonts w:ascii="Arial" w:eastAsia="Arial" w:hAnsi="Arial" w:cs="Arial"/>
          <w:i/>
          <w:iCs/>
          <w:lang w:val="es-ES" w:eastAsia="es-ES"/>
        </w:rPr>
        <w:t>forward premium</w:t>
      </w:r>
      <w:r>
        <w:rPr>
          <w:rFonts w:ascii="Arial" w:eastAsia="Arial" w:hAnsi="Arial" w:cs="Arial"/>
          <w:lang w:val="es-ES" w:eastAsia="es-ES"/>
        </w:rPr>
        <w:t xml:space="preserve"> tomando posiciones largas en monedas de alta tasa y cortas en monedas de baja tasa, con retornos promedio positivos pero expuestos a pérdidas súbitas cuando la aversión global al riesgo se eleva. En el contexto paraguayo, el mecanismo es directo: cuando la TPM del BCP se sitúa por encima de las tasas internacionales, los flujos de capital de corto plazo buscan capturar ese diferencial invirtiendo en instrumentos en guaraníes; esos flujos aprecian el guaraní en el corto plazo produciendo la asociación inversa entre diferencial de tasas y depreciación que genera el β &lt; 0 y se revierten cuando el diferencial se estrecha o el costo del riesgo externo aumenta. La asimetría entre la apreciación gradual durante los períodos de </w:t>
      </w:r>
      <w:r>
        <w:rPr>
          <w:rFonts w:ascii="Arial" w:eastAsia="Arial" w:hAnsi="Arial" w:cs="Arial"/>
          <w:i/>
          <w:iCs/>
          <w:lang w:val="es-ES" w:eastAsia="es-ES"/>
        </w:rPr>
        <w:t>carry</w:t>
      </w:r>
      <w:r>
        <w:rPr>
          <w:rFonts w:ascii="Arial" w:eastAsia="Arial" w:hAnsi="Arial" w:cs="Arial"/>
          <w:lang w:val="es-ES" w:eastAsia="es-ES"/>
        </w:rPr>
        <w:t xml:space="preserve"> y la depreciación brusca durante las reversiones es, precisamente, el fenómeno que la serie conservadora DRᶜᵒⁿˢ está diseñada para capturar al excluir de su cálculo los episodios de apreciación. El episodio de 2011, cuando la adopción del régimen y la suba de la TPM coincidieron con una apreciación pronunciada del guaraní, ilustra este mecanismo con nitidez y justifica el tratamiento conservador del diferencial adoptado en la Etapa 2.</w:t>
      </w:r>
    </w:p>
    <w:p w14:paraId="2D3B08F8" w14:textId="5E4F30A3"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Pilar 3: Descomposición de Fisher  prima de inflación vs. prima de riesgo</w:t>
      </w:r>
    </w:p>
    <w:p w14:paraId="4CD3E63D"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La ecuación de Fisher (Fisher, 1930) permite descomponer el diferencial de tasas nominales en dos componentes económicamente distintos:</w:t>
      </w:r>
    </w:p>
    <w:p w14:paraId="78348B52"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(πᵉ</w:t>
      </w:r>
      <w:r>
        <w:rPr>
          <w:rFonts w:ascii="Cambria Math" w:eastAsia="Arial" w:hAnsi="Cambria Math" w:cs="Cambria Math"/>
          <w:i/>
          <w:iCs/>
          <w:lang w:val="es-ES" w:eastAsia="es-ES"/>
        </w:rPr>
        <w:t>ₜ</w:t>
      </w:r>
      <w:r>
        <w:rPr>
          <w:rFonts w:ascii="Arial" w:eastAsia="Arial" w:hAnsi="Arial" w:cs="Arial"/>
          <w:i/>
          <w:iCs/>
          <w:lang w:val="es-ES" w:eastAsia="es-ES"/>
        </w:rPr>
        <w:t>,PY − πᵉ</w:t>
      </w:r>
      <w:r>
        <w:rPr>
          <w:rFonts w:ascii="Cambria Math" w:eastAsia="Arial" w:hAnsi="Cambria Math" w:cs="Cambria Math"/>
          <w:i/>
          <w:iCs/>
          <w:lang w:val="es-ES" w:eastAsia="es-ES"/>
        </w:rPr>
        <w:t>ₜ</w:t>
      </w:r>
      <w:r>
        <w:rPr>
          <w:rFonts w:ascii="Arial" w:eastAsia="Arial" w:hAnsi="Arial" w:cs="Arial"/>
          <w:i/>
          <w:iCs/>
          <w:lang w:val="es-ES" w:eastAsia="es-ES"/>
        </w:rPr>
        <w:t>,US) + (r</w:t>
      </w:r>
      <w:r>
        <w:rPr>
          <w:rFonts w:ascii="Cambria Math" w:eastAsia="Arial" w:hAnsi="Cambria Math" w:cs="Cambria Math"/>
          <w:i/>
          <w:iCs/>
          <w:lang w:val="es-ES" w:eastAsia="es-ES"/>
        </w:rPr>
        <w:t>ₜ</w:t>
      </w:r>
      <w:r>
        <w:rPr>
          <w:rFonts w:ascii="Arial" w:eastAsia="Arial" w:hAnsi="Arial" w:cs="Arial"/>
          <w:i/>
          <w:iCs/>
          <w:lang w:val="es-ES" w:eastAsia="es-ES"/>
        </w:rPr>
        <w:t>,Gs − r</w:t>
      </w:r>
      <w:r>
        <w:rPr>
          <w:rFonts w:ascii="Cambria Math" w:eastAsia="Arial" w:hAnsi="Cambria Math" w:cs="Cambria Math"/>
          <w:i/>
          <w:iCs/>
          <w:lang w:val="es-ES" w:eastAsia="es-ES"/>
        </w:rPr>
        <w:t>ₜ</w:t>
      </w:r>
      <w:r>
        <w:rPr>
          <w:rFonts w:ascii="Arial" w:eastAsia="Arial" w:hAnsi="Arial" w:cs="Arial"/>
          <w:i/>
          <w:iCs/>
          <w:lang w:val="es-ES" w:eastAsia="es-ES"/>
        </w:rPr>
        <w:t>,USD)</w:t>
      </w:r>
      <w:r>
        <w:rPr>
          <w:rFonts w:ascii="Arial" w:eastAsia="Arial" w:hAnsi="Arial" w:cs="Arial"/>
          <w:lang w:val="es-ES" w:eastAsia="es-ES"/>
        </w:rPr>
        <w:tab/>
        <w:t>(4)</w:t>
      </w:r>
    </w:p>
    <w:p w14:paraId="12D1CED7"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primer término, (π</w:t>
      </w:r>
      <w:r>
        <w:rPr>
          <w:rFonts w:ascii="Arial" w:eastAsia="Arial" w:hAnsi="Arial" w:cs="Arial"/>
          <w:vertAlign w:val="superscript"/>
          <w:lang w:val="es-ES" w:eastAsia="es-ES"/>
        </w:rPr>
        <w:t>e</w:t>
      </w:r>
      <w:r>
        <w:rPr>
          <w:rFonts w:ascii="Arial" w:eastAsia="Arial" w:hAnsi="Arial" w:cs="Arial"/>
          <w:vertAlign w:val="subscript"/>
          <w:lang w:val="es-ES" w:eastAsia="es-ES"/>
        </w:rPr>
        <w:t>t,PY</w:t>
      </w:r>
      <w:r>
        <w:rPr>
          <w:rFonts w:ascii="Arial" w:eastAsia="Arial" w:hAnsi="Arial" w:cs="Arial"/>
          <w:lang w:val="es-ES" w:eastAsia="es-ES"/>
        </w:rPr>
        <w:t xml:space="preserve"> − π</w:t>
      </w:r>
      <w:r>
        <w:rPr>
          <w:rFonts w:ascii="Arial" w:eastAsia="Arial" w:hAnsi="Arial" w:cs="Arial"/>
          <w:vertAlign w:val="superscript"/>
          <w:lang w:val="es-ES" w:eastAsia="es-ES"/>
        </w:rPr>
        <w:t>e</w:t>
      </w:r>
      <w:r>
        <w:rPr>
          <w:rFonts w:ascii="Arial" w:eastAsia="Arial" w:hAnsi="Arial" w:cs="Arial"/>
          <w:vertAlign w:val="subscript"/>
          <w:lang w:val="es-ES" w:eastAsia="es-ES"/>
        </w:rPr>
        <w:t>t,US</w:t>
      </w:r>
      <w:r>
        <w:rPr>
          <w:rFonts w:ascii="Arial" w:eastAsia="Arial" w:hAnsi="Arial" w:cs="Arial"/>
          <w:lang w:val="es-ES" w:eastAsia="es-ES"/>
        </w:rPr>
        <w:t>), es la prima de inflación esperada: el guaraní debe pagar más simplemente porque se espera que los precios en Paraguay suban más que en Estados Unidos. Esta parte del diferencial no representa un beneficio real. El segundo término, (r</w:t>
      </w:r>
      <w:r>
        <w:rPr>
          <w:rFonts w:ascii="Arial" w:eastAsia="Arial" w:hAnsi="Arial" w:cs="Arial"/>
          <w:vertAlign w:val="subscript"/>
          <w:lang w:val="es-ES" w:eastAsia="es-ES"/>
        </w:rPr>
        <w:t>t,Gs</w:t>
      </w:r>
      <w:r>
        <w:rPr>
          <w:rFonts w:ascii="Arial" w:eastAsia="Arial" w:hAnsi="Arial" w:cs="Arial"/>
          <w:lang w:val="es-ES" w:eastAsia="es-ES"/>
        </w:rPr>
        <w:t xml:space="preserve"> − r</w:t>
      </w:r>
      <w:r>
        <w:rPr>
          <w:rFonts w:ascii="Arial" w:eastAsia="Arial" w:hAnsi="Arial" w:cs="Arial"/>
          <w:vertAlign w:val="subscript"/>
          <w:lang w:val="es-ES" w:eastAsia="es-ES"/>
        </w:rPr>
        <w:t>t,USD</w:t>
      </w:r>
      <w:r>
        <w:rPr>
          <w:rFonts w:ascii="Arial" w:eastAsia="Arial" w:hAnsi="Arial" w:cs="Arial"/>
          <w:lang w:val="es-ES" w:eastAsia="es-ES"/>
        </w:rPr>
        <w:t>), es el diferencial de tasas reales, que captura la prima de riesgo cambiario y financiero: la compensación adicional que el mercado exige por el riesgo de sostener activos en moneda doméstica.</w:t>
      </w:r>
    </w:p>
    <w:p w14:paraId="15F8BFF0" w14:textId="1F09CFA2"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Esta distinción es central para interpretar el efecto de 2011. El régimen de Metas de Inflación actúa principalmente sobre el primer componente (Svensson, 1997; Mishkin, 2004). Sin embargo, la prima de riesgo real puede persistir aunque la inflación se estabilice, porque refleja riesgos estructurales que la credibilidad monetaria no elimina (Mishkin &amp; </w:t>
      </w:r>
      <w:proofErr w:type="spellStart"/>
      <w:r>
        <w:rPr>
          <w:rFonts w:ascii="Arial" w:eastAsia="Arial" w:hAnsi="Arial" w:cs="Arial"/>
          <w:lang w:val="es-ES" w:eastAsia="es-ES"/>
        </w:rPr>
        <w:t>SchmidtHebbel</w:t>
      </w:r>
      <w:proofErr w:type="spellEnd"/>
      <w:r>
        <w:rPr>
          <w:rFonts w:ascii="Arial" w:eastAsia="Arial" w:hAnsi="Arial" w:cs="Arial"/>
          <w:lang w:val="es-ES" w:eastAsia="es-ES"/>
        </w:rPr>
        <w:t xml:space="preserve">, 2007). Conviene precisar que la prima de riesgo no es homogénea: dentro de ella conviven al menos dos fuentes el </w:t>
      </w:r>
      <w:r>
        <w:rPr>
          <w:rFonts w:ascii="Arial" w:eastAsia="Arial" w:hAnsi="Arial" w:cs="Arial"/>
          <w:b/>
          <w:bCs/>
          <w:lang w:val="es-ES" w:eastAsia="es-ES"/>
        </w:rPr>
        <w:t>riesgo de depreciación cambiaria</w:t>
      </w:r>
      <w:r>
        <w:rPr>
          <w:rFonts w:ascii="Arial" w:eastAsia="Arial" w:hAnsi="Arial" w:cs="Arial"/>
          <w:lang w:val="es-ES" w:eastAsia="es-ES"/>
        </w:rPr>
        <w:t xml:space="preserve"> y el </w:t>
      </w:r>
      <w:r>
        <w:rPr>
          <w:rFonts w:ascii="Arial" w:eastAsia="Arial" w:hAnsi="Arial" w:cs="Arial"/>
          <w:b/>
          <w:bCs/>
          <w:lang w:val="es-ES" w:eastAsia="es-ES"/>
        </w:rPr>
        <w:t>riesgo de iliquidez</w:t>
      </w:r>
      <w:r>
        <w:rPr>
          <w:rFonts w:ascii="Arial" w:eastAsia="Arial" w:hAnsi="Arial" w:cs="Arial"/>
          <w:lang w:val="es-ES" w:eastAsia="es-ES"/>
        </w:rPr>
        <w:t xml:space="preserve"> del mercado de fondos prestables. La hipótesis de recomposición sostiene que, tras 2011, el anclaje de expectativas comprime el riesgo de depreciación percibido, de modo que la prima de riesgo que sobrevive pasa a estar dominada por el componente de iliquidez. Detectar esta migración interna es la contribución analítica central de este trabajo.</w:t>
      </w:r>
    </w:p>
    <w:p w14:paraId="02E805A6" w14:textId="16BD5429" w:rsidR="00AC5DC1" w:rsidRDefault="00000000">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El mecanismo de la recomposición. </w:t>
      </w:r>
      <w:r>
        <w:rPr>
          <w:rFonts w:ascii="Arial" w:eastAsia="Arial" w:hAnsi="Arial" w:cs="Arial"/>
          <w:lang w:val="es-ES" w:eastAsia="es-ES"/>
        </w:rPr>
        <w:t xml:space="preserve">La prima de riesgo combina un componente expectacional y un componente estructural, y esa distinción es el mecanismo que fundamenta la hipótesis. El componente </w:t>
      </w:r>
      <w:proofErr w:type="spellStart"/>
      <w:r>
        <w:rPr>
          <w:rFonts w:ascii="Arial" w:eastAsia="Arial" w:hAnsi="Arial" w:cs="Arial"/>
          <w:lang w:val="es-ES" w:eastAsia="es-ES"/>
        </w:rPr>
        <w:t>expectacional</w:t>
      </w:r>
      <w:proofErr w:type="spellEnd"/>
      <w:r>
        <w:rPr>
          <w:rFonts w:ascii="Arial" w:eastAsia="Arial" w:hAnsi="Arial" w:cs="Arial"/>
          <w:lang w:val="es-ES" w:eastAsia="es-ES"/>
        </w:rPr>
        <w:t xml:space="preserve"> el riesgo de depreciación percibido depende de las expectativas de inflación y de tipo de cambio: un régimen de metas creíble las ancla y, por esa vía, lo comprime. El componente estructural la segmentación del mercado de fondos prestables derivada de la dolarización de los depósitos y del encaje diferenciado por moneda responde a fricciones reales del sistema financiero y no a </w:t>
      </w:r>
      <w:r>
        <w:rPr>
          <w:rFonts w:ascii="Arial" w:eastAsia="Arial" w:hAnsi="Arial" w:cs="Arial"/>
          <w:lang w:val="es-ES" w:eastAsia="es-ES"/>
        </w:rPr>
        <w:lastRenderedPageBreak/>
        <w:t xml:space="preserve">expectativas, por lo que el anclaje nominal no lo remueve (Calvo &amp; Reinhart, 2002;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De esa asimetría se deriva la predicción central: tras un cambio de régimen creíble, la prima que sobrevive queda dominada por el componente estructural de iliquidez; los dos términos de interacción del modelo de la Etapa 5 son, precisamente, la medida de ese desplazamiento.</w:t>
      </w:r>
    </w:p>
    <w:p w14:paraId="1A2D7245" w14:textId="78526E46"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Pilar 4: El régimen de Metas de Inflación en Paraguay  qué pasó en 2011</w:t>
      </w:r>
    </w:p>
    <w:p w14:paraId="5C85870D"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Antes de mayo de 2011, la política monetaria del BCP se conducía mediante el control de agregados monetarios (M1, M2). Este esquema generaba considerable incertidumbre sobre la trayectoria futura de la inflación y el tipo de cambio: la inflación del período previo al cambio de régimen fue volátil, con episodios recurrentes de aceleración. Esa incertidumbre se traducía en una alta prima de inflación dentro del diferencial de tasas entre guaraníes y dólares.</w:t>
      </w:r>
    </w:p>
    <w:p w14:paraId="099AE13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18 de mayo de 2011, el Directorio del BCP adoptó formalmente el esquema de Metas de Inflación mediante la Resolución N.º 22, Acta N.º 31 (Banco Central del Paraguay, 2011). El cambio institucional fue doble: (1) el BCP se comprometió públicamente con una banda de inflación objetivo (inicialmente en torno al 5 % con banda de ±2,5 pp, luego reducida progresivamente hasta el 4 % ± 2 pp y, desde enero de 2025, el 3,5 % ± 2 pp (Resolución N.º 48, Acta N.º 60, del 16 de diciembre de 2024)) y (2) la Tasa de Política Monetaria (TPM) en guaraníes pasó a ser el instrumento operativo central de la política monetaria.</w:t>
      </w:r>
    </w:p>
    <w:p w14:paraId="15BF504E" w14:textId="10E6001C"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Los resultados observados en el período </w:t>
      </w:r>
      <w:proofErr w:type="spellStart"/>
      <w:r>
        <w:rPr>
          <w:rFonts w:ascii="Arial" w:eastAsia="Arial" w:hAnsi="Arial" w:cs="Arial"/>
          <w:lang w:val="es-ES" w:eastAsia="es-ES"/>
        </w:rPr>
        <w:t>pos</w:t>
      </w:r>
      <w:proofErr w:type="spellEnd"/>
      <w:r w:rsidR="00CA0128">
        <w:rPr>
          <w:rFonts w:ascii="Arial" w:eastAsia="Arial" w:hAnsi="Arial" w:cs="Arial"/>
          <w:lang w:val="es-ES" w:eastAsia="es-ES"/>
        </w:rPr>
        <w:t xml:space="preserve"> - adopción</w:t>
      </w:r>
      <w:r>
        <w:rPr>
          <w:rFonts w:ascii="Arial" w:eastAsia="Arial" w:hAnsi="Arial" w:cs="Arial"/>
          <w:lang w:val="es-ES" w:eastAsia="es-ES"/>
        </w:rPr>
        <w:t xml:space="preserve"> fueron parcialmente consistentes con las predicciones teóricas. La inflación promedio del período posterior a la adopción se redujo de manera sostenida, las expectativas inflacionarias se anclaron con mayor solidez y el BCP ganó credibilidad institucional. La dolarización de depósitos mostró una tendencia descendente de largo plazo, lenta y no lineal; su trayectoria se cuantifica en el capítulo de resultados.</w:t>
      </w:r>
    </w:p>
    <w:p w14:paraId="677878D4" w14:textId="312FAC2E"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 xml:space="preserve">Sin embargo, el diferencial de retornos no desapareció. Hay tres razones estructurales para ello. Primera: la TPM del BCP se fija en guaraníes y actúa como piso de las tasas domésticas, manteniéndolas sistemáticamente por encima de la tasa internacional de referencia en dólares (Federal Funds Rate) (Mundell, 1963). Segunda: la dolarización parcial preserva la segmentación del mercado de fondos prestables: la oferta abundante de depósitos en dólares (mantenidos como cobertura) presiona a la baja su tasa, mientras la demanda de crédito en guaraníes sostiene las tasas domésticas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Tercera: el forward premium puzzle (Fama, 1984) sugiere que, incluso con Metas de Inflación, el mayor diferencial de tasas no se traduce en depreciación proporcional.</w:t>
      </w:r>
    </w:p>
    <w:p w14:paraId="13C05B93"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En síntesis, 2011 probablemente redujo la prima de inflación dentro del diferencial, pero no eliminó la prima de riesgo real. El resultado neto sobre el </w:t>
      </w:r>
      <w:r>
        <w:rPr>
          <w:rFonts w:ascii="Arial" w:eastAsia="Arial" w:hAnsi="Arial" w:cs="Arial"/>
          <w:i/>
          <w:iCs/>
          <w:lang w:val="es-ES" w:eastAsia="es-ES"/>
        </w:rPr>
        <w:t>nivel</w:t>
      </w:r>
      <w:r>
        <w:rPr>
          <w:rFonts w:ascii="Arial" w:eastAsia="Arial" w:hAnsi="Arial" w:cs="Arial"/>
          <w:lang w:val="es-ES" w:eastAsia="es-ES"/>
        </w:rPr>
        <w:t xml:space="preserve"> total del diferencial es teóricamente indeterminado; lo determinable, y lo que esta investigación contrasta, es la </w:t>
      </w:r>
      <w:r>
        <w:rPr>
          <w:rFonts w:ascii="Arial" w:eastAsia="Arial" w:hAnsi="Arial" w:cs="Arial"/>
          <w:i/>
          <w:iCs/>
          <w:lang w:val="es-ES" w:eastAsia="es-ES"/>
        </w:rPr>
        <w:t>recomposición</w:t>
      </w:r>
      <w:r>
        <w:rPr>
          <w:rFonts w:ascii="Arial" w:eastAsia="Arial" w:hAnsi="Arial" w:cs="Arial"/>
          <w:lang w:val="es-ES" w:eastAsia="es-ES"/>
        </w:rPr>
        <w:t xml:space="preserve"> de sus componentes: contracción de la prima de inflación y migración del determinante dominante de la prima de riesgo, desde el riesgo de depreciación hacia el riesgo de iliquidez. Esta es precisamente la pregunta empírica que el diseño de la Etapa 5 está construido para responder.</w:t>
      </w:r>
    </w:p>
    <w:p w14:paraId="5585C1DC"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Pilar 5: Determinantes estructurales del diferencial en Paraguay</w:t>
      </w:r>
    </w:p>
    <w:p w14:paraId="076AFC40" w14:textId="0CED293F"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Además del marco </w:t>
      </w:r>
      <w:proofErr w:type="spellStart"/>
      <w:r>
        <w:rPr>
          <w:rFonts w:ascii="Arial" w:eastAsia="Arial" w:hAnsi="Arial" w:cs="Arial"/>
          <w:lang w:val="es-ES" w:eastAsia="es-ES"/>
        </w:rPr>
        <w:t>UIPFisher</w:t>
      </w:r>
      <w:proofErr w:type="spellEnd"/>
      <w:r>
        <w:rPr>
          <w:rFonts w:ascii="Arial" w:eastAsia="Arial" w:hAnsi="Arial" w:cs="Arial"/>
          <w:lang w:val="es-ES" w:eastAsia="es-ES"/>
        </w:rPr>
        <w:t>, la persistencia del diferencial de retornos en el mercado bancario paraguayo responde a cinco determinantes estructurales:</w:t>
      </w:r>
    </w:p>
    <w:p w14:paraId="2E5BE93C" w14:textId="564F1268"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Prima de riesgo cambiario (riesgo de depreciación). </w:t>
      </w:r>
      <w:r>
        <w:rPr>
          <w:rFonts w:ascii="Arial" w:eastAsia="Arial" w:hAnsi="Arial" w:cs="Arial"/>
          <w:lang w:val="es-ES" w:eastAsia="es-ES"/>
        </w:rPr>
        <w:t xml:space="preserve">El ahorrista en guaraníes asume el riesgo de que la moneda se deprecie durante el plazo del depósito. Para aceptar ese riesgo exige una compensación que se traduce en una tasa más alta. Esta prima existe incluso cuando, ex post, la depreciación resulta menor de lo temido; refleja el precio del riesgo, no solo su realización (Fama, 1984; Engel, 1996). La literatura moderna modela esta prima como el precio de un riesgo sistemático que los mercados de divisas remuneran (Lustig &amp; Verdelhan, 2007); a falta de mercados de derivados locales que revelen ese precio, este trabajo la </w:t>
      </w:r>
      <w:r>
        <w:rPr>
          <w:rFonts w:ascii="Arial" w:eastAsia="Arial" w:hAnsi="Arial" w:cs="Arial"/>
          <w:lang w:val="es-ES" w:eastAsia="es-ES"/>
        </w:rPr>
        <w:lastRenderedPageBreak/>
        <w:t>aproxima con la volatilidad cambiaria realizada (VolTC)  la realización del riesgo, no su precio , limitación que se declara de forma explícita.</w:t>
      </w:r>
    </w:p>
    <w:p w14:paraId="170F6F4D"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Efecto Fisher (inflación esperada). </w:t>
      </w:r>
      <w:r>
        <w:rPr>
          <w:rFonts w:ascii="Arial" w:eastAsia="Arial" w:hAnsi="Arial" w:cs="Arial"/>
          <w:lang w:val="es-ES" w:eastAsia="es-ES"/>
        </w:rPr>
        <w:t>La tasa nominal en guaraníes incorpora la inflación esperada doméstica, históricamente superior a la de Estados Unidos. Parte del diferencial de tasas es, por tanto, compensación por inflación esperada y no un beneficio real (Fisher, 1930). Se aproxima con el diferencial de inflación observado (InflDiff).</w:t>
      </w:r>
    </w:p>
    <w:p w14:paraId="462DA1E8"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Encaje legal diferenciado y costos regulatorios (riesgo/fricción de iliquidez). </w:t>
      </w:r>
      <w:r>
        <w:rPr>
          <w:rFonts w:ascii="Arial" w:eastAsia="Arial" w:hAnsi="Arial" w:cs="Arial"/>
          <w:lang w:val="es-ES" w:eastAsia="es-ES"/>
        </w:rPr>
        <w:t>El BCP ha aplicado encajes más elevados sobre los depósitos en dólares que sobre los depósitos en guaraníes (Banco Central del Paraguay, 2024). Un encaje mayor reduce la fracción del depósito que el banco puede prestar y, por ende, la tasa que puede ofrecer al ahorrista en esa moneda. La brecha de encaje Gs/USD constituye, por tanto, una fuente operacionalizable del componente de iliquidez del diferencial.</w:t>
      </w:r>
    </w:p>
    <w:p w14:paraId="5FA91F51" w14:textId="015402C6"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Dolarización financiera y segmentación del mercado (iliquidez estructural). </w:t>
      </w:r>
      <w:r>
        <w:rPr>
          <w:rFonts w:ascii="Arial" w:eastAsia="Arial" w:hAnsi="Arial" w:cs="Arial"/>
          <w:lang w:val="es-ES" w:eastAsia="es-ES"/>
        </w:rPr>
        <w:t xml:space="preserve">La coexistencia de ahorro y crédito en dos monedas segmenta el mercado de fondos prestables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La oferta abundante de depósitos en dólares (demandados como cobertura) presiona a la baja su tasa, mientras que la demanda de crédito en guaraníes sostiene tasas domésticas más altas. La limitada profundidad del mercado forward local restringe el arbitraje de esta segmentación. El ratio de dolarización de depósitos publicado por el BCP constituye la proxy principal de iliquidez de esta investigación.</w:t>
      </w:r>
    </w:p>
    <w:p w14:paraId="76233EB0" w14:textId="77777777" w:rsidR="00D27E85" w:rsidRPr="00DF3903" w:rsidRDefault="00D27E85" w:rsidP="00D27E85">
      <w:pPr>
        <w:numPr>
          <w:ilvl w:val="0"/>
          <w:numId w:val="31"/>
        </w:numPr>
        <w:spacing w:after="80" w:line="480" w:lineRule="auto"/>
        <w:jc w:val="both"/>
        <w:rPr>
          <w:rFonts w:ascii="Arial" w:eastAsia="Arial" w:hAnsi="Arial" w:cs="Arial"/>
          <w:lang w:val="es-ES" w:eastAsia="es-ES"/>
        </w:rPr>
      </w:pPr>
      <w:r>
        <w:rPr>
          <w:rFonts w:ascii="Arial" w:eastAsia="Arial" w:hAnsi="Arial" w:cs="Arial"/>
          <w:b/>
          <w:bCs/>
          <w:lang w:val="es-ES" w:eastAsia="es-ES"/>
        </w:rPr>
        <w:t xml:space="preserve">Política monetaria y ancla doméstica. </w:t>
      </w:r>
      <w:r>
        <w:rPr>
          <w:rFonts w:ascii="Arial" w:eastAsia="Arial" w:hAnsi="Arial" w:cs="Arial"/>
          <w:lang w:val="es-ES" w:eastAsia="es-ES"/>
        </w:rPr>
        <w:t xml:space="preserve">La TPM del BCP, fijada en guaraníes, ancla las tasas locales por encima de la tasa de fondos federales que referencia a los instrumentos en dólares (Mundell, 1963). En consecuencia, el piso de las tasas en guaraníes tiende a situarse sistemáticamente por encima del piso de las tasas en dólares. Este determinante opera como contexto institucional y no se operacionaliza como variable del modelo: la TPM nace formalmente con el régimen </w:t>
      </w:r>
      <w:r>
        <w:rPr>
          <w:rFonts w:ascii="Arial" w:eastAsia="Arial" w:hAnsi="Arial" w:cs="Arial"/>
          <w:lang w:val="es-ES" w:eastAsia="es-ES"/>
        </w:rPr>
        <w:lastRenderedPageBreak/>
        <w:t>de metas en 2011, por lo que no existe una serie homogénea que cubra la ventana completa 2004–2024; su rol queda subsumido en la indicadora de régimen D2011.</w:t>
      </w:r>
    </w:p>
    <w:p w14:paraId="4128E517"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Operacionalización de la iliquidez. </w:t>
      </w:r>
      <w:r>
        <w:rPr>
          <w:rFonts w:ascii="Arial" w:eastAsia="Arial" w:hAnsi="Arial" w:cs="Arial"/>
          <w:lang w:val="es-ES" w:eastAsia="es-ES"/>
        </w:rPr>
        <w:t xml:space="preserve">Los determinantes 3 y 4 constituyen la base empírica del componente de iliquidez. Como proxy principal se emplea el </w:t>
      </w:r>
      <w:r>
        <w:rPr>
          <w:rFonts w:ascii="Arial" w:eastAsia="Arial" w:hAnsi="Arial" w:cs="Arial"/>
          <w:b/>
          <w:bCs/>
          <w:lang w:val="es-ES" w:eastAsia="es-ES"/>
        </w:rPr>
        <w:t>ratio de dolarización de depósitos</w:t>
      </w:r>
      <w:r>
        <w:rPr>
          <w:rFonts w:ascii="Arial" w:eastAsia="Arial" w:hAnsi="Arial" w:cs="Arial"/>
          <w:lang w:val="es-ES" w:eastAsia="es-ES"/>
        </w:rPr>
        <w:t xml:space="preserve"> (Iliq</w:t>
      </w:r>
      <w:r>
        <w:rPr>
          <w:rFonts w:ascii="Arial" w:eastAsia="Arial" w:hAnsi="Arial" w:cs="Arial"/>
          <w:vertAlign w:val="subscript"/>
          <w:lang w:val="es-ES" w:eastAsia="es-ES"/>
        </w:rPr>
        <w:t>t</w:t>
      </w:r>
      <w:r>
        <w:rPr>
          <w:rFonts w:ascii="Arial" w:eastAsia="Arial" w:hAnsi="Arial" w:cs="Arial"/>
          <w:lang w:val="es-ES" w:eastAsia="es-ES"/>
        </w:rPr>
        <w:t xml:space="preserve">), por su disponibilidad de serie larga y su vínculo directo con la segmentación del mercado de fondos prestables; como prueba de robustez se emplea la </w:t>
      </w:r>
      <w:r>
        <w:rPr>
          <w:rFonts w:ascii="Arial" w:eastAsia="Arial" w:hAnsi="Arial" w:cs="Arial"/>
          <w:b/>
          <w:bCs/>
          <w:lang w:val="es-ES" w:eastAsia="es-ES"/>
        </w:rPr>
        <w:t>brecha de encaje legal Gs/USD</w:t>
      </w:r>
      <w:r>
        <w:rPr>
          <w:rFonts w:ascii="Arial" w:eastAsia="Arial" w:hAnsi="Arial" w:cs="Arial"/>
          <w:lang w:val="es-ES" w:eastAsia="es-ES"/>
        </w:rPr>
        <w:t>. La incorporación explícita de esta proxy es la que permite que el modelo de la Etapa 5 pueda contrastar la migración del determinante dominante de la prima de riesgo, mecanismo que de otro modo quedaría fuera del alcance empírico del trabajo.</w:t>
      </w:r>
    </w:p>
    <w:p w14:paraId="58E986A2" w14:textId="328201CA" w:rsidR="00AC5DC1" w:rsidRDefault="00000000">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Pilar 6: La dolarización financiera en Paraguay  anatomía de un fenómeno estructural</w:t>
      </w:r>
    </w:p>
    <w:p w14:paraId="11DEE88B" w14:textId="77777777"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La persistencia de la dolarización mencionada en los pilares anteriores no es un dato de contexto sino un elemento constitutivo del fenómeno estudiado. Dado que la proxy principal de iliquidez de esta investigación es el ratio de dolarización de depósitos, conviene desarrollar en detalle qué representa esa variable, cómo evolucionó y qué fuerzas la sostienen. Este pilar cumple esa función.</w:t>
      </w:r>
    </w:p>
    <w:p w14:paraId="2F8BE15B" w14:textId="65BBC5BA"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El experimento mental del ahorrista. </w:t>
      </w:r>
      <w:r>
        <w:rPr>
          <w:rFonts w:ascii="Arial" w:eastAsia="Arial" w:hAnsi="Arial" w:cs="Arial"/>
          <w:lang w:val="es-ES" w:eastAsia="es-ES"/>
        </w:rPr>
        <w:t xml:space="preserve">Considérese el siguiente ejercicio. Un ahorrista paraguayo se presenta en su banco a comienzos de 2004 con el propósito de constituir un certificado de depósito de ahorro (CDA), disponiendo de guaraníes equivalentes a USD 10.000 al tipo de cambio vigente. El banco le ofrece dos opciones: un CDA en guaraníes a la tasa pasiva promedio del sistema para esa moneda, o un CDA en dólares a la tasa correspondiente. La diferencia entre ambas tasas de varios puntos porcentuales a favor del guaraní, conforme a las estadísticas del BCP (Banco Central del Paraguay, 2024) parece inclinar la balanza hacia la moneda doméstica. Pero esa ventaja nominal no es gratuita: el ahorrista en guaraníes asume el riesgo de que la moneda se deprecie durante la vigencia del depósito. Si la depreciación anualizada supera el diferencial de tasas, pierde </w:t>
      </w:r>
      <w:r>
        <w:rPr>
          <w:rFonts w:ascii="Arial" w:eastAsia="Arial" w:hAnsi="Arial" w:cs="Arial"/>
          <w:lang w:val="es-ES" w:eastAsia="es-ES"/>
        </w:rPr>
        <w:lastRenderedPageBreak/>
        <w:t>en términos de poder adquisitivo internacional; si es menor, gana; si el guaraní se aprecia, su ganancia se multiplica. La pregunta que este experimento plantea y que esta investigación responde con ochenta y cuatro observaciones trimestrales es si esa apuesta fue, en promedio y a lo largo de 2004–2024, sistemáticamente favorable al ahorrista en guaraníes, incluso bajo el criterio conservador de excluir los episodios de apreciación.</w:t>
      </w:r>
    </w:p>
    <w:p w14:paraId="24513721" w14:textId="77777777"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La importancia del ejercicio trasciende la curiosidad académica. Si el guaraní pagó sistemáticamente más que el dólar una vez descontada la depreciación, el ahorrista racional debería haberlo preferido en la mayoría de los períodos. Sin embargo, una fracción persistentemente alta del total de depósitos del sistema bancario permaneció denominada en dólares a lo largo del período (Banco Central del Paraguay, 2024): un segmento sustancial y persistente eligió, de forma continua, la opción de menor retorno esperado. Entender por qué ese segmento existe y persiste es tan relevante para interpretar el diferencial como cuantificarlo. La dolarización no es el telón de fondo neutro del fenómeno: es parte constitutiva de él y, en el diseño econométrico de la Etapa 5, su vehículo de medición.</w:t>
      </w:r>
    </w:p>
    <w:p w14:paraId="5ABCA303" w14:textId="0C79EC58"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Paraguay en la escala de la dolarización regional. </w:t>
      </w:r>
      <w:r>
        <w:rPr>
          <w:rFonts w:ascii="Arial" w:eastAsia="Arial" w:hAnsi="Arial" w:cs="Arial"/>
          <w:lang w:val="es-ES" w:eastAsia="es-ES"/>
        </w:rPr>
        <w:t xml:space="preserve">Paraguay ocupa una posición reveladora en el espectro latinoamericano. En un extremo se sitúan las economías plenamente dolarizadas Ecuador desde 2000, El Salvador desde 2001, Panamá de larga data, donde la moneda doméstica fue sustituida por completo y, por definición, no existe diferencial de retornos entre monedas. En el extremo opuesto están las economías con dolarización mínima Brasil, Chile, Colombia, donde los depósitos en moneda extranjera son una fracción marginal. Paraguay se sitúa en la posición intermedia que la literatura denomina </w:t>
      </w:r>
      <w:r>
        <w:rPr>
          <w:rFonts w:ascii="Arial" w:eastAsia="Arial" w:hAnsi="Arial" w:cs="Arial"/>
          <w:i/>
          <w:iCs/>
          <w:lang w:val="es-ES" w:eastAsia="es-ES"/>
        </w:rPr>
        <w:t>dolarización financiera parcial</w:t>
      </w:r>
      <w:r>
        <w:rPr>
          <w:rFonts w:ascii="Arial" w:eastAsia="Arial" w:hAnsi="Arial" w:cs="Arial"/>
          <w:lang w:val="es-ES" w:eastAsia="es-ES"/>
        </w:rPr>
        <w:t xml:space="preserve">: una economía genuinamente bicurrencial en la que dos monedas coexisten de forma activa en el mercado financiero formal sin que ninguna haya desplazado a la otra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xml:space="preserve">, 2003). Es esa </w:t>
      </w:r>
      <w:r>
        <w:rPr>
          <w:rFonts w:ascii="Arial" w:eastAsia="Arial" w:hAnsi="Arial" w:cs="Arial"/>
          <w:i/>
          <w:iCs/>
          <w:lang w:val="es-ES" w:eastAsia="es-ES"/>
        </w:rPr>
        <w:t>parcialidad</w:t>
      </w:r>
      <w:r>
        <w:rPr>
          <w:rFonts w:ascii="Arial" w:eastAsia="Arial" w:hAnsi="Arial" w:cs="Arial"/>
          <w:lang w:val="es-ES" w:eastAsia="es-ES"/>
        </w:rPr>
        <w:t xml:space="preserve"> la tensión irresuelta entre dos monedas que compiten por las preferencias de los depositantes la que genera y sostiene el diferencial que esta investigación estudia. En una economía </w:t>
      </w:r>
      <w:r>
        <w:rPr>
          <w:rFonts w:ascii="Arial" w:eastAsia="Arial" w:hAnsi="Arial" w:cs="Arial"/>
          <w:lang w:val="es-ES" w:eastAsia="es-ES"/>
        </w:rPr>
        <w:lastRenderedPageBreak/>
        <w:t>plenamente dolarizada no hay diferencial; en una de moneda única, tampoco. El diferencial es producto de la coexistencia.</w:t>
      </w:r>
    </w:p>
    <w:p w14:paraId="11C68282" w14:textId="50E82984"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La evolución de la dolarización: una caída lenta y estructural. </w:t>
      </w:r>
      <w:r>
        <w:rPr>
          <w:rFonts w:ascii="Arial" w:eastAsia="Arial" w:hAnsi="Arial" w:cs="Arial"/>
          <w:lang w:val="es-ES" w:eastAsia="es-ES"/>
        </w:rPr>
        <w:t xml:space="preserve">Las estadísticas de dolarización de depósitos publicadas por el BCP en su Boletín Estadístico y en sus Informes de Estabilidad Financiera permiten reconstruir una trayectoria que es, en sí misma, un capítulo de la historia monetaria contemporánea del Paraguay (Banco Central del Paraguay, 2024). Al inicio del período los depósitos en dólares representaban la mayor parte del total del sistema, niveles propios de una economía de alta dolarización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Esa cifra no reflejaba preferencias espontáneas en condiciones de estabilidad: era el sedimento de las decisiones de cobertura adoptadas durante los episodios de crisis descritos en el pilar preliminar. A lo largo de las dos décadas siguientes, la proporción descendió de forma lenta, gradual y no lineal, con un mínimo transitorio en torno a la crisis financiera global; la cuantificación de esa trayectoria se presenta en el capítulo de resultados. La lentitud de ese descenso es informativa: sugiere que los factores que sostienen la dolarización son estructurales y resistentes a los cambios de política, no reflejos de condiciones coyunturales que se disuelven ante la primera señal de estabilidad.</w:t>
      </w:r>
    </w:p>
    <w:p w14:paraId="07897598" w14:textId="2DA97009"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descenso no siguió una trayectoria uniforme. Examinada en detalle, la serie exhibe al menos tres subperíodos con dinámicas diferenciadas. Entre 2004 y 2010, bajo el régimen de agregados monetarios, la dolarización mostró una tendencia declinante moderada, impulsada por la recuperación económica y el fortalecimiento del sector exportador, aunque la incertidumbre inflacionaria persistente mantuvo elevada la prima de inflación en el diferencial de tasas. A partir de 2011, con la adopción de Metas de Inflación, la tendencia declinante se acentuó modestamente: la mayor credibilidad monetaria redujo la demanda precautoria de dólares como cobertura contra la inflación, y los ajustes en los encajes diferenciados por moneda elevaron el costo regulatorio de los depósitos en dólares para las entidades. En sentido contrario, episodios de incertidumbre global la desaceleración de </w:t>
      </w:r>
      <w:proofErr w:type="spellStart"/>
      <w:r>
        <w:rPr>
          <w:rFonts w:ascii="Arial" w:eastAsia="Arial" w:hAnsi="Arial" w:cs="Arial"/>
          <w:i/>
          <w:iCs/>
          <w:lang w:val="es-ES" w:eastAsia="es-ES"/>
        </w:rPr>
        <w:t>commodities</w:t>
      </w:r>
      <w:proofErr w:type="spellEnd"/>
      <w:r>
        <w:rPr>
          <w:rFonts w:ascii="Arial" w:eastAsia="Arial" w:hAnsi="Arial" w:cs="Arial"/>
          <w:lang w:val="es-ES" w:eastAsia="es-ES"/>
        </w:rPr>
        <w:t xml:space="preserve"> de 2014–2016 y, sobre todo, la pandemia de 2020 generaron interrupciones </w:t>
      </w:r>
      <w:r>
        <w:rPr>
          <w:rFonts w:ascii="Arial" w:eastAsia="Arial" w:hAnsi="Arial" w:cs="Arial"/>
          <w:lang w:val="es-ES" w:eastAsia="es-ES"/>
        </w:rPr>
        <w:lastRenderedPageBreak/>
        <w:t>transitorias, con aumentos temporales de la demanda de dólares como refugio, coherentes con la naturaleza estructural del fenómeno: los factores de fondo no desaparecen ante la primera señal de tensión, sino que se reactivan cuando el contexto lo justifica.</w:t>
      </w:r>
    </w:p>
    <w:p w14:paraId="3F70FCD2" w14:textId="621F43D8"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La trayectoria de largo plazo confirma una predicción teórica central para esta investigación. El régimen de Metas de Inflación actúa sobre la dolarización principalmente a través del canal de las expectativas: al reducir la incertidumbre inflacionaria, debilita el motivo de cobertura contra la inflación, dominante antes de 2011. Pero el mismo régimen no actúa directamente sobre los demás determinantes estructurales el calce de monedas de los exportadores, la cobertura de riesgo país, la histéresis derivada de la memoria de las crisis, lo que explica por qué la dolarización, aun descendiendo, se estabiliza en torno al 50 % en lugar de converger a cero. Esta misma lógica subyace a la hipótesis de recomposición: si la prima de inflación se contrajo tras 2011 pero los factores estructurales de la prima de riesgo persistieron, el resultado esperable es que el diferencial cambie de composición menos dominado por la prima de inflación, más sostenido por la prima de riesgo real ligada a la segmentación del mercado sin necesariamente desaparecer.</w:t>
      </w:r>
    </w:p>
    <w:p w14:paraId="6C9FCB65" w14:textId="77777777"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Los factores que sostienen la demanda de guaraníes y de dólares. </w:t>
      </w:r>
      <w:r>
        <w:rPr>
          <w:rFonts w:ascii="Arial" w:eastAsia="Arial" w:hAnsi="Arial" w:cs="Arial"/>
          <w:lang w:val="es-ES" w:eastAsia="es-ES"/>
        </w:rPr>
        <w:t>La persistencia de la dolarización responde a un conjunto de factores estructurales que operan de forma relativamente independiente del diferencial de tasas. Si existiera arbitraje perfecto, un diferencial positivo y persistente a favor del guaraní bastaría para que los depositantes migraran por completo a la moneda doméstica, eliminándolo. Que no lo hagan implica que existen motivos racionales para mantener dólares incluso cuando el guaraní rinde más, y esos motivos son las fricciones que sostienen el diferencial como característica de equilibrio del mercado.</w:t>
      </w:r>
    </w:p>
    <w:p w14:paraId="494AC9FE" w14:textId="523C5D4B"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primero, y más relevante en la economía paraguaya, es la naturaleza bicurrencial de su base productiva. Paraguay es un país </w:t>
      </w:r>
      <w:proofErr w:type="spellStart"/>
      <w:r>
        <w:rPr>
          <w:rFonts w:ascii="Arial" w:eastAsia="Arial" w:hAnsi="Arial" w:cs="Arial"/>
          <w:lang w:val="es-ES" w:eastAsia="es-ES"/>
        </w:rPr>
        <w:t>primarioexportador</w:t>
      </w:r>
      <w:proofErr w:type="spellEnd"/>
      <w:r>
        <w:rPr>
          <w:rFonts w:ascii="Arial" w:eastAsia="Arial" w:hAnsi="Arial" w:cs="Arial"/>
          <w:lang w:val="es-ES" w:eastAsia="es-ES"/>
        </w:rPr>
        <w:t xml:space="preserve"> cuya principal fuente de divisas la soja, la carne vacuna, el maíz, el trigo y el sésamo se transa en mercados internacionales a precios en dólares. Un productor o una agroexportadora que cobra sus ventas en dólares </w:t>
      </w:r>
      <w:r>
        <w:rPr>
          <w:rFonts w:ascii="Arial" w:eastAsia="Arial" w:hAnsi="Arial" w:cs="Arial"/>
          <w:lang w:val="es-ES" w:eastAsia="es-ES"/>
        </w:rPr>
        <w:lastRenderedPageBreak/>
        <w:t xml:space="preserve">enfrenta un incentivo estructural para mantener parte de esos fondos en depósitos en dólares, no para maximizar el retorno sino para eliminar el riesgo cambiario entre la recepción de divisas y el pago futuro de insumos también en dólares. Para ese depositante, el CDA en dólares no es un vehículo de rendimiento sino un dispositivo de calce de monedas: la tasa más baja es el costo de eliminar la exposición cambiaria sobre su capital de trabajo. Esta </w:t>
      </w:r>
      <w:r>
        <w:rPr>
          <w:rFonts w:ascii="Arial" w:eastAsia="Arial" w:hAnsi="Arial" w:cs="Arial"/>
          <w:i/>
          <w:iCs/>
          <w:lang w:val="es-ES" w:eastAsia="es-ES"/>
        </w:rPr>
        <w:t>dolarización operacional</w:t>
      </w:r>
      <w:r>
        <w:rPr>
          <w:rFonts w:ascii="Arial" w:eastAsia="Arial" w:hAnsi="Arial" w:cs="Arial"/>
          <w:lang w:val="es-ES" w:eastAsia="es-ES"/>
        </w:rPr>
        <w:t xml:space="preserve"> es estructuralmente insensible al diferencial de tasas. En el sentido inverso, lo que sostiene la demanda de guaraníes es el consumo interno, el pago de salarios, los impuestos y la mayor parte del crédito minorista, que se denominan en moneda doméstica: quien tiene obligaciones en guaraníes prefiere ahorrar en guaraníes por el mismo motivo de calce.</w:t>
      </w:r>
    </w:p>
    <w:p w14:paraId="5533E91E" w14:textId="52439243"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El segundo factor es la posición de Paraguay como nodo comercial regional. Ciudad del Este, la segunda ciudad del país, alberga una de las zonas de comercio más activas de América del Sur, con flujos de importación y reexportación denominados predominantemente en dólares. Los comerciantes e importadores que participan de ese ecosistema mantienen capital de trabajo en dólares como necesidad operativa, con independencia de la rentabilidad relativa del guaraní. El extenso comercio fronterizo con Brasil y Argentina refuerza ese entorno multicurrencial en el que el dólar funciona como unidad de cuenta para las transacciones de mayor volumen, creando una demanda cautiva de depósitos en dólares rígida ante variaciones del diferencial.</w:t>
      </w:r>
    </w:p>
    <w:p w14:paraId="4383078E" w14:textId="0DBB2179"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 xml:space="preserve">El tercer factor es la memoria institucional de las crisis, que opera como un mecanismo de histéresis en las preferencias individuales. La economía del comportamiento sugiere que quienes vivieron pérdidas patrimoniales asociadas a un instrumento tienden a exhibir aversión persistente hacia él incluso cuando las condiciones objetivas mejoran (Malmendier &amp; Nagel, 2011). El depositante paraguayo que sufrió o presenció de cerca la crisis de 1995–1998 vivida en guaraníes incorporó una desutilidad hacia los instrumentos domésticos que ningún año de estabilidad borra del todo: para él, la prima de tasa del guaraní no compensa el costo de concentrar sus ahorros en una moneda con ese historial. </w:t>
      </w:r>
      <w:r>
        <w:rPr>
          <w:rFonts w:ascii="Arial" w:eastAsia="Arial" w:hAnsi="Arial" w:cs="Arial"/>
          <w:lang w:val="es-ES" w:eastAsia="es-ES"/>
        </w:rPr>
        <w:lastRenderedPageBreak/>
        <w:t>Este componente se reduce de forma natural a medida que la generación marcada por la crisis cede lugar a cohortes más jóvenes sin esa memoria, lo que contribuye a explicar el descenso gradual de la dolarización sin que este se acelere más allá de lo que la mejora macroeconómica anticiparía.</w:t>
      </w:r>
    </w:p>
    <w:p w14:paraId="14C59C65" w14:textId="77777777"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t>El cuarto factor es la función del dólar como cobertura de riesgo país. Aun sin crisis domésticas, los depositantes de mayor patrimonio enfrentan el riesgo de que perturbaciones políticas o externas de magnitud erosionen el valor de sus activos en moneda local. Mantener una fracción del portafolio en dólares es, para ellos, una forma de diversificación y cobertura contra el riesgo de cola soberano: la prima que ofrece el guaraní es el costo esperado de un riesgo cuya probabilidad, aunque baja, no es cero dada la historia regional. Esta demanda es independiente del diferencial de tasas y no debería eliminarse con la adopción del régimen de metas, aunque puede moderarse a medida que el banco central acumula años de credibilidad demostrada.</w:t>
      </w:r>
    </w:p>
    <w:p w14:paraId="7C0D7EF1" w14:textId="1FC3DF04"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El encaje diferenciado: cuando la regulación amplifica el diferencial. </w:t>
      </w:r>
      <w:r>
        <w:rPr>
          <w:rFonts w:ascii="Arial" w:eastAsia="Arial" w:hAnsi="Arial" w:cs="Arial"/>
          <w:lang w:val="es-ES" w:eastAsia="es-ES"/>
        </w:rPr>
        <w:t xml:space="preserve">Junto a los factores de demanda existe un mecanismo del lado de la oferta de particular relevancia: el encaje legal diferenciado por moneda. El BCP ha aplicado históricamente requisitos de encaje la fracción de los depósitos que las entidades deben mantener en reservas líquidas sin intermediar más elevados sobre los depósitos en dólares que sobre los depósitos en guaraníes (Banco Central del Paraguay, 2024). El mecanismo de transmisión al diferencial es directo: un encaje más alto sobre los dólares implica que, por cada dólar depositado, el banco puede prestar y rentabilizar menos capital, reduciendo la tasa pasiva que puede ofrecer en esa moneda sin comprimir su margen; un encaje más bajo sobre los guaraníes amplía el capital intermediable y sostiene tasas pasivas más altas en moneda doméstica. La brecha de encaje Gs/USD actúa así como un </w:t>
      </w:r>
      <w:r w:rsidR="00CA0128">
        <w:rPr>
          <w:rFonts w:ascii="Arial" w:eastAsia="Arial" w:hAnsi="Arial" w:cs="Arial"/>
          <w:lang w:val="es-ES" w:eastAsia="es-ES"/>
        </w:rPr>
        <w:t>cuasi impuesto</w:t>
      </w:r>
      <w:r>
        <w:rPr>
          <w:rFonts w:ascii="Arial" w:eastAsia="Arial" w:hAnsi="Arial" w:cs="Arial"/>
          <w:lang w:val="es-ES" w:eastAsia="es-ES"/>
        </w:rPr>
        <w:t xml:space="preserve"> a la intermediación en moneda extranjera que se traslada a las tasas pasivas: una </w:t>
      </w:r>
      <w:r>
        <w:rPr>
          <w:rFonts w:ascii="Arial" w:eastAsia="Arial" w:hAnsi="Arial" w:cs="Arial"/>
          <w:i/>
          <w:iCs/>
          <w:lang w:val="es-ES" w:eastAsia="es-ES"/>
        </w:rPr>
        <w:t>cuña regulatoria</w:t>
      </w:r>
      <w:r>
        <w:rPr>
          <w:rFonts w:ascii="Arial" w:eastAsia="Arial" w:hAnsi="Arial" w:cs="Arial"/>
          <w:lang w:val="es-ES" w:eastAsia="es-ES"/>
        </w:rPr>
        <w:t xml:space="preserve"> que amplifica el diferencial que ya existiría por inflación diferencial y prima de riesgo. La implicación es de primer orden: parte del premio percibido por los ahorristas en guaraníes durante 2004–</w:t>
      </w:r>
      <w:r>
        <w:rPr>
          <w:rFonts w:ascii="Arial" w:eastAsia="Arial" w:hAnsi="Arial" w:cs="Arial"/>
          <w:lang w:val="es-ES" w:eastAsia="es-ES"/>
        </w:rPr>
        <w:lastRenderedPageBreak/>
        <w:t>2024 no fue producto espontáneo del mercado sino resultado de una política regulatoria deliberada del BCP orientada a desincentivar la dolarización. Por esta razón, la brecha de encaje Gs/USD se emplea como medida alternativa del componente de iliquidez en las pruebas de robustez de la Etapa 6.</w:t>
      </w:r>
    </w:p>
    <w:p w14:paraId="2CCBE2DB" w14:textId="41F716A8" w:rsidR="00AC5DC1" w:rsidRDefault="00000000">
      <w:pPr>
        <w:spacing w:before="120" w:after="120" w:line="480" w:lineRule="auto"/>
        <w:jc w:val="both"/>
        <w:rPr>
          <w:rFonts w:ascii="Arial" w:eastAsia="Arial" w:hAnsi="Arial" w:cs="Arial"/>
          <w:lang w:val="es-ES" w:eastAsia="es-ES"/>
        </w:rPr>
      </w:pPr>
      <w:r>
        <w:rPr>
          <w:rFonts w:ascii="Arial" w:eastAsia="Arial" w:hAnsi="Arial" w:cs="Arial"/>
          <w:b/>
          <w:bCs/>
          <w:lang w:val="es-ES" w:eastAsia="es-ES"/>
        </w:rPr>
        <w:t xml:space="preserve">La paradoja del diferencial persistente y su conexión con la hipótesis. </w:t>
      </w:r>
      <w:r>
        <w:rPr>
          <w:rFonts w:ascii="Arial" w:eastAsia="Arial" w:hAnsi="Arial" w:cs="Arial"/>
          <w:lang w:val="es-ES" w:eastAsia="es-ES"/>
        </w:rPr>
        <w:t xml:space="preserve">La coexistencia de un diferencial positivo y sistemático a favor del guaraní con una dolarización que se mantiene en niveles sustanciales durante veinte años no es una contradicción, sino la consecuencia predecible de un mercado de fondos prestables </w:t>
      </w:r>
      <w:r>
        <w:rPr>
          <w:rFonts w:ascii="Arial" w:eastAsia="Arial" w:hAnsi="Arial" w:cs="Arial"/>
          <w:i/>
          <w:iCs/>
          <w:lang w:val="es-ES" w:eastAsia="es-ES"/>
        </w:rPr>
        <w:t>segmentado</w:t>
      </w:r>
      <w:r>
        <w:rPr>
          <w:rFonts w:ascii="Arial" w:eastAsia="Arial" w:hAnsi="Arial" w:cs="Arial"/>
          <w:lang w:val="es-ES" w:eastAsia="es-ES"/>
        </w:rPr>
        <w:t xml:space="preserve">. La condición de UIP supone un mercado integrado en el que un diferencial positivo genera flujos de arbitraje que lo eliminan. El análisis de la dolarización paraguaya revela que esas condiciones no se verifican: el mercado de depósitos está fracturado por perfiles de depositante con funciones objetivo heterogéneas, por fricciones regulatorias como el encaje diferenciado, por la limitada profundidad del mercado forward local para el arbitraje cubierto y por la segmentación estructural derivada de la base exportadora de la economía real. En un mercado así, la persistencia del diferencial no es un desequilibrio a la espera de corrección, sino el precio de equilibrio de un mercado donde guaraní y dólar satisfacen demandas distintas (Ize &amp; </w:t>
      </w:r>
      <w:proofErr w:type="spellStart"/>
      <w:r>
        <w:rPr>
          <w:rFonts w:ascii="Arial" w:eastAsia="Arial" w:hAnsi="Arial" w:cs="Arial"/>
          <w:lang w:val="es-ES" w:eastAsia="es-ES"/>
        </w:rPr>
        <w:t>LevyYeyati</w:t>
      </w:r>
      <w:proofErr w:type="spellEnd"/>
      <w:r>
        <w:rPr>
          <w:rFonts w:ascii="Arial" w:eastAsia="Arial" w:hAnsi="Arial" w:cs="Arial"/>
          <w:lang w:val="es-ES" w:eastAsia="es-ES"/>
        </w:rPr>
        <w:t>, 2003). Esta conclusión da sustento teórico a la magnitud del diferencial observado y explica por qué el régimen de 2011, aun exitoso en reducir la incertidumbre inflacionaria, no lo hizo desaparecer sino que, como sostiene la hipótesis de recomposición, modificó su estructura interna: comprimió la prima de inflación pero dejó intactos los mecanismos de segmentación que alimentan la prima de riesgo de iliquidez, cuya medición a través del ratio de dolarización es el eje del modelo de la Etapa 5.</w:t>
      </w:r>
    </w:p>
    <w:p w14:paraId="24CAB66A" w14:textId="3CCA7490"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Articulación </w:t>
      </w:r>
      <w:proofErr w:type="spellStart"/>
      <w:r>
        <w:rPr>
          <w:rFonts w:ascii="Arial" w:eastAsia="Arial" w:hAnsi="Arial" w:cs="Arial"/>
          <w:b/>
          <w:bCs/>
          <w:i/>
          <w:iCs/>
          <w:lang w:val="es-ES" w:eastAsia="es-ES"/>
        </w:rPr>
        <w:t>teóricoempírica</w:t>
      </w:r>
      <w:proofErr w:type="spellEnd"/>
      <w:r>
        <w:rPr>
          <w:rFonts w:ascii="Arial" w:eastAsia="Arial" w:hAnsi="Arial" w:cs="Arial"/>
          <w:b/>
          <w:bCs/>
          <w:i/>
          <w:iCs/>
          <w:lang w:val="es-ES" w:eastAsia="es-ES"/>
        </w:rPr>
        <w:t xml:space="preserve">. </w:t>
      </w:r>
      <w:r>
        <w:rPr>
          <w:rFonts w:ascii="Arial" w:eastAsia="Arial" w:hAnsi="Arial" w:cs="Arial"/>
          <w:lang w:val="es-ES" w:eastAsia="es-ES"/>
        </w:rPr>
        <w:t xml:space="preserve">Los pilares desarrollados determinan directamente la estrategia empírica. La condición UIP y su medición ex post (Pilar 1) sustentan la construcción de las series DR en la Etapa 1. El coeficiente de Fama (Pilar 2) se estima formalmente en la Etapa 2. La descomposición Fisher (Pilar 3) justifica la Etapa 4. El </w:t>
      </w:r>
      <w:r>
        <w:rPr>
          <w:rFonts w:ascii="Arial" w:eastAsia="Arial" w:hAnsi="Arial" w:cs="Arial"/>
          <w:lang w:val="es-ES" w:eastAsia="es-ES"/>
        </w:rPr>
        <w:lastRenderedPageBreak/>
        <w:t xml:space="preserve">análisis del régimen de Metas de Inflación (Pilar 4) fundamenta la inclusión de la indicadora D2011 y, sobre todo, de sus </w:t>
      </w:r>
      <w:r>
        <w:rPr>
          <w:rFonts w:ascii="Arial" w:eastAsia="Arial" w:hAnsi="Arial" w:cs="Arial"/>
          <w:i/>
          <w:iCs/>
          <w:lang w:val="es-ES" w:eastAsia="es-ES"/>
        </w:rPr>
        <w:t>interacciones</w:t>
      </w:r>
      <w:r>
        <w:rPr>
          <w:rFonts w:ascii="Arial" w:eastAsia="Arial" w:hAnsi="Arial" w:cs="Arial"/>
          <w:lang w:val="es-ES" w:eastAsia="es-ES"/>
        </w:rPr>
        <w:t xml:space="preserve"> en el modelo de la Etapa 5. Finalmente, los determinantes estructurales (Pilar 5) justifican la elección de VolTC e Iliq como variables explicativas del modelo MCOHAC sobre la prima de riesgo, mientras que el diferencial de inflación (InflDiff) interviene en la descomposición de Fisher (Etapa 4) que define la variable dependiente rpₜ.</w:t>
      </w:r>
    </w:p>
    <w:p w14:paraId="0FC4C598"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Bases legales</w:t>
      </w:r>
    </w:p>
    <w:p w14:paraId="0ADD1DD5"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Dos piezas normativas vuelven operativas las variables institucionales del estudio. La primera es la Resolución N.º 22, Acta N.º 31 del Directorio del BCP, del 18 de mayo de 2011, que formaliza la adopción del esquema de Metas de Inflación y constituye el evento que la indicadora D2011 representa (Banco Central del Paraguay, 2011). La segunda es el régimen de encaje legal diferenciado por moneda, dictado por el BCP en ejercicio de las atribuciones de su Carta Orgánica (Ley N.º 489/95 y sus modificaciones), que fundamenta el componente regulatorio de la segmentación del mercado de fondos prestables descrito en el Pilar 5.</w:t>
      </w:r>
    </w:p>
    <w:p w14:paraId="5FCE1E0A"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Sistema de variables</w:t>
      </w:r>
    </w:p>
    <w:p w14:paraId="01633F2D" w14:textId="761B8AF9"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La variable dependiente del modelo central es la prima de riesgo residual (rp). Las variables independientes son la volatilidad cambiaria (VolTC; signo esperado positivo sobre la prima), el ratio de dolarización de depósitos como proxy del riesgo de iliquidez (Iliq; signo esperado positivo), la indicadora de régimen (D2011; efecto de nivel teóricamente indeterminado) y los términos de interacción D2011×VolTC y D2011×Iliq, cuyos signos esperados negativo y positivo, respectivamente operacionalizan la conjetura direccional de la hipótesis. La operacionalización completa, con definiciones, unidades, fuentes y signos, se presenta en la Tabla 7.1 del marco metodológico.</w:t>
      </w:r>
    </w:p>
    <w:p w14:paraId="577B5725"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Definición de términos</w:t>
      </w:r>
    </w:p>
    <w:p w14:paraId="31CB1051"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Certificado de Depósito de Ahorro (CDA): instrumento bancario de captación a plazo remunerado a la tasa pasiva pactada. Diferencial de retornos: diferencia entre el retorno de un CDA en guaraníes y el de uno en dólares, ajustada por la variación cambiaria del período. Prima de riesgo (rp): componente del diferencial de tasas no explicado por el diferencial de inflación interanual. Dolarización de depósitos: participación de los depósitos en moneda extranjera en el total del sistema bancario. Iliquidez (en este trabajo): segmentación del mercado de fondos prestables, aproximada por la dolarización de depósitos. Incidencia: asociación estimada entre un determinante y la prima de riesgo, sin connotación causal.</w:t>
      </w:r>
    </w:p>
    <w:p w14:paraId="563DCB9E" w14:textId="77777777" w:rsidR="00D27E85" w:rsidRPr="00DF3903" w:rsidRDefault="00D27E85" w:rsidP="00D27E85">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7.2. Marco metodológico</w:t>
      </w:r>
    </w:p>
    <w:p w14:paraId="1BB93E39" w14:textId="77777777" w:rsidR="00D27E85"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Diseño de la investigación</w:t>
      </w:r>
    </w:p>
    <w:p w14:paraId="2C94D1AC"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Tipo y enfoque de investigación. </w:t>
      </w:r>
      <w:r>
        <w:rPr>
          <w:rFonts w:ascii="Arial" w:eastAsia="Arial" w:hAnsi="Arial" w:cs="Arial"/>
          <w:lang w:val="es-ES" w:eastAsia="es-ES"/>
        </w:rPr>
        <w:t>El estudio adopta un enfoque cuantitativo, de tipo aplicado y empírico, con alcance correlacional, de incidencia y diseño longitudinal de series de tiempo trimestrales. Es no experimental, ya que las variables se observan tal como se presentan en los registros oficiales, sin manipulación por parte de los investigadores, y sigue un razonamiento predominantemente deductivo: parte de la teoría de la Paridad Descubierta de Tasas de Interés y del marco de Fisher para derivar hipótesis contrastables con datos.</w:t>
      </w:r>
    </w:p>
    <w:p w14:paraId="643C7977"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Modalidad. </w:t>
      </w:r>
      <w:r>
        <w:rPr>
          <w:rFonts w:ascii="Arial" w:eastAsia="Arial" w:hAnsi="Arial" w:cs="Arial"/>
          <w:lang w:val="es-ES" w:eastAsia="es-ES"/>
        </w:rPr>
        <w:t>La modalidad es documental, dado que la totalidad de la información proviene de fuentes estadísticas secundarias de acceso público y no de trabajo de campo. En consecuencia, no se emplean cuestionarios, entrevistas ni observación directa, instrumentos propios de los diseños de campo que no corresponden a un estudio basado en datos secundarios oficiales.</w:t>
      </w:r>
    </w:p>
    <w:p w14:paraId="7F0CBD18"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Población, unidad de análisis y tamaño. </w:t>
      </w:r>
      <w:r>
        <w:rPr>
          <w:rFonts w:ascii="Arial" w:eastAsia="Arial" w:hAnsi="Arial" w:cs="Arial"/>
          <w:lang w:val="es-ES" w:eastAsia="es-ES"/>
        </w:rPr>
        <w:t xml:space="preserve">La población es el conjunto de observaciones trimestrales del diferencial de retornos entre certificados de depósito en guaraníes y en dólares del sistema bancario paraguayo durante 2004–2024. La unidad de análisis es el </w:t>
      </w:r>
      <w:r>
        <w:rPr>
          <w:rFonts w:ascii="Arial" w:eastAsia="Arial" w:hAnsi="Arial" w:cs="Arial"/>
          <w:lang w:val="es-ES" w:eastAsia="es-ES"/>
        </w:rPr>
        <w:lastRenderedPageBreak/>
        <w:t>diferencial trimestral. No se aplica un procedimiento de muestreo probabilístico: se trabaja con la totalidad de la población disponible (censo del período), de modo que el tamaño efectivo es de T = 84 observaciones trimestrales (2004:T1–2024:T4), determinado por la disponibilidad de cobertura homogénea y reglamentada de las tasas pasivas por moneda desde 2004, según la nota de la Sección 4. Las tasas de CDA provienen de una única fuente y definición para todo el período (tramo de hasta 365 días de los boletines «Promedio de Tasas» de la Superintendencia de Bancos, tasa efectiva, bancos); diez meses no publicados por el BCP se documentan en la base y el valor trimestral es el promedio de los meses publicados, de modo que el n efectivo varía según la especificación (83 observaciones para la serie DR, 80 para el modelo principal de la Etapa 5 sobre la prima de riesgo).</w:t>
      </w:r>
    </w:p>
    <w:p w14:paraId="26BF2D05"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Fuentes de información. </w:t>
      </w:r>
      <w:r>
        <w:rPr>
          <w:rFonts w:ascii="Arial" w:eastAsia="Arial" w:hAnsi="Arial" w:cs="Arial"/>
          <w:lang w:val="es-ES" w:eastAsia="es-ES"/>
        </w:rPr>
        <w:t>Todas las fuentes son secundarias y de acceso público. El Banco Central del Paraguay (BCP) provee las tasas pasivas de CDA en guaraníes y en dólares, el tipo de cambio nominal guaraní/dólar correspondiente al promedio del mes de cierre de cada trimestre, el ratio de dolarización de depósitos, el régimen de encaje legal por moneda y el índice de precios al consumidor del Paraguay; la Reserva Federal de los Estados Unidos aporta la Federal Funds Rate y, a través de la base FRED, el índice de precios al consumidor estadounidense. No se utilizan fuentes primarias, por tratarse de un diseño documental.</w:t>
      </w:r>
    </w:p>
    <w:p w14:paraId="0F2ED07E"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Técnica e instrumentos. </w:t>
      </w:r>
      <w:r>
        <w:rPr>
          <w:rFonts w:ascii="Arial" w:eastAsia="Arial" w:hAnsi="Arial" w:cs="Arial"/>
          <w:lang w:val="es-ES" w:eastAsia="es-ES"/>
        </w:rPr>
        <w:t>La técnica de recolección es el análisis documental de bases estadísticas oficiales. El instrumento de registro es una base de datos estructurada en formato de panel temporal, donde cada observación se almacena junto con su fuente, su fecha de extracción y, en el caso de las variables derivadas, la fórmula que la genera. El procesamiento econométrico se realiza con los programas Stata y Python, empleados como herramientas de cálculo y validación cruzada de los resultados.</w:t>
      </w:r>
    </w:p>
    <w:p w14:paraId="120123AE"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Variables primarias y derivadas. </w:t>
      </w:r>
      <w:r>
        <w:rPr>
          <w:rFonts w:ascii="Arial" w:eastAsia="Arial" w:hAnsi="Arial" w:cs="Arial"/>
          <w:lang w:val="es-ES" w:eastAsia="es-ES"/>
        </w:rPr>
        <w:t xml:space="preserve">Se distingue entre variables primarias, tomadas directamente de la fuente oficial sin alteración (tasas pasivas, tipo de cambio, índices de </w:t>
      </w:r>
      <w:r>
        <w:rPr>
          <w:rFonts w:ascii="Arial" w:eastAsia="Arial" w:hAnsi="Arial" w:cs="Arial"/>
          <w:lang w:val="es-ES" w:eastAsia="es-ES"/>
        </w:rPr>
        <w:lastRenderedPageBreak/>
        <w:t>precios, ratio de dolarización, encaje), y variables derivadas, calculadas mediante fórmulas explícitas y auditables a partir de las primarias (el diferencial de retornos estándar y conservador, la volatilidad cambiaria, el diferencial de inflación y la prima de riesgo residual, definidas en las Etapas 1 a 5). Ninguna variable se obtiene por imputación, estimación de valores faltantes ni proyección; los huecos eventuales se reportan como tales y no se rellenan.</w:t>
      </w:r>
    </w:p>
    <w:p w14:paraId="50C27CA3" w14:textId="77777777" w:rsidR="00D27E85" w:rsidRDefault="00D27E85" w:rsidP="00D27E85">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Control de calidad de los datos. </w:t>
      </w:r>
      <w:r>
        <w:rPr>
          <w:rFonts w:ascii="Arial" w:eastAsia="Arial" w:hAnsi="Arial" w:cs="Arial"/>
          <w:lang w:val="es-ES" w:eastAsia="es-ES"/>
        </w:rPr>
        <w:t>Para garantizar la fiabilidad de la información se aplica un protocolo de validación en tres fases independientes. Una primera fase de recopilación organiza los datos primarios y registra para cada serie su fuente y su trazabilidad al documento oficial de origen. Una segunda fase de auditoría verifica, observación por observación, que cada dato primario coincida con su fuente y que cada variable derivada pueda recalcularse a partir de su fórmula, sin aceptar valores estimados, inventados ni proyectados. Solo una vez superada la auditoría, una tercera fase de análisis ejecuta las rutinas econométricas. Esta separación de funciones asegura la replicabilidad del estudio y la integridad de la base sobre la que se construyen los resultados.</w:t>
      </w:r>
    </w:p>
    <w:p w14:paraId="50345C6B" w14:textId="52B825DF"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investigación adopta un diseño cuantitativo con análisis de series de tiempo trimestrales. La unidad de análisis es el diferencial trimestral de retornos entre CDA en guaraníes y en dólares en el sistema bancario paraguayo. El período de análisis comprende 2004:T1–2024:T4 (T = 84 observaciones trimestrales); el inicio en 2004 responde a la disponibilidad de cobertura homogénea y reglamentada de las tasas pasivas por moneda, según la nota de la Sección 4. Todos los datos son secundarios y de acceso público: el BCP provee las tasas pasivas de CDA en guaraníes y en dólares (tramo de hasta 365 días, tasa efectiva, promedio del sistema bancario, boletines «Promedio de Tasas» de la Superintendencia de Bancos), el tipo de cambio nominal guaraní/dólar del mes de cierre de cada trimestre (promedio mensual), el ratio de dolarización de depósitos y el régimen de encaje legal por moneda (Banco Central del Paraguay, 2024); la Reserva Federal aporta la Federal Funds Rate (Federal Reserve System, 2024); y el FRED suministra los índices de precios al </w:t>
      </w:r>
      <w:r>
        <w:rPr>
          <w:rFonts w:ascii="Arial" w:eastAsia="Arial" w:hAnsi="Arial" w:cs="Arial"/>
          <w:lang w:val="es-ES" w:eastAsia="es-ES"/>
        </w:rPr>
        <w:lastRenderedPageBreak/>
        <w:t xml:space="preserve">consumidor de Estados Unidos, mientras el BCP provee los del Paraguay. El análisis econométrico se ejecuta en Stata con los comandos newey (regresión con errores HAC de </w:t>
      </w:r>
      <w:proofErr w:type="spellStart"/>
      <w:r>
        <w:rPr>
          <w:rFonts w:ascii="Arial" w:eastAsia="Arial" w:hAnsi="Arial" w:cs="Arial"/>
          <w:lang w:val="es-ES" w:eastAsia="es-ES"/>
        </w:rPr>
        <w:t>NeweyWest</w:t>
      </w:r>
      <w:proofErr w:type="spellEnd"/>
      <w:r>
        <w:rPr>
          <w:rFonts w:ascii="Arial" w:eastAsia="Arial" w:hAnsi="Arial" w:cs="Arial"/>
          <w:lang w:val="es-ES" w:eastAsia="es-ES"/>
        </w:rPr>
        <w:t xml:space="preserve">), </w:t>
      </w:r>
      <w:proofErr w:type="spellStart"/>
      <w:r>
        <w:rPr>
          <w:rFonts w:ascii="Arial" w:eastAsia="Arial" w:hAnsi="Arial" w:cs="Arial"/>
          <w:lang w:val="es-ES" w:eastAsia="es-ES"/>
        </w:rPr>
        <w:t>estat</w:t>
      </w:r>
      <w:proofErr w:type="spellEnd"/>
      <w:r>
        <w:rPr>
          <w:rFonts w:ascii="Arial" w:eastAsia="Arial" w:hAnsi="Arial" w:cs="Arial"/>
          <w:lang w:val="es-ES" w:eastAsia="es-ES"/>
        </w:rPr>
        <w:t xml:space="preserve"> </w:t>
      </w:r>
      <w:proofErr w:type="spellStart"/>
      <w:r>
        <w:rPr>
          <w:rFonts w:ascii="Arial" w:eastAsia="Arial" w:hAnsi="Arial" w:cs="Arial"/>
          <w:lang w:val="es-ES" w:eastAsia="es-ES"/>
        </w:rPr>
        <w:t>sbcusum</w:t>
      </w:r>
      <w:proofErr w:type="spellEnd"/>
      <w:r>
        <w:rPr>
          <w:rFonts w:ascii="Arial" w:eastAsia="Arial" w:hAnsi="Arial" w:cs="Arial"/>
          <w:lang w:val="es-ES" w:eastAsia="es-ES"/>
        </w:rPr>
        <w:t xml:space="preserve"> y el procedimiento de </w:t>
      </w:r>
      <w:proofErr w:type="spellStart"/>
      <w:r>
        <w:rPr>
          <w:rFonts w:ascii="Arial" w:eastAsia="Arial" w:hAnsi="Arial" w:cs="Arial"/>
          <w:lang w:val="es-ES" w:eastAsia="es-ES"/>
        </w:rPr>
        <w:t>BaiPerron</w:t>
      </w:r>
      <w:proofErr w:type="spellEnd"/>
      <w:r>
        <w:rPr>
          <w:rFonts w:ascii="Arial" w:eastAsia="Arial" w:hAnsi="Arial" w:cs="Arial"/>
          <w:lang w:val="es-ES" w:eastAsia="es-ES"/>
        </w:rPr>
        <w:t xml:space="preserve"> para quiebres estructurales (implementado mediante el comando comunitario xtbreak, de Ditzen, Karavias y Westerlund, 2021), y dfuller/pperron para pruebas de raíz unitaria.</w:t>
      </w:r>
    </w:p>
    <w:p w14:paraId="03CA6199"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estrategia empírica se organiza en seis etapas secuenciales; los resultados de cada una condicionan o alimentan la siguiente. La Etapa 1 produce las series. La Etapa 2 estima el coeficiente de Fama y valida estadísticamente la medida conservadora. La Etapa 3 verifica las propiedades estadísticas de la serie y confirma si 2011 fue efectivamente un quiebre. La Etapa 4 descompone el diferencial en sus componentes estructurales. La Etapa 5 integra todos los elementos anteriores en un modelo de regresión con interacciones que identifica la recomposición de los determinantes. La Etapa 6 reúne las pruebas de diagnóstico y robustez.</w:t>
      </w:r>
    </w:p>
    <w:p w14:paraId="060ECD34"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Etapa 1: Construcción de las series de retorno</w:t>
      </w:r>
    </w:p>
    <w:p w14:paraId="00E2F439"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Las tasas anualizadas publicadas por el BCP se trimestralizan mediante el factor 1/4. Los tipos de cambio utilizados corresponden al promedio mensual del último mes de cada trimestre (Cuadro 60a del Anexo Estadístico del BCP), dado que la cotización puntual de cierre del último día hábil no se encuentra disponible de forma homogénea en las fuentes oficiales para todo el período 2004–2024. Se construyen dos series con interpretaciones económicas distintas.</w:t>
      </w:r>
    </w:p>
    <w:p w14:paraId="1DBFE841"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La serie estándar </w:t>
      </w:r>
      <w:r>
        <w:rPr>
          <w:rFonts w:ascii="Arial" w:eastAsia="Arial" w:hAnsi="Arial" w:cs="Arial"/>
          <w:lang w:val="es-ES" w:eastAsia="es-ES"/>
        </w:rPr>
        <w:t>(DR</w:t>
      </w:r>
      <w:r>
        <w:rPr>
          <w:rFonts w:ascii="Arial" w:eastAsia="Arial" w:hAnsi="Arial" w:cs="Arial"/>
          <w:vertAlign w:val="subscript"/>
          <w:lang w:val="es-ES" w:eastAsia="es-ES"/>
        </w:rPr>
        <w:t>t+1</w:t>
      </w:r>
      <w:r>
        <w:rPr>
          <w:rFonts w:ascii="Arial" w:eastAsia="Arial" w:hAnsi="Arial" w:cs="Arial"/>
          <w:lang w:val="es-ES" w:eastAsia="es-ES"/>
        </w:rPr>
        <w:t>) refleja el retorno efectivo ex post de un ahorrista en guaraníes comparado con uno en dólares, incluyendo tanto las pérdidas por depreciación como las ganancias por apreciación cambiaria:</w:t>
      </w:r>
    </w:p>
    <w:p w14:paraId="663DCC45"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DR</w:t>
      </w:r>
      <w:r>
        <w:rPr>
          <w:rFonts w:ascii="Cambria Math" w:eastAsia="Arial" w:hAnsi="Cambria Math" w:cs="Cambria Math"/>
          <w:i/>
          <w:iCs/>
          <w:lang w:val="es-ES" w:eastAsia="es-ES"/>
        </w:rPr>
        <w:t>ₜ₊₁</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w:t>
      </w:r>
      <w:r>
        <w:rPr>
          <w:rFonts w:ascii="Arial" w:eastAsia="Arial" w:hAnsi="Arial" w:cs="Arial"/>
          <w:i/>
          <w:iCs/>
          <w:lang w:val="es-ES" w:eastAsia="es-ES"/>
        </w:rPr>
        <w:t>] × 100</w:t>
      </w:r>
      <w:r>
        <w:rPr>
          <w:rFonts w:ascii="Arial" w:eastAsia="Arial" w:hAnsi="Arial" w:cs="Arial"/>
          <w:lang w:val="es-ES" w:eastAsia="es-ES"/>
        </w:rPr>
        <w:tab/>
        <w:t>(5)</w:t>
      </w:r>
    </w:p>
    <w:p w14:paraId="6BD2636B"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La serie conservadora </w:t>
      </w:r>
      <w:r>
        <w:rPr>
          <w:rFonts w:ascii="Arial" w:eastAsia="Arial" w:hAnsi="Arial" w:cs="Arial"/>
          <w:lang w:val="es-ES" w:eastAsia="es-ES"/>
        </w:rPr>
        <w:t>(DR</w:t>
      </w:r>
      <w:r>
        <w:rPr>
          <w:rFonts w:ascii="Arial" w:eastAsia="Arial" w:hAnsi="Arial" w:cs="Arial"/>
          <w:vertAlign w:val="superscript"/>
          <w:lang w:val="es-ES" w:eastAsia="es-ES"/>
        </w:rPr>
        <w:t>cons</w:t>
      </w:r>
      <w:r>
        <w:rPr>
          <w:rFonts w:ascii="Arial" w:eastAsia="Arial" w:hAnsi="Arial" w:cs="Arial"/>
          <w:vertAlign w:val="subscript"/>
          <w:lang w:val="es-ES" w:eastAsia="es-ES"/>
        </w:rPr>
        <w:t>t+1</w:t>
      </w:r>
      <w:r>
        <w:rPr>
          <w:rFonts w:ascii="Arial" w:eastAsia="Arial" w:hAnsi="Arial" w:cs="Arial"/>
          <w:lang w:val="es-ES" w:eastAsia="es-ES"/>
        </w:rPr>
        <w:t xml:space="preserve">) excluye las ganancias por apreciación del guaraní, aislando únicamente el componente estructural del diferencial. Su ajuste cambiario aplica </w:t>
      </w:r>
      <w:r>
        <w:rPr>
          <w:rFonts w:ascii="Arial" w:eastAsia="Arial" w:hAnsi="Arial" w:cs="Arial"/>
          <w:lang w:val="es-ES" w:eastAsia="es-ES"/>
        </w:rPr>
        <w:lastRenderedPageBreak/>
        <w:t>máx[(TC</w:t>
      </w:r>
      <w:r>
        <w:rPr>
          <w:rFonts w:ascii="Arial" w:eastAsia="Arial" w:hAnsi="Arial" w:cs="Arial"/>
          <w:vertAlign w:val="subscript"/>
          <w:lang w:val="es-ES" w:eastAsia="es-ES"/>
        </w:rPr>
        <w:t>t+1</w:t>
      </w:r>
      <w:r>
        <w:rPr>
          <w:rFonts w:ascii="Arial" w:eastAsia="Arial" w:hAnsi="Arial" w:cs="Arial"/>
          <w:lang w:val="es-ES" w:eastAsia="es-ES"/>
        </w:rPr>
        <w:t xml:space="preserve"> − TC</w:t>
      </w:r>
      <w:r>
        <w:rPr>
          <w:rFonts w:ascii="Arial" w:eastAsia="Arial" w:hAnsi="Arial" w:cs="Arial"/>
          <w:vertAlign w:val="subscript"/>
          <w:lang w:val="es-ES" w:eastAsia="es-ES"/>
        </w:rPr>
        <w:t>t</w:t>
      </w:r>
      <w:r>
        <w:rPr>
          <w:rFonts w:ascii="Arial" w:eastAsia="Arial" w:hAnsi="Arial" w:cs="Arial"/>
          <w:lang w:val="es-ES" w:eastAsia="es-ES"/>
        </w:rPr>
        <w:t>)/TC</w:t>
      </w:r>
      <w:r>
        <w:rPr>
          <w:rFonts w:ascii="Arial" w:eastAsia="Arial" w:hAnsi="Arial" w:cs="Arial"/>
          <w:vertAlign w:val="subscript"/>
          <w:lang w:val="es-ES" w:eastAsia="es-ES"/>
        </w:rPr>
        <w:t>t</w:t>
      </w:r>
      <w:r>
        <w:rPr>
          <w:rFonts w:ascii="Arial" w:eastAsia="Arial" w:hAnsi="Arial" w:cs="Arial"/>
          <w:lang w:val="es-ES" w:eastAsia="es-ES"/>
        </w:rPr>
        <w:t>, 0], que vale cero cuando el guaraní se aprecia y toma el valor de la depreciación efectiva cuando el guaraní pierde valor:</w:t>
      </w:r>
    </w:p>
    <w:p w14:paraId="013CFB0F"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DRᶜᵒⁿˢ</w:t>
      </w:r>
      <w:r>
        <w:rPr>
          <w:rFonts w:ascii="Cambria Math" w:eastAsia="Arial" w:hAnsi="Cambria Math" w:cs="Cambria Math"/>
          <w:i/>
          <w:iCs/>
          <w:lang w:val="es-ES" w:eastAsia="es-ES"/>
        </w:rPr>
        <w:t>ₜ₊₁</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(USD)]/4 − máx[(TC</w:t>
      </w:r>
      <w:r>
        <w:rPr>
          <w:rFonts w:ascii="Cambria Math" w:eastAsia="Arial" w:hAnsi="Cambria Math" w:cs="Cambria Math"/>
          <w:i/>
          <w:iCs/>
          <w:lang w:val="es-ES" w:eastAsia="es-ES"/>
        </w:rPr>
        <w:t>ₜ₊₁</w:t>
      </w:r>
      <w:r>
        <w:rPr>
          <w:rFonts w:ascii="Arial" w:eastAsia="Arial" w:hAnsi="Arial" w:cs="Arial"/>
          <w:i/>
          <w:iCs/>
          <w:lang w:val="es-ES" w:eastAsia="es-ES"/>
        </w:rPr>
        <w:t xml:space="preserve"> − TC</w:t>
      </w:r>
      <w:r>
        <w:rPr>
          <w:rFonts w:ascii="Cambria Math" w:eastAsia="Arial" w:hAnsi="Cambria Math" w:cs="Cambria Math"/>
          <w:i/>
          <w:iCs/>
          <w:lang w:val="es-ES" w:eastAsia="es-ES"/>
        </w:rPr>
        <w:t>ₜ</w:t>
      </w:r>
      <w:r>
        <w:rPr>
          <w:rFonts w:ascii="Arial" w:eastAsia="Arial" w:hAnsi="Arial" w:cs="Arial"/>
          <w:i/>
          <w:iCs/>
          <w:lang w:val="es-ES" w:eastAsia="es-ES"/>
        </w:rPr>
        <w:t>)/TC</w:t>
      </w:r>
      <w:r>
        <w:rPr>
          <w:rFonts w:ascii="Cambria Math" w:eastAsia="Arial" w:hAnsi="Cambria Math" w:cs="Cambria Math"/>
          <w:i/>
          <w:iCs/>
          <w:lang w:val="es-ES" w:eastAsia="es-ES"/>
        </w:rPr>
        <w:t>ₜ</w:t>
      </w:r>
      <w:r>
        <w:rPr>
          <w:rFonts w:ascii="Arial" w:eastAsia="Arial" w:hAnsi="Arial" w:cs="Arial"/>
          <w:i/>
          <w:iCs/>
          <w:lang w:val="es-ES" w:eastAsia="es-ES"/>
        </w:rPr>
        <w:t>, 0] × 100</w:t>
      </w:r>
      <w:r>
        <w:rPr>
          <w:rFonts w:ascii="Arial" w:eastAsia="Arial" w:hAnsi="Arial" w:cs="Arial"/>
          <w:lang w:val="es-ES" w:eastAsia="es-ES"/>
        </w:rPr>
        <w:tab/>
        <w:t>(6)</w:t>
      </w:r>
    </w:p>
    <w:p w14:paraId="1B78133E"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Se calculan estadísticas descriptivas completas de ambas series (media, mediana, desvío estándar, coeficiente de variación, mínimo, máximo, asimetría y curtosis) para el período completo y para cada subperíodo. La evolución temporal se presenta en gráficos de línea con indicación del quiebre de 2011.</w:t>
      </w:r>
    </w:p>
    <w:p w14:paraId="6886EC1E"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Etapa 2: Coeficiente de Fama y validación de la medida conservadora</w:t>
      </w:r>
    </w:p>
    <w:p w14:paraId="1B1D21E4" w14:textId="79D19A85"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Estimación del coeficiente de Fama. </w:t>
      </w:r>
      <w:r>
        <w:rPr>
          <w:rFonts w:ascii="Arial" w:eastAsia="Arial" w:hAnsi="Arial" w:cs="Arial"/>
          <w:lang w:val="es-ES" w:eastAsia="es-ES"/>
        </w:rPr>
        <w:t>Se estima la regresión Δs</w:t>
      </w:r>
      <w:r>
        <w:rPr>
          <w:rFonts w:ascii="Arial" w:eastAsia="Arial" w:hAnsi="Arial" w:cs="Arial"/>
          <w:vertAlign w:val="subscript"/>
          <w:lang w:val="es-ES" w:eastAsia="es-ES"/>
        </w:rPr>
        <w:t>t+1</w:t>
      </w:r>
      <w:r>
        <w:rPr>
          <w:rFonts w:ascii="Arial" w:eastAsia="Arial" w:hAnsi="Arial" w:cs="Arial"/>
          <w:lang w:val="es-ES" w:eastAsia="es-ES"/>
        </w:rPr>
        <w:t xml:space="preserve"> = α + β·[i</w:t>
      </w:r>
      <w:r>
        <w:rPr>
          <w:rFonts w:ascii="Arial" w:eastAsia="Arial" w:hAnsi="Arial" w:cs="Arial"/>
          <w:vertAlign w:val="subscript"/>
          <w:lang w:val="es-ES" w:eastAsia="es-ES"/>
        </w:rPr>
        <w:t>t</w:t>
      </w:r>
      <w:r>
        <w:rPr>
          <w:rFonts w:ascii="Arial" w:eastAsia="Arial" w:hAnsi="Arial" w:cs="Arial"/>
          <w:lang w:val="es-ES" w:eastAsia="es-ES"/>
        </w:rPr>
        <w:t>(Gs) − i</w:t>
      </w:r>
      <w:r>
        <w:rPr>
          <w:rFonts w:ascii="Arial" w:eastAsia="Arial" w:hAnsi="Arial" w:cs="Arial"/>
          <w:vertAlign w:val="subscript"/>
          <w:lang w:val="es-ES" w:eastAsia="es-ES"/>
        </w:rPr>
        <w:t>t</w:t>
      </w:r>
      <w:r>
        <w:rPr>
          <w:rFonts w:ascii="Arial" w:eastAsia="Arial" w:hAnsi="Arial" w:cs="Arial"/>
          <w:lang w:val="es-ES" w:eastAsia="es-ES"/>
        </w:rPr>
        <w:t>(USD)]/4 + ε</w:t>
      </w:r>
      <w:r>
        <w:rPr>
          <w:rFonts w:ascii="Arial" w:eastAsia="Arial" w:hAnsi="Arial" w:cs="Arial"/>
          <w:vertAlign w:val="subscript"/>
          <w:lang w:val="es-ES" w:eastAsia="es-ES"/>
        </w:rPr>
        <w:t>t+1</w:t>
      </w:r>
      <w:r>
        <w:rPr>
          <w:rFonts w:ascii="Arial" w:eastAsia="Arial" w:hAnsi="Arial" w:cs="Arial"/>
          <w:lang w:val="es-ES" w:eastAsia="es-ES"/>
        </w:rPr>
        <w:t xml:space="preserve"> por MCO con errores HAC para el período completo y para los subperíodos pre y post 2011; el diferencial de tasas se expresa </w:t>
      </w:r>
      <w:proofErr w:type="spellStart"/>
      <w:r>
        <w:rPr>
          <w:rFonts w:ascii="Arial" w:eastAsia="Arial" w:hAnsi="Arial" w:cs="Arial"/>
          <w:lang w:val="es-ES" w:eastAsia="es-ES"/>
        </w:rPr>
        <w:t>trimestralizado</w:t>
      </w:r>
      <w:proofErr w:type="spellEnd"/>
      <w:r>
        <w:rPr>
          <w:rFonts w:ascii="Arial" w:eastAsia="Arial" w:hAnsi="Arial" w:cs="Arial"/>
          <w:lang w:val="es-ES" w:eastAsia="es-ES"/>
        </w:rPr>
        <w:t xml:space="preserve"> dividido por cuatro, en la misma frecuencia que la depreciación, de modo que β = 1 constituye el valor de referencia bajo la UIP. Un β significativamente menor que 1 confirma el incumplimiento de la UIP; la comparación de β entre subperíodos indica si el anclaje de expectativas tras 2011 modificó el grado de desviación. Esta estimación articula el Pilar 2 con el resto del diseño.</w:t>
      </w:r>
    </w:p>
    <w:p w14:paraId="47A9E1A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t xml:space="preserve">Validación de la medida conservadora. </w:t>
      </w:r>
      <w:r>
        <w:rPr>
          <w:rFonts w:ascii="Arial" w:eastAsia="Arial" w:hAnsi="Arial" w:cs="Arial"/>
          <w:lang w:val="es-ES" w:eastAsia="es-ES"/>
        </w:rPr>
        <w:t xml:space="preserve">La medida conservadora tiene una justificación económica precisa: un ahorrista que constituye un CDA en guaraníes asume </w:t>
      </w:r>
      <w:r>
        <w:rPr>
          <w:rFonts w:ascii="Arial" w:eastAsia="Arial" w:hAnsi="Arial" w:cs="Arial"/>
          <w:i/>
          <w:iCs/>
          <w:lang w:val="es-ES" w:eastAsia="es-ES"/>
        </w:rPr>
        <w:t>asimétricamente</w:t>
      </w:r>
      <w:r>
        <w:rPr>
          <w:rFonts w:ascii="Arial" w:eastAsia="Arial" w:hAnsi="Arial" w:cs="Arial"/>
          <w:lang w:val="es-ES" w:eastAsia="es-ES"/>
        </w:rPr>
        <w:t xml:space="preserve"> el riesgo de depreciación. El beneficio por apreciación no forma parte del premio estructural del guaraní, ya que es un evento favorable y transitorio ligado a condiciones externas. Al excluirlo, DR</w:t>
      </w:r>
      <w:r>
        <w:rPr>
          <w:rFonts w:ascii="Arial" w:eastAsia="Arial" w:hAnsi="Arial" w:cs="Arial"/>
          <w:vertAlign w:val="superscript"/>
          <w:lang w:val="es-ES" w:eastAsia="es-ES"/>
        </w:rPr>
        <w:t>cons</w:t>
      </w:r>
      <w:r>
        <w:rPr>
          <w:rFonts w:ascii="Arial" w:eastAsia="Arial" w:hAnsi="Arial" w:cs="Arial"/>
          <w:lang w:val="es-ES" w:eastAsia="es-ES"/>
        </w:rPr>
        <w:t xml:space="preserve"> aísla el diferencial que se sostiene incluso en escenarios cambiarios desfavorables para el tenedor en guaraníes.</w:t>
      </w:r>
    </w:p>
    <w:p w14:paraId="5B436604" w14:textId="7D91C4AF"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 hipótesis que se contrasta es unilateral: H</w:t>
      </w:r>
      <w:r>
        <w:rPr>
          <w:rFonts w:ascii="Arial" w:eastAsia="Arial" w:hAnsi="Arial" w:cs="Arial"/>
          <w:vertAlign w:val="subscript"/>
          <w:lang w:val="es-ES" w:eastAsia="es-ES"/>
        </w:rPr>
        <w:t>0</w:t>
      </w:r>
      <w:r>
        <w:rPr>
          <w:rFonts w:ascii="Arial" w:eastAsia="Arial" w:hAnsi="Arial" w:cs="Arial"/>
          <w:lang w:val="es-ES" w:eastAsia="es-ES"/>
        </w:rPr>
        <w:t>: μ(DR</w:t>
      </w:r>
      <w:r>
        <w:rPr>
          <w:rFonts w:ascii="Arial" w:eastAsia="Arial" w:hAnsi="Arial" w:cs="Arial"/>
          <w:vertAlign w:val="superscript"/>
          <w:lang w:val="es-ES" w:eastAsia="es-ES"/>
        </w:rPr>
        <w:t>cons</w:t>
      </w:r>
      <w:r>
        <w:rPr>
          <w:rFonts w:ascii="Arial" w:eastAsia="Arial" w:hAnsi="Arial" w:cs="Arial"/>
          <w:lang w:val="es-ES" w:eastAsia="es-ES"/>
        </w:rPr>
        <w:t>) ≤ 0 frente a H</w:t>
      </w:r>
      <w:r>
        <w:rPr>
          <w:rFonts w:ascii="Arial" w:eastAsia="Arial" w:hAnsi="Arial" w:cs="Arial"/>
          <w:vertAlign w:val="subscript"/>
          <w:lang w:val="es-ES" w:eastAsia="es-ES"/>
        </w:rPr>
        <w:t>A</w:t>
      </w:r>
      <w:r>
        <w:rPr>
          <w:rFonts w:ascii="Arial" w:eastAsia="Arial" w:hAnsi="Arial" w:cs="Arial"/>
          <w:lang w:val="es-ES" w:eastAsia="es-ES"/>
        </w:rPr>
        <w:t>: μ(DR</w:t>
      </w:r>
      <w:r>
        <w:rPr>
          <w:rFonts w:ascii="Arial" w:eastAsia="Arial" w:hAnsi="Arial" w:cs="Arial"/>
          <w:vertAlign w:val="superscript"/>
          <w:lang w:val="es-ES" w:eastAsia="es-ES"/>
        </w:rPr>
        <w:t>cons</w:t>
      </w:r>
      <w:r>
        <w:rPr>
          <w:rFonts w:ascii="Arial" w:eastAsia="Arial" w:hAnsi="Arial" w:cs="Arial"/>
          <w:lang w:val="es-ES" w:eastAsia="es-ES"/>
        </w:rPr>
        <w:t xml:space="preserve">) &gt; 0. Se emplea una prueba t de media muestral con corrección HAC de </w:t>
      </w:r>
      <w:proofErr w:type="spellStart"/>
      <w:r>
        <w:rPr>
          <w:rFonts w:ascii="Arial" w:eastAsia="Arial" w:hAnsi="Arial" w:cs="Arial"/>
          <w:lang w:val="es-ES" w:eastAsia="es-ES"/>
        </w:rPr>
        <w:t>NeweyWest</w:t>
      </w:r>
      <w:proofErr w:type="spellEnd"/>
      <w:r>
        <w:rPr>
          <w:rFonts w:ascii="Arial" w:eastAsia="Arial" w:hAnsi="Arial" w:cs="Arial"/>
          <w:lang w:val="es-ES" w:eastAsia="es-ES"/>
        </w:rPr>
        <w:t xml:space="preserve"> para la autocorrelación serial. El nivel de significancia es α = 0,05. Se reportan adicionalmente: el intervalo de confianza bilateral al 95 % de la media de DR</w:t>
      </w:r>
      <w:r>
        <w:rPr>
          <w:rFonts w:ascii="Arial" w:eastAsia="Arial" w:hAnsi="Arial" w:cs="Arial"/>
          <w:vertAlign w:val="superscript"/>
          <w:lang w:val="es-ES" w:eastAsia="es-ES"/>
        </w:rPr>
        <w:t>cons</w:t>
      </w:r>
      <w:r>
        <w:rPr>
          <w:rFonts w:ascii="Arial" w:eastAsia="Arial" w:hAnsi="Arial" w:cs="Arial"/>
          <w:lang w:val="es-ES" w:eastAsia="es-ES"/>
        </w:rPr>
        <w:t>, el porcentaje de trimestres con DR</w:t>
      </w:r>
      <w:r>
        <w:rPr>
          <w:rFonts w:ascii="Arial" w:eastAsia="Arial" w:hAnsi="Arial" w:cs="Arial"/>
          <w:vertAlign w:val="superscript"/>
          <w:lang w:val="es-ES" w:eastAsia="es-ES"/>
        </w:rPr>
        <w:t>cons</w:t>
      </w:r>
      <w:r>
        <w:rPr>
          <w:rFonts w:ascii="Arial" w:eastAsia="Arial" w:hAnsi="Arial" w:cs="Arial"/>
          <w:lang w:val="es-ES" w:eastAsia="es-ES"/>
        </w:rPr>
        <w:t xml:space="preserve"> &gt; 0, y la comparación de medias entre ambas series para cuantificar el sesgo </w:t>
      </w:r>
      <w:r>
        <w:rPr>
          <w:rFonts w:ascii="Arial" w:eastAsia="Arial" w:hAnsi="Arial" w:cs="Arial"/>
          <w:lang w:val="es-ES" w:eastAsia="es-ES"/>
        </w:rPr>
        <w:lastRenderedPageBreak/>
        <w:t>que introduce la apreciación en DR estándar. El año 2011 ilustra la importancia de esta distinción: el guaraní se apreció aproximadamente un 10 % frente al dólar ese año, lo que hace que DR</w:t>
      </w:r>
      <w:r>
        <w:rPr>
          <w:rFonts w:ascii="Arial" w:eastAsia="Arial" w:hAnsi="Arial" w:cs="Arial"/>
          <w:vertAlign w:val="subscript"/>
          <w:lang w:val="es-ES" w:eastAsia="es-ES"/>
        </w:rPr>
        <w:t>t+1</w:t>
      </w:r>
      <w:r>
        <w:rPr>
          <w:rFonts w:ascii="Arial" w:eastAsia="Arial" w:hAnsi="Arial" w:cs="Arial"/>
          <w:lang w:val="es-ES" w:eastAsia="es-ES"/>
        </w:rPr>
        <w:t xml:space="preserve"> registre un diferencial excepcionalmente alto que DR</w:t>
      </w:r>
      <w:r>
        <w:rPr>
          <w:rFonts w:ascii="Arial" w:eastAsia="Arial" w:hAnsi="Arial" w:cs="Arial"/>
          <w:vertAlign w:val="superscript"/>
          <w:lang w:val="es-ES" w:eastAsia="es-ES"/>
        </w:rPr>
        <w:t>cons</w:t>
      </w:r>
      <w:r>
        <w:rPr>
          <w:rFonts w:ascii="Arial" w:eastAsia="Arial" w:hAnsi="Arial" w:cs="Arial"/>
          <w:lang w:val="es-ES" w:eastAsia="es-ES"/>
        </w:rPr>
        <w:t xml:space="preserve"> descuenta.</w:t>
      </w:r>
    </w:p>
    <w:p w14:paraId="43AD7BD3"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Etapa 3: Estacionariedad y análisis de quiebre estructural</w:t>
      </w:r>
    </w:p>
    <w:p w14:paraId="7174155B" w14:textId="2184591A"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En primer lugar, se verifican las propiedades de integración de la serie DR</w:t>
      </w:r>
      <w:r>
        <w:rPr>
          <w:rFonts w:ascii="Arial" w:eastAsia="Arial" w:hAnsi="Arial" w:cs="Arial"/>
          <w:vertAlign w:val="subscript"/>
          <w:lang w:val="es-ES" w:eastAsia="es-ES"/>
        </w:rPr>
        <w:t>t+1</w:t>
      </w:r>
      <w:r>
        <w:rPr>
          <w:rFonts w:ascii="Arial" w:eastAsia="Arial" w:hAnsi="Arial" w:cs="Arial"/>
          <w:lang w:val="es-ES" w:eastAsia="es-ES"/>
        </w:rPr>
        <w:t xml:space="preserve"> con la prueba de </w:t>
      </w:r>
      <w:proofErr w:type="spellStart"/>
      <w:r>
        <w:rPr>
          <w:rFonts w:ascii="Arial" w:eastAsia="Arial" w:hAnsi="Arial" w:cs="Arial"/>
          <w:lang w:val="es-ES" w:eastAsia="es-ES"/>
        </w:rPr>
        <w:t>DickeyFuller</w:t>
      </w:r>
      <w:proofErr w:type="spellEnd"/>
      <w:r>
        <w:rPr>
          <w:rFonts w:ascii="Arial" w:eastAsia="Arial" w:hAnsi="Arial" w:cs="Arial"/>
          <w:lang w:val="es-ES" w:eastAsia="es-ES"/>
        </w:rPr>
        <w:t xml:space="preserve"> Aumentada (ADF, con rezagos seleccionados por el criterio BIC) , complementada con </w:t>
      </w:r>
      <w:proofErr w:type="spellStart"/>
      <w:r>
        <w:rPr>
          <w:rFonts w:ascii="Arial" w:eastAsia="Arial" w:hAnsi="Arial" w:cs="Arial"/>
          <w:lang w:val="es-ES" w:eastAsia="es-ES"/>
        </w:rPr>
        <w:t>PhillipsPerron</w:t>
      </w:r>
      <w:proofErr w:type="spellEnd"/>
      <w:r>
        <w:rPr>
          <w:rFonts w:ascii="Arial" w:eastAsia="Arial" w:hAnsi="Arial" w:cs="Arial"/>
          <w:lang w:val="es-ES" w:eastAsia="es-ES"/>
        </w:rPr>
        <w:t xml:space="preserve"> y con la prueba KPSS, cuya hipótesis nula invertida (estacionariedad) ofrece un contraste más informativo que dos pruebas con la misma nula. El orden de integración se verifica no solo para la variable dependiente sino para todas las variables del modelo y de la construcción de la prima (la volatilidad cambiaria, la dolarización y el diferencial de inflación empleado en la descomposición de Fisher): una regresión entre series de órdenes de integración distintos quedaría desbalanceada, y el ratio de dolarización de caída sostenida a lo largo del período es un candidato natural a raíz unitaria. La batería se aplica como secuencia de decisión: primero la integración de las series, luego la estimación, después el diagnóstico de los residuos y al final la estabilidad. No se exige análisis de cointegración, porque el mecanismo estudiado no es una relación de largo plazo. Si la serie es estacionaria en niveles I(0), se procede con las regresiones en niveles; si presenta raíz unitaria I(1), se transforma en primeras diferencias. La verificación de estacionariedad es un prerrequisito para la validez de la prueba t de medias y del modelo de la Etapa 5.</w:t>
      </w:r>
    </w:p>
    <w:p w14:paraId="0D643DBF" w14:textId="1211274E"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a) Prueba t de diferencia de medias. </w:t>
      </w:r>
      <w:r>
        <w:rPr>
          <w:rFonts w:ascii="Arial" w:eastAsia="Arial" w:hAnsi="Arial" w:cs="Arial"/>
          <w:lang w:val="es-ES" w:eastAsia="es-ES"/>
        </w:rPr>
        <w:t xml:space="preserve">Se estiman el diferencial promedio y su desvío estándar para los subperíodos </w:t>
      </w:r>
      <w:proofErr w:type="spellStart"/>
      <w:r>
        <w:rPr>
          <w:rFonts w:ascii="Arial" w:eastAsia="Arial" w:hAnsi="Arial" w:cs="Arial"/>
          <w:lang w:val="es-ES" w:eastAsia="es-ES"/>
        </w:rPr>
        <w:t>preMetas</w:t>
      </w:r>
      <w:proofErr w:type="spellEnd"/>
      <w:r>
        <w:rPr>
          <w:rFonts w:ascii="Arial" w:eastAsia="Arial" w:hAnsi="Arial" w:cs="Arial"/>
          <w:lang w:val="es-ES" w:eastAsia="es-ES"/>
        </w:rPr>
        <w:t xml:space="preserve"> de Inflación (2004:T1–2010:T4, 28 trimestres) y </w:t>
      </w:r>
      <w:proofErr w:type="spellStart"/>
      <w:r>
        <w:rPr>
          <w:rFonts w:ascii="Arial" w:eastAsia="Arial" w:hAnsi="Arial" w:cs="Arial"/>
          <w:lang w:val="es-ES" w:eastAsia="es-ES"/>
        </w:rPr>
        <w:t>postMetas</w:t>
      </w:r>
      <w:proofErr w:type="spellEnd"/>
      <w:r>
        <w:rPr>
          <w:rFonts w:ascii="Arial" w:eastAsia="Arial" w:hAnsi="Arial" w:cs="Arial"/>
          <w:lang w:val="es-ES" w:eastAsia="es-ES"/>
        </w:rPr>
        <w:t xml:space="preserve"> de Inflación (2011:T1–2024:T4, 56 trimestres), y se contrasta si la diferencia entre ambas medias es estadísticamente significativa con corrección HAC. El análisis se replica para DR</w:t>
      </w:r>
      <w:r>
        <w:rPr>
          <w:rFonts w:ascii="Arial" w:eastAsia="Arial" w:hAnsi="Arial" w:cs="Arial"/>
          <w:vertAlign w:val="subscript"/>
          <w:lang w:val="es-ES" w:eastAsia="es-ES"/>
        </w:rPr>
        <w:t>t+1</w:t>
      </w:r>
      <w:r>
        <w:rPr>
          <w:rFonts w:ascii="Arial" w:eastAsia="Arial" w:hAnsi="Arial" w:cs="Arial"/>
          <w:lang w:val="es-ES" w:eastAsia="es-ES"/>
        </w:rPr>
        <w:t xml:space="preserve"> y DR</w:t>
      </w:r>
      <w:r>
        <w:rPr>
          <w:rFonts w:ascii="Arial" w:eastAsia="Arial" w:hAnsi="Arial" w:cs="Arial"/>
          <w:vertAlign w:val="superscript"/>
          <w:lang w:val="es-ES" w:eastAsia="es-ES"/>
        </w:rPr>
        <w:t>cons</w:t>
      </w:r>
      <w:r>
        <w:rPr>
          <w:rFonts w:ascii="Arial" w:eastAsia="Arial" w:hAnsi="Arial" w:cs="Arial"/>
          <w:vertAlign w:val="subscript"/>
          <w:lang w:val="es-ES" w:eastAsia="es-ES"/>
        </w:rPr>
        <w:t>t+1</w:t>
      </w:r>
      <w:r>
        <w:rPr>
          <w:rFonts w:ascii="Arial" w:eastAsia="Arial" w:hAnsi="Arial" w:cs="Arial"/>
          <w:lang w:val="es-ES" w:eastAsia="es-ES"/>
        </w:rPr>
        <w:t xml:space="preserve">. Se advierte, no obstante, que esta prueba solo detecta cambios de nivel y no la recomposición de determinantes, que se aborda en la Etapa 5. Asimismo, el subperíodo </w:t>
      </w:r>
      <w:proofErr w:type="spellStart"/>
      <w:r>
        <w:rPr>
          <w:rFonts w:ascii="Arial" w:eastAsia="Arial" w:hAnsi="Arial" w:cs="Arial"/>
          <w:lang w:val="es-ES" w:eastAsia="es-ES"/>
        </w:rPr>
        <w:t>preMetas</w:t>
      </w:r>
      <w:proofErr w:type="spellEnd"/>
      <w:r>
        <w:rPr>
          <w:rFonts w:ascii="Arial" w:eastAsia="Arial" w:hAnsi="Arial" w:cs="Arial"/>
          <w:lang w:val="es-ES" w:eastAsia="es-ES"/>
        </w:rPr>
        <w:t xml:space="preserve"> de Inflación cuenta con 28 trimestres, una ventana más </w:t>
      </w:r>
      <w:r>
        <w:rPr>
          <w:rFonts w:ascii="Arial" w:eastAsia="Arial" w:hAnsi="Arial" w:cs="Arial"/>
          <w:lang w:val="es-ES" w:eastAsia="es-ES"/>
        </w:rPr>
        <w:lastRenderedPageBreak/>
        <w:t>acotada que la del subperíodo posterior; ello reduce la potencia estadística de las comparaciones referidas a la etapa previa a 2011, limitación que se tiene en cuenta al interpretar los resultados.</w:t>
      </w:r>
    </w:p>
    <w:p w14:paraId="59A17B43" w14:textId="4EC1CE7F"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i/>
          <w:iCs/>
          <w:lang w:val="es-ES" w:eastAsia="es-ES"/>
        </w:rPr>
        <w:t xml:space="preserve">b) Pruebas de quiebre estructural de Bai y Perron (1998). </w:t>
      </w:r>
      <w:r>
        <w:rPr>
          <w:rFonts w:ascii="Arial" w:eastAsia="Arial" w:hAnsi="Arial" w:cs="Arial"/>
          <w:lang w:val="es-ES" w:eastAsia="es-ES"/>
        </w:rPr>
        <w:t xml:space="preserve">Se aplica el procedimiento de </w:t>
      </w:r>
      <w:proofErr w:type="spellStart"/>
      <w:r>
        <w:rPr>
          <w:rFonts w:ascii="Arial" w:eastAsia="Arial" w:hAnsi="Arial" w:cs="Arial"/>
          <w:lang w:val="es-ES" w:eastAsia="es-ES"/>
        </w:rPr>
        <w:t>BaiPerron</w:t>
      </w:r>
      <w:proofErr w:type="spellEnd"/>
      <w:r>
        <w:rPr>
          <w:rFonts w:ascii="Arial" w:eastAsia="Arial" w:hAnsi="Arial" w:cs="Arial"/>
          <w:lang w:val="es-ES" w:eastAsia="es-ES"/>
        </w:rPr>
        <w:t xml:space="preserve"> para detectar múltiples quiebres estructurales </w:t>
      </w:r>
      <w:r>
        <w:rPr>
          <w:rFonts w:ascii="Arial" w:eastAsia="Arial" w:hAnsi="Arial" w:cs="Arial"/>
          <w:i/>
          <w:iCs/>
          <w:lang w:val="es-ES" w:eastAsia="es-ES"/>
        </w:rPr>
        <w:t>desconocidos</w:t>
      </w:r>
      <w:r>
        <w:rPr>
          <w:rFonts w:ascii="Arial" w:eastAsia="Arial" w:hAnsi="Arial" w:cs="Arial"/>
          <w:lang w:val="es-ES" w:eastAsia="es-ES"/>
        </w:rPr>
        <w:t xml:space="preserve"> en la serie DR</w:t>
      </w:r>
      <w:r>
        <w:rPr>
          <w:rFonts w:ascii="Arial" w:eastAsia="Arial" w:hAnsi="Arial" w:cs="Arial"/>
          <w:vertAlign w:val="subscript"/>
          <w:lang w:val="es-ES" w:eastAsia="es-ES"/>
        </w:rPr>
        <w:t>t+1</w:t>
      </w:r>
      <w:r>
        <w:rPr>
          <w:rFonts w:ascii="Arial" w:eastAsia="Arial" w:hAnsi="Arial" w:cs="Arial"/>
          <w:lang w:val="es-ES" w:eastAsia="es-ES"/>
        </w:rPr>
        <w:t xml:space="preserve">, sin imponer a priori la fecha 2011. Este procedimiento estima endógenamente las fechas de quiebre con sus intervalos de confianza al 95 %, y contrasta el número óptimo de rupturas mediante los estadísticos UDmax y WDmax. Si el procedimiento identifica un quiebre cercano a 2011, se confirma el rol del cambio de régimen; si detecta rupturas en otras fechas (la crisis global de 20082009, la caída de </w:t>
      </w:r>
      <w:proofErr w:type="spellStart"/>
      <w:r>
        <w:rPr>
          <w:rFonts w:ascii="Arial" w:eastAsia="Arial" w:hAnsi="Arial" w:cs="Arial"/>
          <w:lang w:val="es-ES" w:eastAsia="es-ES"/>
        </w:rPr>
        <w:t>commodities</w:t>
      </w:r>
      <w:proofErr w:type="spellEnd"/>
      <w:r>
        <w:rPr>
          <w:rFonts w:ascii="Arial" w:eastAsia="Arial" w:hAnsi="Arial" w:cs="Arial"/>
          <w:lang w:val="es-ES" w:eastAsia="es-ES"/>
        </w:rPr>
        <w:t xml:space="preserve"> de 20142016 o la pandemia de 2020), la narrativa se ajustará en consecuencia.</w:t>
      </w:r>
    </w:p>
    <w:p w14:paraId="23029FFE" w14:textId="6D5AF13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Etapa 4: Descomposición del diferencial  Fisher vs. prima de riesgo</w:t>
      </w:r>
    </w:p>
    <w:p w14:paraId="36C0A745"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Para determinar si la adopción de Metas de Inflación comprimió el diferencial vía la prima de inflación, vía la prima de riesgo, o ambas, se aplica la descomposición de Fisher (Fisher, 1930) al diferencial de tasas nominales observado:</w:t>
      </w:r>
    </w:p>
    <w:p w14:paraId="17DDCD4C"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(π</w:t>
      </w:r>
      <w:r>
        <w:rPr>
          <w:rFonts w:ascii="Cambria Math" w:eastAsia="Arial" w:hAnsi="Cambria Math" w:cs="Cambria Math"/>
          <w:i/>
          <w:iCs/>
          <w:lang w:val="es-ES" w:eastAsia="es-ES"/>
        </w:rPr>
        <w:t>ₜ</w:t>
      </w:r>
      <w:r>
        <w:rPr>
          <w:rFonts w:ascii="Arial" w:eastAsia="Arial" w:hAnsi="Arial" w:cs="Arial"/>
          <w:i/>
          <w:iCs/>
          <w:lang w:val="es-ES" w:eastAsia="es-ES"/>
        </w:rPr>
        <w:t>,PY − π</w:t>
      </w:r>
      <w:r>
        <w:rPr>
          <w:rFonts w:ascii="Cambria Math" w:eastAsia="Arial" w:hAnsi="Cambria Math" w:cs="Cambria Math"/>
          <w:i/>
          <w:iCs/>
          <w:lang w:val="es-ES" w:eastAsia="es-ES"/>
        </w:rPr>
        <w:t>ₜ</w:t>
      </w:r>
      <w:r>
        <w:rPr>
          <w:rFonts w:ascii="Arial" w:eastAsia="Arial" w:hAnsi="Arial" w:cs="Arial"/>
          <w:i/>
          <w:iCs/>
          <w:lang w:val="es-ES" w:eastAsia="es-ES"/>
        </w:rPr>
        <w:t>,US) + (r</w:t>
      </w:r>
      <w:r>
        <w:rPr>
          <w:rFonts w:ascii="Cambria Math" w:eastAsia="Arial" w:hAnsi="Cambria Math" w:cs="Cambria Math"/>
          <w:i/>
          <w:iCs/>
          <w:lang w:val="es-ES" w:eastAsia="es-ES"/>
        </w:rPr>
        <w:t>ₜ</w:t>
      </w:r>
      <w:r>
        <w:rPr>
          <w:rFonts w:ascii="Arial" w:eastAsia="Arial" w:hAnsi="Arial" w:cs="Arial"/>
          <w:i/>
          <w:iCs/>
          <w:lang w:val="es-ES" w:eastAsia="es-ES"/>
        </w:rPr>
        <w:t>,Gs − r</w:t>
      </w:r>
      <w:r>
        <w:rPr>
          <w:rFonts w:ascii="Cambria Math" w:eastAsia="Arial" w:hAnsi="Cambria Math" w:cs="Cambria Math"/>
          <w:i/>
          <w:iCs/>
          <w:lang w:val="es-ES" w:eastAsia="es-ES"/>
        </w:rPr>
        <w:t>ₜ</w:t>
      </w:r>
      <w:r>
        <w:rPr>
          <w:rFonts w:ascii="Arial" w:eastAsia="Arial" w:hAnsi="Arial" w:cs="Arial"/>
          <w:i/>
          <w:iCs/>
          <w:lang w:val="es-ES" w:eastAsia="es-ES"/>
        </w:rPr>
        <w:t>,USD)</w:t>
      </w:r>
      <w:r>
        <w:rPr>
          <w:rFonts w:ascii="Arial" w:eastAsia="Arial" w:hAnsi="Arial" w:cs="Arial"/>
          <w:lang w:val="es-ES" w:eastAsia="es-ES"/>
        </w:rPr>
        <w:tab/>
        <w:t>(7)</w:t>
      </w:r>
    </w:p>
    <w:p w14:paraId="33199E2C"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El componente de inflación esperada se aproxima con el diferencial de inflación observado (π</w:t>
      </w:r>
      <w:r>
        <w:rPr>
          <w:rFonts w:ascii="Arial" w:eastAsia="Arial" w:hAnsi="Arial" w:cs="Arial"/>
          <w:vertAlign w:val="subscript"/>
          <w:lang w:val="es-ES" w:eastAsia="es-ES"/>
        </w:rPr>
        <w:t>t,PY</w:t>
      </w:r>
      <w:r>
        <w:rPr>
          <w:rFonts w:ascii="Arial" w:eastAsia="Arial" w:hAnsi="Arial" w:cs="Arial"/>
          <w:lang w:val="es-ES" w:eastAsia="es-ES"/>
        </w:rPr>
        <w:t xml:space="preserve"> − π</w:t>
      </w:r>
      <w:r>
        <w:rPr>
          <w:rFonts w:ascii="Arial" w:eastAsia="Arial" w:hAnsi="Arial" w:cs="Arial"/>
          <w:vertAlign w:val="subscript"/>
          <w:lang w:val="es-ES" w:eastAsia="es-ES"/>
        </w:rPr>
        <w:t>t,US</w:t>
      </w:r>
      <w:r>
        <w:rPr>
          <w:rFonts w:ascii="Arial" w:eastAsia="Arial" w:hAnsi="Arial" w:cs="Arial"/>
          <w:lang w:val="es-ES" w:eastAsia="es-ES"/>
        </w:rPr>
        <w:t>). Este proxy introduce un error de medición (ε</w:t>
      </w:r>
      <w:r>
        <w:rPr>
          <w:rFonts w:ascii="Arial" w:eastAsia="Arial" w:hAnsi="Arial" w:cs="Arial"/>
          <w:vertAlign w:val="subscript"/>
          <w:lang w:val="es-ES" w:eastAsia="es-ES"/>
        </w:rPr>
        <w:t>t</w:t>
      </w:r>
      <w:r>
        <w:rPr>
          <w:rFonts w:ascii="Arial" w:eastAsia="Arial" w:hAnsi="Arial" w:cs="Arial"/>
          <w:lang w:val="es-ES" w:eastAsia="es-ES"/>
        </w:rPr>
        <w:t>) dado que la inflación observada no es idéntica a la esperada, pero es el estándar habitual en la literatura empírica. La prima de riesgo real estimada en cada trimestre se define como el residuo de la descomposición:</w:t>
      </w:r>
    </w:p>
    <w:p w14:paraId="78D5D559" w14:textId="77777777" w:rsidR="00D27E85" w:rsidRPr="00DF3903" w:rsidRDefault="00D27E85" w:rsidP="00D27E85">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rp</w:t>
      </w:r>
      <w:r>
        <w:rPr>
          <w:rFonts w:ascii="Cambria Math" w:eastAsia="Arial" w:hAnsi="Cambria Math" w:cs="Cambria Math"/>
          <w:i/>
          <w:iCs/>
          <w:lang w:val="es-ES" w:eastAsia="es-ES"/>
        </w:rPr>
        <w:t>ₜ</w:t>
      </w:r>
      <w:r>
        <w:rPr>
          <w:rFonts w:ascii="Arial" w:eastAsia="Arial" w:hAnsi="Arial" w:cs="Arial"/>
          <w:i/>
          <w:iCs/>
          <w:lang w:val="es-ES" w:eastAsia="es-ES"/>
        </w:rPr>
        <w:t xml:space="preserve"> = [i</w:t>
      </w:r>
      <w:r>
        <w:rPr>
          <w:rFonts w:ascii="Cambria Math" w:eastAsia="Arial" w:hAnsi="Cambria Math" w:cs="Cambria Math"/>
          <w:i/>
          <w:iCs/>
          <w:lang w:val="es-ES" w:eastAsia="es-ES"/>
        </w:rPr>
        <w:t>ₜ</w:t>
      </w:r>
      <w:r>
        <w:rPr>
          <w:rFonts w:ascii="Arial" w:eastAsia="Arial" w:hAnsi="Arial" w:cs="Arial"/>
          <w:i/>
          <w:iCs/>
          <w:lang w:val="es-ES" w:eastAsia="es-ES"/>
        </w:rPr>
        <w:t>(Gs) − i</w:t>
      </w:r>
      <w:r>
        <w:rPr>
          <w:rFonts w:ascii="Cambria Math" w:eastAsia="Arial" w:hAnsi="Cambria Math" w:cs="Cambria Math"/>
          <w:i/>
          <w:iCs/>
          <w:lang w:val="es-ES" w:eastAsia="es-ES"/>
        </w:rPr>
        <w:t>ₜ</w:t>
      </w:r>
      <w:r>
        <w:rPr>
          <w:rFonts w:ascii="Arial" w:eastAsia="Arial" w:hAnsi="Arial" w:cs="Arial"/>
          <w:i/>
          <w:iCs/>
          <w:lang w:val="es-ES" w:eastAsia="es-ES"/>
        </w:rPr>
        <w:t>(USD)] − (π</w:t>
      </w:r>
      <w:r>
        <w:rPr>
          <w:rFonts w:ascii="Cambria Math" w:eastAsia="Arial" w:hAnsi="Cambria Math" w:cs="Cambria Math"/>
          <w:i/>
          <w:iCs/>
          <w:lang w:val="es-ES" w:eastAsia="es-ES"/>
        </w:rPr>
        <w:t>ₜ</w:t>
      </w:r>
      <w:r>
        <w:rPr>
          <w:rFonts w:ascii="Arial" w:eastAsia="Arial" w:hAnsi="Arial" w:cs="Arial"/>
          <w:i/>
          <w:iCs/>
          <w:lang w:val="es-ES" w:eastAsia="es-ES"/>
        </w:rPr>
        <w:t>,PY − π</w:t>
      </w:r>
      <w:r>
        <w:rPr>
          <w:rFonts w:ascii="Cambria Math" w:eastAsia="Arial" w:hAnsi="Cambria Math" w:cs="Cambria Math"/>
          <w:i/>
          <w:iCs/>
          <w:lang w:val="es-ES" w:eastAsia="es-ES"/>
        </w:rPr>
        <w:t>ₜ</w:t>
      </w:r>
      <w:r>
        <w:rPr>
          <w:rFonts w:ascii="Arial" w:eastAsia="Arial" w:hAnsi="Arial" w:cs="Arial"/>
          <w:i/>
          <w:iCs/>
          <w:lang w:val="es-ES" w:eastAsia="es-ES"/>
        </w:rPr>
        <w:t>,US)</w:t>
      </w:r>
      <w:r>
        <w:rPr>
          <w:rFonts w:ascii="Arial" w:eastAsia="Arial" w:hAnsi="Arial" w:cs="Arial"/>
          <w:lang w:val="es-ES" w:eastAsia="es-ES"/>
        </w:rPr>
        <w:tab/>
        <w:t>(8)</w:t>
      </w:r>
    </w:p>
    <w:p w14:paraId="3E66AF98" w14:textId="7C1BB640"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Se calcula rp</w:t>
      </w:r>
      <w:r>
        <w:rPr>
          <w:rFonts w:ascii="Arial" w:eastAsia="Arial" w:hAnsi="Arial" w:cs="Arial"/>
          <w:vertAlign w:val="subscript"/>
          <w:lang w:val="es-ES" w:eastAsia="es-ES"/>
        </w:rPr>
        <w:t>t</w:t>
      </w:r>
      <w:r>
        <w:rPr>
          <w:rFonts w:ascii="Arial" w:eastAsia="Arial" w:hAnsi="Arial" w:cs="Arial"/>
          <w:lang w:val="es-ES" w:eastAsia="es-ES"/>
        </w:rPr>
        <w:t xml:space="preserve"> para cada trimestre y se compara su proporción dentro del diferencial nominal total para los subperíodos pre y post 2011. Si el régimen de metas funcionó como predice la teoría, la prima de inflación debería representar una fracción menor del diferencial post2011, mientras que la prima de riesgo real podría persistir o ganar peso relativo. Los resultados se presentan con estadísticas de media y desvío estándar para cada </w:t>
      </w:r>
      <w:r>
        <w:rPr>
          <w:rFonts w:ascii="Arial" w:eastAsia="Arial" w:hAnsi="Arial" w:cs="Arial"/>
          <w:lang w:val="es-ES" w:eastAsia="es-ES"/>
        </w:rPr>
        <w:lastRenderedPageBreak/>
        <w:t xml:space="preserve">componente y subperíodo, junto con una prueba t de diferencia de medias. Esta etapa documenta la </w:t>
      </w:r>
      <w:r>
        <w:rPr>
          <w:rFonts w:ascii="Arial" w:eastAsia="Arial" w:hAnsi="Arial" w:cs="Arial"/>
          <w:i/>
          <w:iCs/>
          <w:lang w:val="es-ES" w:eastAsia="es-ES"/>
        </w:rPr>
        <w:t>primera capa</w:t>
      </w:r>
      <w:r>
        <w:rPr>
          <w:rFonts w:ascii="Arial" w:eastAsia="Arial" w:hAnsi="Arial" w:cs="Arial"/>
          <w:lang w:val="es-ES" w:eastAsia="es-ES"/>
        </w:rPr>
        <w:t xml:space="preserve"> de la recomposición (inflación vs. riesgo); la segunda capa (depreciación vs. iliquidez, dentro de la prima de riesgo) se identifica econométricamente en la Etapa 5.</w:t>
      </w:r>
    </w:p>
    <w:p w14:paraId="046B223B" w14:textId="4E2BBD78"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Etapa 5: Modelo de regresión MCOHAC con interacciones</w:t>
      </w:r>
    </w:p>
    <w:p w14:paraId="1D0CD3E7" w14:textId="7F10871F"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identificación de la recomposición exige un modelo capaz de detectar cambios en el </w:t>
      </w:r>
      <w:r>
        <w:rPr>
          <w:rFonts w:ascii="Arial" w:eastAsia="Arial" w:hAnsi="Arial" w:cs="Arial"/>
          <w:i/>
          <w:iCs/>
          <w:lang w:val="es-ES" w:eastAsia="es-ES"/>
        </w:rPr>
        <w:t>peso</w:t>
      </w:r>
      <w:r>
        <w:rPr>
          <w:rFonts w:ascii="Arial" w:eastAsia="Arial" w:hAnsi="Arial" w:cs="Arial"/>
          <w:lang w:val="es-ES" w:eastAsia="es-ES"/>
        </w:rPr>
        <w:t xml:space="preserve"> de cada determinante, no solo un cambio de nivel. Una indicadora aditiva D2011 capta únicamente un salto en el promedio del diferencial; para contrastar si el peso del riesgo de depreciación cae y el de la iliquidez sube tras 2011 se requieren </w:t>
      </w:r>
      <w:r>
        <w:rPr>
          <w:rFonts w:ascii="Arial" w:eastAsia="Arial" w:hAnsi="Arial" w:cs="Arial"/>
          <w:b/>
          <w:bCs/>
          <w:lang w:val="es-ES" w:eastAsia="es-ES"/>
        </w:rPr>
        <w:t>términos de interacción</w:t>
      </w:r>
      <w:r>
        <w:rPr>
          <w:rFonts w:ascii="Arial" w:eastAsia="Arial" w:hAnsi="Arial" w:cs="Arial"/>
          <w:lang w:val="es-ES" w:eastAsia="es-ES"/>
        </w:rPr>
        <w:t xml:space="preserve">. El modelo se estima por MCO con errores HAC </w:t>
      </w:r>
      <w:proofErr w:type="spellStart"/>
      <w:r>
        <w:rPr>
          <w:rFonts w:ascii="Arial" w:eastAsia="Arial" w:hAnsi="Arial" w:cs="Arial"/>
          <w:lang w:val="es-ES" w:eastAsia="es-ES"/>
        </w:rPr>
        <w:t>NeweyWest</w:t>
      </w:r>
      <w:proofErr w:type="spellEnd"/>
      <w:r>
        <w:rPr>
          <w:rFonts w:ascii="Arial" w:eastAsia="Arial" w:hAnsi="Arial" w:cs="Arial"/>
          <w:lang w:val="es-ES" w:eastAsia="es-ES"/>
        </w:rPr>
        <w:t xml:space="preserve"> (Newey &amp; West, 1987):</w:t>
      </w:r>
    </w:p>
    <w:p w14:paraId="102A0DAD" w14:textId="77777777" w:rsidR="00AC5DC1" w:rsidRDefault="00000000">
      <w:pPr>
        <w:tabs>
          <w:tab w:val="center" w:pos="4320"/>
          <w:tab w:val="right" w:pos="9026"/>
        </w:tabs>
        <w:spacing w:before="120" w:after="120" w:line="480" w:lineRule="auto"/>
        <w:rPr>
          <w:rFonts w:ascii="Arial" w:eastAsia="Arial" w:hAnsi="Arial" w:cs="Arial"/>
          <w:lang w:val="es-ES" w:eastAsia="es-ES"/>
        </w:rPr>
      </w:pPr>
      <w:r>
        <w:rPr>
          <w:rFonts w:ascii="Arial" w:eastAsia="Arial" w:hAnsi="Arial" w:cs="Arial"/>
          <w:lang w:val="es-ES" w:eastAsia="es-ES"/>
        </w:rPr>
        <w:tab/>
      </w:r>
      <w:r>
        <w:rPr>
          <w:rFonts w:ascii="Arial" w:eastAsia="Arial" w:hAnsi="Arial" w:cs="Arial"/>
          <w:i/>
          <w:iCs/>
          <w:lang w:val="es-ES" w:eastAsia="es-ES"/>
        </w:rPr>
        <w:t>rpₜ = β₀ + β₂·VolTCᶜₜ + β₃·Iliqᶜₜ + β₄·D2011 + β₅·(D2011×VolTCᶜₜ) + β₆·(D2011×Iliqᶜₜ) + εₜ</w:t>
      </w:r>
      <w:r>
        <w:rPr>
          <w:rFonts w:ascii="Arial" w:eastAsia="Arial" w:hAnsi="Arial" w:cs="Arial"/>
          <w:lang w:val="es-ES" w:eastAsia="es-ES"/>
        </w:rPr>
        <w:tab/>
        <w:t>(9)</w:t>
      </w:r>
    </w:p>
    <w:p w14:paraId="385B67A3" w14:textId="1B72B9D4"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Dos decisiones de especificación gobiernan la ecuación (9). Primera: la variable dependiente es el diferencial real residual </w:t>
      </w:r>
      <w:proofErr w:type="spellStart"/>
      <w:r>
        <w:rPr>
          <w:rFonts w:ascii="Arial" w:eastAsia="Arial" w:hAnsi="Arial" w:cs="Arial"/>
          <w:lang w:val="es-ES" w:eastAsia="es-ES"/>
        </w:rPr>
        <w:t>rp</w:t>
      </w:r>
      <w:proofErr w:type="spellEnd"/>
      <w:r>
        <w:rPr>
          <w:rFonts w:ascii="Arial" w:eastAsia="Arial" w:hAnsi="Arial" w:cs="Arial"/>
          <w:lang w:val="es-ES" w:eastAsia="es-ES"/>
        </w:rPr>
        <w:t xml:space="preserve">ₜ (ecuación 8) empleado como proxy de la prima de riesgo; además de la prima propiamente dicha, recoge errores de expectativas y primas de liquidez, crédito y plazo, error de medición que se declara, y no el diferencial de retornos completo. El diferencial contiene por construcción al diferencial de inflación (ecuación 7), de modo que regresarlo sobre esa misma variable generaría una circularidad; con rpₜ como dependiente, el diferencial de inflación queda excluido del lado derecho y la variable explicada es exactamente aquello que la hipótesis afirma que se recompone. Segunda: las variables VolTC e Iliq entran centradas en su media muestral (superíndice c), de modo que β₄ mida el cambio de nivel de la prima entre regímenes evaluado en valores promedio de los determinantes, y no en el punto económicamente imposible en que la volatilidad y la dolarización valen cero. El diferencial de inflación que en una formulación sobre el diferencial completo sería el regresor β₁ queda excluido del lado derecho al </w:t>
      </w:r>
      <w:r>
        <w:rPr>
          <w:rFonts w:ascii="Arial" w:eastAsia="Arial" w:hAnsi="Arial" w:cs="Arial"/>
          <w:lang w:val="es-ES" w:eastAsia="es-ES"/>
        </w:rPr>
        <w:lastRenderedPageBreak/>
        <w:t>adoptar rpₜ como dependiente: ninguna especificación del modelo emplea la inflación como variable explicativa, lo que elimina por construcción la circularidad de Fisher.</w:t>
      </w:r>
    </w:p>
    <w:p w14:paraId="25A39E20"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Las variables y los signos esperados se definen del siguiente modo:</w:t>
      </w:r>
    </w:p>
    <w:p w14:paraId="10F5F729"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rpₜ (variable dependiente): prima de riesgo residual definida en la ecuación (8), igual al diferencial de tasas menos el diferencial de inflación interanual; el diferencial de inflación no integra el lado derecho del modelo.</w:t>
      </w:r>
    </w:p>
    <w:p w14:paraId="4717A8F3" w14:textId="381CAAFF"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VolTC</w:t>
      </w:r>
      <w:r>
        <w:rPr>
          <w:rFonts w:ascii="Arial" w:eastAsia="Arial" w:hAnsi="Arial" w:cs="Arial"/>
          <w:b/>
          <w:bCs/>
          <w:vertAlign w:val="subscript"/>
          <w:lang w:val="es-ES" w:eastAsia="es-ES"/>
        </w:rPr>
        <w:t>t</w:t>
      </w:r>
      <w:r>
        <w:rPr>
          <w:rFonts w:ascii="Arial" w:eastAsia="Arial" w:hAnsi="Arial" w:cs="Arial"/>
          <w:lang w:val="es-ES" w:eastAsia="es-ES"/>
        </w:rPr>
        <w:t>: desvío estándar de la depreciación trimestral del guaraní sobre una ventana móvil de ocho trimestres; aproxima el riesgo de depreciación cambiaria. Se espera β</w:t>
      </w:r>
      <w:r>
        <w:rPr>
          <w:rFonts w:ascii="Arial" w:eastAsia="Arial" w:hAnsi="Arial" w:cs="Arial"/>
          <w:vertAlign w:val="subscript"/>
          <w:lang w:val="es-ES" w:eastAsia="es-ES"/>
        </w:rPr>
        <w:t>2</w:t>
      </w:r>
      <w:r>
        <w:rPr>
          <w:rFonts w:ascii="Arial" w:eastAsia="Arial" w:hAnsi="Arial" w:cs="Arial"/>
          <w:lang w:val="es-ES" w:eastAsia="es-ES"/>
        </w:rPr>
        <w:t xml:space="preserve"> &gt; 0 (su efecto en el período pre2011).</w:t>
      </w:r>
    </w:p>
    <w:p w14:paraId="71B94FEF"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Iliq</w:t>
      </w:r>
      <w:r>
        <w:rPr>
          <w:rFonts w:ascii="Arial" w:eastAsia="Arial" w:hAnsi="Arial" w:cs="Arial"/>
          <w:b/>
          <w:bCs/>
          <w:vertAlign w:val="subscript"/>
          <w:lang w:val="es-ES" w:eastAsia="es-ES"/>
        </w:rPr>
        <w:t>t</w:t>
      </w:r>
      <w:r>
        <w:rPr>
          <w:rFonts w:ascii="Arial" w:eastAsia="Arial" w:hAnsi="Arial" w:cs="Arial"/>
          <w:lang w:val="es-ES" w:eastAsia="es-ES"/>
        </w:rPr>
        <w:t>: ratio de dolarización de depósitos del sistema bancario (proxy de iliquidez/segmentación; robustez con brecha de encaje Gs/USD). Aproxima el riesgo de iliquidez del mercado de fondos prestables. Se espera β</w:t>
      </w:r>
      <w:r>
        <w:rPr>
          <w:rFonts w:ascii="Arial" w:eastAsia="Arial" w:hAnsi="Arial" w:cs="Arial"/>
          <w:vertAlign w:val="subscript"/>
          <w:lang w:val="es-ES" w:eastAsia="es-ES"/>
        </w:rPr>
        <w:t>3</w:t>
      </w:r>
      <w:r>
        <w:rPr>
          <w:rFonts w:ascii="Arial" w:eastAsia="Arial" w:hAnsi="Arial" w:cs="Arial"/>
          <w:lang w:val="es-ES" w:eastAsia="es-ES"/>
        </w:rPr>
        <w:t xml:space="preserve"> &gt; 0.</w:t>
      </w:r>
    </w:p>
    <w:p w14:paraId="6D3C85F9" w14:textId="6FBF4CB3"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D2011: variable binaria igual a 1 desde 2011:T1 y 0 antes; capta el cambio de nivel de la prima asociado al régimen (β₄), evaluado por el centrado en los valores promedio de los determinantes. La fecha se fija por el evento institucional discreto (Resolución N.º 22, Acta N.º 31, del 18 de mayo de 2011). Dado que las pruebas de quiebre con fecha endógena pueden ubicar la ruptura dominante de la serie en otros episodios en particular la crisis financiera global de 2008–2009, la indicadora se interpreta como marca del cambio de régimen monetario y no como el punto de máxima inestabilidad estadística de la serie; la distinción se explicita al reportar los resultados.</w:t>
      </w:r>
    </w:p>
    <w:p w14:paraId="45EC8EED"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D2011×VolTC</w:t>
      </w:r>
      <w:r>
        <w:rPr>
          <w:rFonts w:ascii="Arial" w:eastAsia="Arial" w:hAnsi="Arial" w:cs="Arial"/>
          <w:b/>
          <w:bCs/>
          <w:vertAlign w:val="subscript"/>
          <w:lang w:val="es-ES" w:eastAsia="es-ES"/>
        </w:rPr>
        <w:t>t</w:t>
      </w:r>
      <w:r>
        <w:rPr>
          <w:rFonts w:ascii="Arial" w:eastAsia="Arial" w:hAnsi="Arial" w:cs="Arial"/>
          <w:lang w:val="es-ES" w:eastAsia="es-ES"/>
        </w:rPr>
        <w:t>: interacción que mide el cambio en el peso del riesgo de depreciación tras 2011. La hipótesis de recomposición predice β</w:t>
      </w:r>
      <w:r>
        <w:rPr>
          <w:rFonts w:ascii="Arial" w:eastAsia="Arial" w:hAnsi="Arial" w:cs="Arial"/>
          <w:vertAlign w:val="subscript"/>
          <w:lang w:val="es-ES" w:eastAsia="es-ES"/>
        </w:rPr>
        <w:t>5</w:t>
      </w:r>
      <w:r>
        <w:rPr>
          <w:rFonts w:ascii="Arial" w:eastAsia="Arial" w:hAnsi="Arial" w:cs="Arial"/>
          <w:lang w:val="es-ES" w:eastAsia="es-ES"/>
        </w:rPr>
        <w:t xml:space="preserve"> &lt; 0 (el anclaje de expectativas reduce la sensibilidad del diferencial a la volatilidad cambiaria).</w:t>
      </w:r>
    </w:p>
    <w:p w14:paraId="1F34027A" w14:textId="77777777" w:rsidR="00D27E85" w:rsidRPr="00DF3903" w:rsidRDefault="00D27E85" w:rsidP="00D27E85">
      <w:pPr>
        <w:numPr>
          <w:ilvl w:val="0"/>
          <w:numId w:val="30"/>
        </w:numPr>
        <w:spacing w:after="80" w:line="480" w:lineRule="auto"/>
        <w:jc w:val="both"/>
        <w:rPr>
          <w:rFonts w:ascii="Arial" w:eastAsia="Arial" w:hAnsi="Arial" w:cs="Arial"/>
          <w:lang w:val="es-ES" w:eastAsia="es-ES"/>
        </w:rPr>
      </w:pPr>
      <w:r>
        <w:rPr>
          <w:rFonts w:ascii="Arial" w:eastAsia="Arial" w:hAnsi="Arial" w:cs="Arial"/>
          <w:b/>
          <w:bCs/>
          <w:lang w:val="es-ES" w:eastAsia="es-ES"/>
        </w:rPr>
        <w:t>D2011×Iliq</w:t>
      </w:r>
      <w:r>
        <w:rPr>
          <w:rFonts w:ascii="Arial" w:eastAsia="Arial" w:hAnsi="Arial" w:cs="Arial"/>
          <w:b/>
          <w:bCs/>
          <w:vertAlign w:val="subscript"/>
          <w:lang w:val="es-ES" w:eastAsia="es-ES"/>
        </w:rPr>
        <w:t>t</w:t>
      </w:r>
      <w:r>
        <w:rPr>
          <w:rFonts w:ascii="Arial" w:eastAsia="Arial" w:hAnsi="Arial" w:cs="Arial"/>
          <w:lang w:val="es-ES" w:eastAsia="es-ES"/>
        </w:rPr>
        <w:t>: interacción que mide el cambio en el peso del riesgo de iliquidez tras 2011. La hipótesis predice β</w:t>
      </w:r>
      <w:r>
        <w:rPr>
          <w:rFonts w:ascii="Arial" w:eastAsia="Arial" w:hAnsi="Arial" w:cs="Arial"/>
          <w:vertAlign w:val="subscript"/>
          <w:lang w:val="es-ES" w:eastAsia="es-ES"/>
        </w:rPr>
        <w:t>6</w:t>
      </w:r>
      <w:r>
        <w:rPr>
          <w:rFonts w:ascii="Arial" w:eastAsia="Arial" w:hAnsi="Arial" w:cs="Arial"/>
          <w:lang w:val="es-ES" w:eastAsia="es-ES"/>
        </w:rPr>
        <w:t xml:space="preserve"> &gt; 0 (la iliquidez pasa a dominar la prima de riesgo que sobrevive).</w:t>
      </w:r>
    </w:p>
    <w:p w14:paraId="294FB6C6"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b/>
          <w:bCs/>
          <w:i/>
          <w:iCs/>
          <w:lang w:val="es-ES" w:eastAsia="es-ES"/>
        </w:rPr>
        <w:lastRenderedPageBreak/>
        <w:t xml:space="preserve">Sistema de hipótesis estadísticas (operacionalización de la hipótesis de investigación de la Sección 6). </w:t>
      </w:r>
      <w:r>
        <w:rPr>
          <w:rFonts w:ascii="Arial" w:eastAsia="Arial" w:hAnsi="Arial" w:cs="Arial"/>
          <w:lang w:val="es-ES" w:eastAsia="es-ES"/>
        </w:rPr>
        <w:t>La recomposición se contrasta sobre los coeficientes de interacción, no sobre el nivel del diferencial:</w:t>
      </w:r>
    </w:p>
    <w:p w14:paraId="72238319" w14:textId="77777777"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H</w:t>
      </w:r>
      <w:r>
        <w:rPr>
          <w:rFonts w:ascii="Arial" w:eastAsia="Arial" w:hAnsi="Arial" w:cs="Arial"/>
          <w:vertAlign w:val="subscript"/>
          <w:lang w:val="es-ES" w:eastAsia="es-ES"/>
        </w:rPr>
        <w:t>0</w:t>
      </w:r>
      <w:r>
        <w:rPr>
          <w:rFonts w:ascii="Arial" w:eastAsia="Arial" w:hAnsi="Arial" w:cs="Arial"/>
          <w:lang w:val="es-ES" w:eastAsia="es-ES"/>
        </w:rPr>
        <w:t>: β</w:t>
      </w:r>
      <w:r>
        <w:rPr>
          <w:rFonts w:ascii="Arial" w:eastAsia="Arial" w:hAnsi="Arial" w:cs="Arial"/>
          <w:vertAlign w:val="subscript"/>
          <w:lang w:val="es-ES" w:eastAsia="es-ES"/>
        </w:rPr>
        <w:t>5</w:t>
      </w:r>
      <w:r>
        <w:rPr>
          <w:rFonts w:ascii="Arial" w:eastAsia="Arial" w:hAnsi="Arial" w:cs="Arial"/>
          <w:lang w:val="es-ES" w:eastAsia="es-ES"/>
        </w:rPr>
        <w:t xml:space="preserve"> ≥ 0 y β</w:t>
      </w:r>
      <w:r>
        <w:rPr>
          <w:rFonts w:ascii="Arial" w:eastAsia="Arial" w:hAnsi="Arial" w:cs="Arial"/>
          <w:vertAlign w:val="subscript"/>
          <w:lang w:val="es-ES" w:eastAsia="es-ES"/>
        </w:rPr>
        <w:t>6</w:t>
      </w:r>
      <w:r>
        <w:rPr>
          <w:rFonts w:ascii="Arial" w:eastAsia="Arial" w:hAnsi="Arial" w:cs="Arial"/>
          <w:lang w:val="es-ES" w:eastAsia="es-ES"/>
        </w:rPr>
        <w:t xml:space="preserve"> ≤ 0 (no hay recomposición: el peso del riesgo de depreciación no cae y el de la iliquidez no sube tras 2011).</w:t>
      </w:r>
    </w:p>
    <w:p w14:paraId="576946A0" w14:textId="0F968319"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t>H</w:t>
      </w:r>
      <w:r>
        <w:rPr>
          <w:rFonts w:ascii="Arial" w:eastAsia="Arial" w:hAnsi="Arial" w:cs="Arial"/>
          <w:vertAlign w:val="subscript"/>
          <w:lang w:val="es-ES" w:eastAsia="es-ES"/>
        </w:rPr>
        <w:t>A</w:t>
      </w:r>
      <w:r>
        <w:rPr>
          <w:rFonts w:ascii="Arial" w:eastAsia="Arial" w:hAnsi="Arial" w:cs="Arial"/>
          <w:lang w:val="es-ES" w:eastAsia="es-ES"/>
        </w:rPr>
        <w:t>: β</w:t>
      </w:r>
      <w:r>
        <w:rPr>
          <w:rFonts w:ascii="Arial" w:eastAsia="Arial" w:hAnsi="Arial" w:cs="Arial"/>
          <w:vertAlign w:val="subscript"/>
          <w:lang w:val="es-ES" w:eastAsia="es-ES"/>
        </w:rPr>
        <w:t>5</w:t>
      </w:r>
      <w:r>
        <w:rPr>
          <w:rFonts w:ascii="Arial" w:eastAsia="Arial" w:hAnsi="Arial" w:cs="Arial"/>
          <w:lang w:val="es-ES" w:eastAsia="es-ES"/>
        </w:rPr>
        <w:t xml:space="preserve"> &lt; 0 y β</w:t>
      </w:r>
      <w:r>
        <w:rPr>
          <w:rFonts w:ascii="Arial" w:eastAsia="Arial" w:hAnsi="Arial" w:cs="Arial"/>
          <w:vertAlign w:val="subscript"/>
          <w:lang w:val="es-ES" w:eastAsia="es-ES"/>
        </w:rPr>
        <w:t>6</w:t>
      </w:r>
      <w:r>
        <w:rPr>
          <w:rFonts w:ascii="Arial" w:eastAsia="Arial" w:hAnsi="Arial" w:cs="Arial"/>
          <w:lang w:val="es-ES" w:eastAsia="es-ES"/>
        </w:rPr>
        <w:t xml:space="preserve"> &gt; 0 (hay recomposición direccional: el determinante dominante de la prima de riesgo migra del riesgo de depreciación al riesgo de iliquidez). El contraste principal de la hipótesis general la recomposición sin dirección impuesta es la prueba de Wald conjunta sobre el bloque de interacciones (H0: β5 = β6 = 0, la composición no cambia, frente a HA: al menos uno distinto de cero, la composición cambia), aplicada tanto al retorno DRₜ₊₁ como a la prima de riesgo rpₜ de la ecuación (8) el objeto directo de la teoría, y complementada con la prueba de Chow sobre la ecuación de la prima. El nivel de significancia se fija en α = 0,05 también para estos contrastes. Adicionalmente, dado que la hipótesis afirma una migración de dominancia que tras 2011 un determinante pasa a pesar más que el otro, se contrasta de manera explícita la diferencia entre las incidencias post2011 de ambos determinantes expresadas en unidades comparables (coeficientes estandarizados), mediante una prueba t sobre la combinación lineal correspondiente: probar que cada peso cambió por separado no prueba que uno pasó a dominar sobre el otro.</w:t>
      </w:r>
    </w:p>
    <w:p w14:paraId="7CC73B5E" w14:textId="78D4B12A"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número de rezagos del estimador de </w:t>
      </w:r>
      <w:proofErr w:type="spellStart"/>
      <w:r>
        <w:rPr>
          <w:rFonts w:ascii="Arial" w:eastAsia="Arial" w:hAnsi="Arial" w:cs="Arial"/>
          <w:lang w:val="es-ES" w:eastAsia="es-ES"/>
        </w:rPr>
        <w:t>NeweyWest</w:t>
      </w:r>
      <w:proofErr w:type="spellEnd"/>
      <w:r>
        <w:rPr>
          <w:rFonts w:ascii="Arial" w:eastAsia="Arial" w:hAnsi="Arial" w:cs="Arial"/>
          <w:lang w:val="es-ES" w:eastAsia="es-ES"/>
        </w:rPr>
        <w:t xml:space="preserve"> se fija en cuatro un año de memoria en datos trimestrales, valor coherente con las reglas prácticas habituales para una muestra de este tamaño (aproximadamente la raíz cúbica de T, con T = 84; Andrews, 1991). Se estima el modelo principal con rpₜ como variable dependiente; como pruebas de robustez se reestima con la serie conservadora DRᶜᵒⁿˢₜ₊₁ (Etapa 6) y con la serie alternativa de promedio ponderado (Etapa 7), en ningún caso incluyendo la inflación como regresor.</w:t>
      </w:r>
    </w:p>
    <w:p w14:paraId="023D7DC9" w14:textId="77777777" w:rsidR="00D27E85" w:rsidRPr="00DF3903" w:rsidRDefault="00D27E85" w:rsidP="00D27E85">
      <w:pPr>
        <w:spacing w:before="180" w:after="100" w:line="480" w:lineRule="auto"/>
        <w:outlineLvl w:val="2"/>
        <w:rPr>
          <w:rFonts w:ascii="Arial" w:eastAsia="Arial" w:hAnsi="Arial" w:cs="Arial"/>
          <w:b/>
          <w:bCs/>
          <w:i/>
          <w:iCs/>
          <w:color w:val="000000"/>
          <w:lang w:val="es-ES" w:eastAsia="es-ES"/>
        </w:rPr>
      </w:pPr>
      <w:r>
        <w:rPr>
          <w:rFonts w:ascii="Arial" w:eastAsia="Arial" w:hAnsi="Arial" w:cs="Arial"/>
          <w:b/>
          <w:bCs/>
          <w:i/>
          <w:iCs/>
          <w:color w:val="000000"/>
          <w:lang w:val="es-ES" w:eastAsia="es-ES"/>
        </w:rPr>
        <w:t>Etapa 6: Diagnóstico y robustez</w:t>
      </w:r>
    </w:p>
    <w:p w14:paraId="0C0F4C95" w14:textId="3F87BFBA" w:rsidR="00D27E85" w:rsidRPr="00DF3903" w:rsidRDefault="00D27E85" w:rsidP="00D27E85">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 xml:space="preserve">Se reportan las siguientes pruebas de diagnóstico sobre el modelo de la Etapa 5: </w:t>
      </w:r>
      <w:proofErr w:type="spellStart"/>
      <w:r>
        <w:rPr>
          <w:rFonts w:ascii="Arial" w:eastAsia="Arial" w:hAnsi="Arial" w:cs="Arial"/>
          <w:lang w:val="es-ES" w:eastAsia="es-ES"/>
        </w:rPr>
        <w:t>BreuschGodfrey</w:t>
      </w:r>
      <w:proofErr w:type="spellEnd"/>
      <w:r>
        <w:rPr>
          <w:rFonts w:ascii="Arial" w:eastAsia="Arial" w:hAnsi="Arial" w:cs="Arial"/>
          <w:lang w:val="es-ES" w:eastAsia="es-ES"/>
        </w:rPr>
        <w:t xml:space="preserve"> para autocorrelación residual hasta 4 rezagos, White para heterocedasticidad, Ramsey RESET para detectar mala especificación funcional, y </w:t>
      </w:r>
      <w:proofErr w:type="spellStart"/>
      <w:r>
        <w:rPr>
          <w:rFonts w:ascii="Arial" w:eastAsia="Arial" w:hAnsi="Arial" w:cs="Arial"/>
          <w:lang w:val="es-ES" w:eastAsia="es-ES"/>
        </w:rPr>
        <w:t>JarqueBera</w:t>
      </w:r>
      <w:proofErr w:type="spellEnd"/>
      <w:r>
        <w:rPr>
          <w:rFonts w:ascii="Arial" w:eastAsia="Arial" w:hAnsi="Arial" w:cs="Arial"/>
          <w:lang w:val="es-ES" w:eastAsia="es-ES"/>
        </w:rPr>
        <w:t xml:space="preserve"> para la normalidad de los residuos. Como controles de robustez se reestima el modelo (i) con la brecha de encaje Gs/USD en lugar del ratio de dolarización como proxy de iliquidez; (ii) con la serie conservadora DR</w:t>
      </w:r>
      <w:r>
        <w:rPr>
          <w:rFonts w:ascii="Arial" w:eastAsia="Arial" w:hAnsi="Arial" w:cs="Arial"/>
          <w:vertAlign w:val="superscript"/>
          <w:lang w:val="es-ES" w:eastAsia="es-ES"/>
        </w:rPr>
        <w:t>cons</w:t>
      </w:r>
      <w:r>
        <w:rPr>
          <w:rFonts w:ascii="Arial" w:eastAsia="Arial" w:hAnsi="Arial" w:cs="Arial"/>
          <w:vertAlign w:val="subscript"/>
          <w:lang w:val="es-ES" w:eastAsia="es-ES"/>
        </w:rPr>
        <w:t>t+1</w:t>
      </w:r>
      <w:r>
        <w:rPr>
          <w:rFonts w:ascii="Arial" w:eastAsia="Arial" w:hAnsi="Arial" w:cs="Arial"/>
          <w:lang w:val="es-ES" w:eastAsia="es-ES"/>
        </w:rPr>
        <w:t xml:space="preserve"> como variable dependiente; y (iii) acotando la muestra al tramo de cobertura continua verificado en la Sección 4. La consistencia de los signos y la significancia de β</w:t>
      </w:r>
      <w:r>
        <w:rPr>
          <w:rFonts w:ascii="Arial" w:eastAsia="Arial" w:hAnsi="Arial" w:cs="Arial"/>
          <w:vertAlign w:val="subscript"/>
          <w:lang w:val="es-ES" w:eastAsia="es-ES"/>
        </w:rPr>
        <w:t>5</w:t>
      </w:r>
      <w:r>
        <w:rPr>
          <w:rFonts w:ascii="Arial" w:eastAsia="Arial" w:hAnsi="Arial" w:cs="Arial"/>
          <w:lang w:val="es-ES" w:eastAsia="es-ES"/>
        </w:rPr>
        <w:t xml:space="preserve"> y β</w:t>
      </w:r>
      <w:r>
        <w:rPr>
          <w:rFonts w:ascii="Arial" w:eastAsia="Arial" w:hAnsi="Arial" w:cs="Arial"/>
          <w:vertAlign w:val="subscript"/>
          <w:lang w:val="es-ES" w:eastAsia="es-ES"/>
        </w:rPr>
        <w:t>6</w:t>
      </w:r>
      <w:r>
        <w:rPr>
          <w:rFonts w:ascii="Arial" w:eastAsia="Arial" w:hAnsi="Arial" w:cs="Arial"/>
          <w:lang w:val="es-ES" w:eastAsia="es-ES"/>
        </w:rPr>
        <w:t xml:space="preserve"> a través de estas especificaciones constituye la evidencia central a favor o en contra de la hipótesis de recomposición. Se deja constancia de que la serie homogénea de tasas de encaje legal por moneda para 2004–2024 no se encuentra disponible en las publicaciones estadísticas de acceso público del BCP, por lo que la prueba de robustez (i) se declara no factible y el ratio de dolarización de depósitos se mantiene como proxy única del componente de iliquidez. Se agrega una robustez adicional (iv): la reestimación con el ratio de dolarización rezagado un trimestre, que mitiga la posible simultaneidad entre la prima y la dolarización ambas se determinan mutuamente, pues la propia prima incentiva la migración de depósitos entre monedas, simultaneidad que se declara como límite de identificación del diseño. Finalmente, se compromete como anexo digital la base de datos completa con su trazabilidad documental y los archivos de comandos (</w:t>
      </w:r>
      <w:proofErr w:type="spellStart"/>
      <w:r>
        <w:rPr>
          <w:rFonts w:ascii="Arial" w:eastAsia="Arial" w:hAnsi="Arial" w:cs="Arial"/>
          <w:lang w:val="es-ES" w:eastAsia="es-ES"/>
        </w:rPr>
        <w:t>dofile</w:t>
      </w:r>
      <w:proofErr w:type="spellEnd"/>
      <w:r>
        <w:rPr>
          <w:rFonts w:ascii="Arial" w:eastAsia="Arial" w:hAnsi="Arial" w:cs="Arial"/>
          <w:lang w:val="es-ES" w:eastAsia="es-ES"/>
        </w:rPr>
        <w:t xml:space="preserve"> de Stata 17 y réplica en Python) que reproducen íntegramente cada resultado del trabajo.</w:t>
      </w:r>
    </w:p>
    <w:p w14:paraId="41F9AB53"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Operacionalización de las variables</w:t>
      </w:r>
    </w:p>
    <w:p w14:paraId="222E6CA8" w14:textId="77777777" w:rsidR="00AC5DC1" w:rsidRDefault="00000000">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7.1. Operacionalización de las variables del modelo</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50"/>
        <w:gridCol w:w="3200"/>
        <w:gridCol w:w="1100"/>
        <w:gridCol w:w="1450"/>
        <w:gridCol w:w="1826"/>
      </w:tblGrid>
      <w:tr w:rsidR="00AC5DC1" w14:paraId="700F7F82" w14:textId="77777777">
        <w:trPr>
          <w:jc w:val="center"/>
        </w:trPr>
        <w:tc>
          <w:tcPr>
            <w:tcW w:w="1450" w:type="dxa"/>
            <w:shd w:val="clear" w:color="auto" w:fill="D9D9D9"/>
            <w:vAlign w:val="center"/>
          </w:tcPr>
          <w:p w14:paraId="6A0B2798"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Variable</w:t>
            </w:r>
          </w:p>
        </w:tc>
        <w:tc>
          <w:tcPr>
            <w:tcW w:w="3200" w:type="dxa"/>
            <w:shd w:val="clear" w:color="auto" w:fill="D9D9D9"/>
            <w:vAlign w:val="center"/>
          </w:tcPr>
          <w:p w14:paraId="48FAE5C2"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Definición operacional</w:t>
            </w:r>
          </w:p>
        </w:tc>
        <w:tc>
          <w:tcPr>
            <w:tcW w:w="1100" w:type="dxa"/>
            <w:shd w:val="clear" w:color="auto" w:fill="D9D9D9"/>
            <w:vAlign w:val="center"/>
          </w:tcPr>
          <w:p w14:paraId="5C4D20C3"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Unidad</w:t>
            </w:r>
          </w:p>
        </w:tc>
        <w:tc>
          <w:tcPr>
            <w:tcW w:w="1450" w:type="dxa"/>
            <w:shd w:val="clear" w:color="auto" w:fill="D9D9D9"/>
            <w:vAlign w:val="center"/>
          </w:tcPr>
          <w:p w14:paraId="15EEB827"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Fuente</w:t>
            </w:r>
          </w:p>
        </w:tc>
        <w:tc>
          <w:tcPr>
            <w:tcW w:w="1826" w:type="dxa"/>
            <w:shd w:val="clear" w:color="auto" w:fill="D9D9D9"/>
            <w:vAlign w:val="center"/>
          </w:tcPr>
          <w:p w14:paraId="021B6572"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Signo esperado</w:t>
            </w:r>
          </w:p>
        </w:tc>
      </w:tr>
      <w:tr w:rsidR="00AC5DC1" w14:paraId="12569529" w14:textId="77777777">
        <w:trPr>
          <w:jc w:val="center"/>
        </w:trPr>
        <w:tc>
          <w:tcPr>
            <w:tcW w:w="1450" w:type="dxa"/>
            <w:vAlign w:val="center"/>
          </w:tcPr>
          <w:p w14:paraId="1D9B87CE"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rpₜ (dependiente)</w:t>
            </w:r>
          </w:p>
        </w:tc>
        <w:tc>
          <w:tcPr>
            <w:tcW w:w="3200" w:type="dxa"/>
            <w:vAlign w:val="center"/>
          </w:tcPr>
          <w:p w14:paraId="72B5B1B0"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Diferencial de tasas CDA (Gs − USD) menos diferencial de inflación interanual PY–EE. UU.</w:t>
            </w:r>
          </w:p>
        </w:tc>
        <w:tc>
          <w:tcPr>
            <w:tcW w:w="1100" w:type="dxa"/>
            <w:vAlign w:val="center"/>
          </w:tcPr>
          <w:p w14:paraId="3F6EB48F"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pp anual</w:t>
            </w:r>
          </w:p>
        </w:tc>
        <w:tc>
          <w:tcPr>
            <w:tcW w:w="1450" w:type="dxa"/>
            <w:vAlign w:val="center"/>
          </w:tcPr>
          <w:p w14:paraId="1511A319"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BCP y FRED</w:t>
            </w:r>
          </w:p>
        </w:tc>
        <w:tc>
          <w:tcPr>
            <w:tcW w:w="1826" w:type="dxa"/>
            <w:vAlign w:val="center"/>
          </w:tcPr>
          <w:p w14:paraId="60AAC50E" w14:textId="55D30AA6" w:rsidR="00AC5DC1" w:rsidRDefault="00AC5DC1">
            <w:pPr>
              <w:spacing w:after="0" w:line="240" w:lineRule="auto"/>
              <w:rPr>
                <w:rFonts w:ascii="Arial" w:eastAsia="Arial" w:hAnsi="Arial" w:cs="Arial"/>
                <w:sz w:val="18"/>
                <w:szCs w:val="18"/>
              </w:rPr>
            </w:pPr>
          </w:p>
        </w:tc>
      </w:tr>
      <w:tr w:rsidR="00AC5DC1" w14:paraId="3C3C1DEA" w14:textId="77777777">
        <w:trPr>
          <w:jc w:val="center"/>
        </w:trPr>
        <w:tc>
          <w:tcPr>
            <w:tcW w:w="1450" w:type="dxa"/>
            <w:vAlign w:val="center"/>
          </w:tcPr>
          <w:p w14:paraId="1EA50F07"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VolTCₜ</w:t>
            </w:r>
          </w:p>
        </w:tc>
        <w:tc>
          <w:tcPr>
            <w:tcW w:w="3200" w:type="dxa"/>
            <w:vAlign w:val="center"/>
          </w:tcPr>
          <w:p w14:paraId="3D3E3DCF"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Desvío estándar móvil (8 trimestres) de la depreciación trimestral del guaraní</w:t>
            </w:r>
          </w:p>
        </w:tc>
        <w:tc>
          <w:tcPr>
            <w:tcW w:w="1100" w:type="dxa"/>
            <w:vAlign w:val="center"/>
          </w:tcPr>
          <w:p w14:paraId="17D605DE"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pp</w:t>
            </w:r>
          </w:p>
        </w:tc>
        <w:tc>
          <w:tcPr>
            <w:tcW w:w="1450" w:type="dxa"/>
            <w:vAlign w:val="center"/>
          </w:tcPr>
          <w:p w14:paraId="08ABDD0F"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BCP (TC)</w:t>
            </w:r>
          </w:p>
        </w:tc>
        <w:tc>
          <w:tcPr>
            <w:tcW w:w="1826" w:type="dxa"/>
            <w:vAlign w:val="center"/>
          </w:tcPr>
          <w:p w14:paraId="444C3FE5"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w:t>
            </w:r>
          </w:p>
        </w:tc>
      </w:tr>
      <w:tr w:rsidR="00AC5DC1" w14:paraId="706E07EB" w14:textId="77777777">
        <w:trPr>
          <w:jc w:val="center"/>
        </w:trPr>
        <w:tc>
          <w:tcPr>
            <w:tcW w:w="1450" w:type="dxa"/>
            <w:vAlign w:val="center"/>
          </w:tcPr>
          <w:p w14:paraId="69547F29"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Iliqₜ</w:t>
            </w:r>
          </w:p>
        </w:tc>
        <w:tc>
          <w:tcPr>
            <w:tcW w:w="3200" w:type="dxa"/>
            <w:vAlign w:val="center"/>
          </w:tcPr>
          <w:p w14:paraId="699F29F9"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Depósitos en moneda extranjera sobre depósitos totales del sistema</w:t>
            </w:r>
          </w:p>
        </w:tc>
        <w:tc>
          <w:tcPr>
            <w:tcW w:w="1100" w:type="dxa"/>
            <w:vAlign w:val="center"/>
          </w:tcPr>
          <w:p w14:paraId="1A1A2CBF"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w:t>
            </w:r>
          </w:p>
        </w:tc>
        <w:tc>
          <w:tcPr>
            <w:tcW w:w="1450" w:type="dxa"/>
            <w:vAlign w:val="center"/>
          </w:tcPr>
          <w:p w14:paraId="79335574"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BCP</w:t>
            </w:r>
          </w:p>
        </w:tc>
        <w:tc>
          <w:tcPr>
            <w:tcW w:w="1826" w:type="dxa"/>
            <w:vAlign w:val="center"/>
          </w:tcPr>
          <w:p w14:paraId="41623A94"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w:t>
            </w:r>
          </w:p>
        </w:tc>
      </w:tr>
      <w:tr w:rsidR="00AC5DC1" w14:paraId="030902AC" w14:textId="77777777">
        <w:trPr>
          <w:jc w:val="center"/>
        </w:trPr>
        <w:tc>
          <w:tcPr>
            <w:tcW w:w="1450" w:type="dxa"/>
            <w:vAlign w:val="center"/>
          </w:tcPr>
          <w:p w14:paraId="4832BF80"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D2011</w:t>
            </w:r>
          </w:p>
        </w:tc>
        <w:tc>
          <w:tcPr>
            <w:tcW w:w="3200" w:type="dxa"/>
            <w:vAlign w:val="center"/>
          </w:tcPr>
          <w:p w14:paraId="5DE97886"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Indicadora = 1 desde 2011:T2 (Res. N.º 22, Acta N.º 31, 2011)</w:t>
            </w:r>
          </w:p>
        </w:tc>
        <w:tc>
          <w:tcPr>
            <w:tcW w:w="1100" w:type="dxa"/>
            <w:vAlign w:val="center"/>
          </w:tcPr>
          <w:p w14:paraId="60C1A384"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0/1</w:t>
            </w:r>
          </w:p>
        </w:tc>
        <w:tc>
          <w:tcPr>
            <w:tcW w:w="1450" w:type="dxa"/>
            <w:vAlign w:val="center"/>
          </w:tcPr>
          <w:p w14:paraId="7FAADBF0"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BCP</w:t>
            </w:r>
          </w:p>
        </w:tc>
        <w:tc>
          <w:tcPr>
            <w:tcW w:w="1826" w:type="dxa"/>
            <w:vAlign w:val="center"/>
          </w:tcPr>
          <w:p w14:paraId="58C46FFC"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indeterminado</w:t>
            </w:r>
          </w:p>
        </w:tc>
      </w:tr>
      <w:tr w:rsidR="00AC5DC1" w14:paraId="041DF900" w14:textId="77777777">
        <w:trPr>
          <w:jc w:val="center"/>
        </w:trPr>
        <w:tc>
          <w:tcPr>
            <w:tcW w:w="1450" w:type="dxa"/>
            <w:vAlign w:val="center"/>
          </w:tcPr>
          <w:p w14:paraId="0BB83816"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D2011×VolTCᶜ</w:t>
            </w:r>
          </w:p>
        </w:tc>
        <w:tc>
          <w:tcPr>
            <w:tcW w:w="3200" w:type="dxa"/>
            <w:vAlign w:val="center"/>
          </w:tcPr>
          <w:p w14:paraId="354C4EEE"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Interacción régimen × volatilidad (centrada)</w:t>
            </w:r>
          </w:p>
        </w:tc>
        <w:tc>
          <w:tcPr>
            <w:tcW w:w="1100" w:type="dxa"/>
            <w:vAlign w:val="center"/>
          </w:tcPr>
          <w:p w14:paraId="4B7CCE01"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pp</w:t>
            </w:r>
          </w:p>
        </w:tc>
        <w:tc>
          <w:tcPr>
            <w:tcW w:w="1450" w:type="dxa"/>
            <w:vAlign w:val="center"/>
          </w:tcPr>
          <w:p w14:paraId="0DF7C6E2"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elaboración propia</w:t>
            </w:r>
          </w:p>
        </w:tc>
        <w:tc>
          <w:tcPr>
            <w:tcW w:w="1826" w:type="dxa"/>
            <w:vAlign w:val="center"/>
          </w:tcPr>
          <w:p w14:paraId="7595850B"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 (conjetura direccional)</w:t>
            </w:r>
          </w:p>
        </w:tc>
      </w:tr>
      <w:tr w:rsidR="00AC5DC1" w14:paraId="3DB74CBB" w14:textId="77777777">
        <w:trPr>
          <w:jc w:val="center"/>
        </w:trPr>
        <w:tc>
          <w:tcPr>
            <w:tcW w:w="1450" w:type="dxa"/>
            <w:vAlign w:val="center"/>
          </w:tcPr>
          <w:p w14:paraId="0CE62E2C"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lastRenderedPageBreak/>
              <w:t>D2011×Iliqᶜ</w:t>
            </w:r>
          </w:p>
        </w:tc>
        <w:tc>
          <w:tcPr>
            <w:tcW w:w="3200" w:type="dxa"/>
            <w:vAlign w:val="center"/>
          </w:tcPr>
          <w:p w14:paraId="75861829"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Interacción régimen × dolarización (centrada)</w:t>
            </w:r>
          </w:p>
        </w:tc>
        <w:tc>
          <w:tcPr>
            <w:tcW w:w="1100" w:type="dxa"/>
            <w:vAlign w:val="center"/>
          </w:tcPr>
          <w:p w14:paraId="3459D65B"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w:t>
            </w:r>
          </w:p>
        </w:tc>
        <w:tc>
          <w:tcPr>
            <w:tcW w:w="1450" w:type="dxa"/>
            <w:vAlign w:val="center"/>
          </w:tcPr>
          <w:p w14:paraId="75812577"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elaboración propia</w:t>
            </w:r>
          </w:p>
        </w:tc>
        <w:tc>
          <w:tcPr>
            <w:tcW w:w="1826" w:type="dxa"/>
            <w:vAlign w:val="center"/>
          </w:tcPr>
          <w:p w14:paraId="76874036"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 (conjetura direccional)</w:t>
            </w:r>
          </w:p>
        </w:tc>
      </w:tr>
      <w:tr w:rsidR="00AC5DC1" w14:paraId="429667CD" w14:textId="77777777">
        <w:trPr>
          <w:jc w:val="center"/>
        </w:trPr>
        <w:tc>
          <w:tcPr>
            <w:tcW w:w="1450" w:type="dxa"/>
            <w:vAlign w:val="center"/>
          </w:tcPr>
          <w:p w14:paraId="3C07782D"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DRₜ₊₁ y DRᶜᵒⁿˢ</w:t>
            </w:r>
          </w:p>
        </w:tc>
        <w:tc>
          <w:tcPr>
            <w:tcW w:w="3200" w:type="dxa"/>
            <w:vAlign w:val="center"/>
          </w:tcPr>
          <w:p w14:paraId="059A32D0"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Series de caracterización (Etapa 1) y premisa conservadora (Etapa 2)</w:t>
            </w:r>
          </w:p>
        </w:tc>
        <w:tc>
          <w:tcPr>
            <w:tcW w:w="1100" w:type="dxa"/>
            <w:vAlign w:val="center"/>
          </w:tcPr>
          <w:p w14:paraId="079C0E96"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pp trimestral</w:t>
            </w:r>
          </w:p>
        </w:tc>
        <w:tc>
          <w:tcPr>
            <w:tcW w:w="1450" w:type="dxa"/>
            <w:vAlign w:val="center"/>
          </w:tcPr>
          <w:p w14:paraId="08E84CBD"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BCP y FRED</w:t>
            </w:r>
          </w:p>
        </w:tc>
        <w:tc>
          <w:tcPr>
            <w:tcW w:w="1826" w:type="dxa"/>
            <w:vAlign w:val="center"/>
          </w:tcPr>
          <w:p w14:paraId="52D4A3A2"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 / no negativo</w:t>
            </w:r>
          </w:p>
        </w:tc>
      </w:tr>
    </w:tbl>
    <w:p w14:paraId="1F18F72B"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La columna de signos esperados de esta tabla constituye el compromiso ex ante del trabajo, contra el cual se contrastan los resultados efectivamente obtenidos.</w:t>
      </w:r>
    </w:p>
    <w:p w14:paraId="1BCF0257" w14:textId="77777777" w:rsidR="00D27E85" w:rsidRPr="00DF3903" w:rsidRDefault="00D27E85" w:rsidP="00D27E85">
      <w:pPr>
        <w:spacing w:after="120" w:line="480" w:lineRule="auto"/>
        <w:jc w:val="both"/>
        <w:rPr>
          <w:rFonts w:ascii="Arial" w:eastAsia="Arial" w:hAnsi="Arial" w:cs="Arial"/>
          <w:lang w:val="es-ES" w:eastAsia="es-ES"/>
        </w:rPr>
      </w:pPr>
    </w:p>
    <w:p w14:paraId="6F9995A6" w14:textId="77777777" w:rsidR="00D27E85" w:rsidRPr="00DF3903" w:rsidRDefault="00D27E85" w:rsidP="00D27E85">
      <w:pPr>
        <w:spacing w:after="120" w:line="480" w:lineRule="auto"/>
        <w:jc w:val="both"/>
        <w:rPr>
          <w:rFonts w:ascii="Arial" w:eastAsia="Arial" w:hAnsi="Arial" w:cs="Arial"/>
          <w:lang w:val="es-ES" w:eastAsia="es-ES"/>
        </w:rPr>
      </w:pPr>
    </w:p>
    <w:p w14:paraId="720EFD88" w14:textId="77777777" w:rsidR="00D27E85" w:rsidRPr="00DF3903" w:rsidRDefault="00D27E85" w:rsidP="00D27E85">
      <w:pPr>
        <w:spacing w:after="120" w:line="480" w:lineRule="auto"/>
        <w:jc w:val="both"/>
        <w:rPr>
          <w:rFonts w:ascii="Arial" w:eastAsia="Arial" w:hAnsi="Arial" w:cs="Arial"/>
          <w:lang w:val="es-ES" w:eastAsia="es-ES"/>
        </w:rPr>
      </w:pPr>
    </w:p>
    <w:p w14:paraId="442150E7" w14:textId="77777777" w:rsidR="00D27E85" w:rsidRPr="00DF3903" w:rsidRDefault="00D27E85" w:rsidP="00D27E85">
      <w:pPr>
        <w:spacing w:after="120" w:line="480" w:lineRule="auto"/>
        <w:jc w:val="both"/>
        <w:rPr>
          <w:rFonts w:ascii="Arial" w:eastAsia="Arial" w:hAnsi="Arial" w:cs="Arial"/>
          <w:lang w:val="es-ES" w:eastAsia="es-ES"/>
        </w:rPr>
      </w:pPr>
    </w:p>
    <w:p w14:paraId="4D29898E" w14:textId="77777777" w:rsidR="00D27E85" w:rsidRPr="00DF3903" w:rsidRDefault="00D27E85" w:rsidP="00D27E85">
      <w:pPr>
        <w:spacing w:after="120" w:line="480" w:lineRule="auto"/>
        <w:jc w:val="both"/>
        <w:rPr>
          <w:rFonts w:ascii="Arial" w:eastAsia="Arial" w:hAnsi="Arial" w:cs="Arial"/>
          <w:lang w:val="es-ES" w:eastAsia="es-ES"/>
        </w:rPr>
      </w:pPr>
    </w:p>
    <w:p w14:paraId="4D8EEC0B" w14:textId="77777777" w:rsidR="00D27E85" w:rsidRPr="00DF3903" w:rsidRDefault="00D27E85" w:rsidP="00D27E85">
      <w:pPr>
        <w:spacing w:after="120" w:line="480" w:lineRule="auto"/>
        <w:jc w:val="both"/>
        <w:rPr>
          <w:rFonts w:ascii="Arial" w:eastAsia="Arial" w:hAnsi="Arial" w:cs="Arial"/>
          <w:lang w:val="es-ES" w:eastAsia="es-ES"/>
        </w:rPr>
      </w:pPr>
    </w:p>
    <w:p w14:paraId="7F024B91" w14:textId="77777777" w:rsidR="00D27E85" w:rsidRPr="00DF3903" w:rsidRDefault="00D27E85" w:rsidP="00D27E85">
      <w:pPr>
        <w:spacing w:after="120" w:line="480" w:lineRule="auto"/>
        <w:jc w:val="both"/>
        <w:rPr>
          <w:rFonts w:ascii="Arial" w:eastAsia="Arial" w:hAnsi="Arial" w:cs="Arial"/>
          <w:lang w:val="es-ES" w:eastAsia="es-ES"/>
        </w:rPr>
      </w:pPr>
    </w:p>
    <w:p w14:paraId="1619F742" w14:textId="77777777" w:rsidR="00D27E85" w:rsidRDefault="00D27E85" w:rsidP="00D27E85">
      <w:pPr>
        <w:spacing w:after="120" w:line="480" w:lineRule="auto"/>
        <w:jc w:val="both"/>
        <w:rPr>
          <w:rFonts w:ascii="Arial" w:eastAsia="Arial" w:hAnsi="Arial" w:cs="Arial"/>
          <w:lang w:val="es-ES" w:eastAsia="es-ES"/>
        </w:rPr>
      </w:pPr>
    </w:p>
    <w:p w14:paraId="7D2F62EF" w14:textId="77777777" w:rsidR="00D27E85" w:rsidRPr="00DF3903" w:rsidRDefault="00D27E85" w:rsidP="00D27E85">
      <w:pPr>
        <w:spacing w:after="120" w:line="480" w:lineRule="auto"/>
        <w:jc w:val="both"/>
        <w:rPr>
          <w:rFonts w:ascii="Arial" w:eastAsia="Arial" w:hAnsi="Arial" w:cs="Arial"/>
          <w:lang w:val="es-ES" w:eastAsia="es-ES"/>
        </w:rPr>
      </w:pPr>
    </w:p>
    <w:p w14:paraId="1DF3615D" w14:textId="77777777" w:rsidR="00D27E85" w:rsidRPr="00DF3903" w:rsidRDefault="00D27E85" w:rsidP="00D27E85">
      <w:pPr>
        <w:spacing w:after="120" w:line="480" w:lineRule="auto"/>
        <w:jc w:val="both"/>
        <w:rPr>
          <w:rFonts w:ascii="Arial" w:eastAsia="Arial" w:hAnsi="Arial" w:cs="Arial"/>
          <w:lang w:val="es-ES" w:eastAsia="es-ES"/>
        </w:rPr>
      </w:pPr>
    </w:p>
    <w:p w14:paraId="1CEAEE0D" w14:textId="77777777" w:rsidR="00AC5DC1" w:rsidRDefault="00000000">
      <w:pPr>
        <w:spacing w:before="240" w:after="240" w:line="480" w:lineRule="auto"/>
        <w:jc w:val="center"/>
        <w:outlineLvl w:val="0"/>
        <w:rPr>
          <w:rFonts w:ascii="Arial" w:eastAsia="Arial" w:hAnsi="Arial" w:cs="Arial"/>
          <w:b/>
          <w:bCs/>
          <w:color w:val="000000"/>
          <w:lang w:val="es-ES" w:eastAsia="es-ES"/>
        </w:rPr>
      </w:pPr>
      <w:r>
        <w:rPr>
          <w:rFonts w:ascii="Arial" w:eastAsia="Arial" w:hAnsi="Arial" w:cs="Arial"/>
          <w:b/>
          <w:bCs/>
          <w:color w:val="000000"/>
          <w:lang w:val="es-ES" w:eastAsia="es-ES"/>
        </w:rPr>
        <w:t>8. Resultados y Discusión</w:t>
      </w:r>
    </w:p>
    <w:p w14:paraId="7BBB2436" w14:textId="6FB5AE6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Este capítulo presenta los resultados de la aplicación de las seis etapas del marco metodológico (Sección 7.2) a la base trimestral 2004:T1–2024:T4. En línea con el protocolo de control de calidad declarado, todos los coeficientes, errores estándar y valores p se reportan tal como surgen de la estimación, sin ajuste alguno orientado a favorecer la hipótesis de investigación. La totalidad de las cifras es reproducible mediante el </w:t>
      </w:r>
      <w:proofErr w:type="spellStart"/>
      <w:r>
        <w:rPr>
          <w:rFonts w:ascii="Arial" w:eastAsia="Arial" w:hAnsi="Arial" w:cs="Arial"/>
          <w:lang w:val="es-ES" w:eastAsia="es-ES"/>
        </w:rPr>
        <w:t>dofile</w:t>
      </w:r>
      <w:proofErr w:type="spellEnd"/>
      <w:r>
        <w:rPr>
          <w:rFonts w:ascii="Arial" w:eastAsia="Arial" w:hAnsi="Arial" w:cs="Arial"/>
          <w:lang w:val="es-ES" w:eastAsia="es-ES"/>
        </w:rPr>
        <w:t xml:space="preserve"> de Stata 17 (tesis_cda.do) y su réplica en Python; la validación cruzada entre ambos motores arrojó coincidencia en 50 de 50 estadísticos clave de las etapas 1 a 4 y de las especificaciones de contraste; los resultados del modelo principal (Tabla 8.3) se reproducen con ambos códigos incluidos en el anexo digital.</w:t>
      </w:r>
    </w:p>
    <w:p w14:paraId="5569345C"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lastRenderedPageBreak/>
        <w:t>8.1. Datos y cobertura</w:t>
      </w:r>
    </w:p>
    <w:p w14:paraId="400A9A4B"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La base final contiene 84 trimestres, sin vacíos trimestrales. Las series de tipo de cambio, dolarización de depósitos, índices de precios y tasa de fondos federales están completas (84/84) y fueron verificadas observación por observación contra los archivos oficiales del BCP y de FRED. Las tasas de CDA por moneda provienen de una única fuente y una única definición para todo el período: el tramo de certificados de depósito de ahorro de hasta 365 días (tasa efectiva, promedio del sistema bancario) de los boletines mensuales «Promedio de Tasas» de la Superintendencia de Bancos del BCP, con 242 boletines procesados para 2004–2024. Diez meses del período no fueron publicados por el BCP; el valor trimestral se calcula como promedio de los meses efectivamente publicados y la cobertura de cada trimestre queda documentada en la base (ocho trimestres con cobertura parcial, dos de ellos con un solo mes). El empleo de un tramo de plazo fijo y de una fuente única evita dos problemas de la alternativa basada en el promedio ponderado de todos los plazos: el empalme de dos publicaciones con definiciones distintas en 2010/2011 y el sesgo de composición que inducen los cambios en la estructura de plazos de los depósitos. La serie de promedio ponderado se conserva en la base y se emplea como análisis de sensibilidad (Sección 8.8).</w:t>
      </w:r>
    </w:p>
    <w:p w14:paraId="71CE0629"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8.2. Series de retorno y estadística descriptiva (Etapa 1)</w:t>
      </w:r>
    </w:p>
    <w:p w14:paraId="07CF47B6" w14:textId="27F0913E"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El diferencial de retorno estándar DR promedia 0,36 puntos porcentuales trimestrales en el período completo, con una caída marcada entre subperíodos: 1,70 pp en 2004–2010 frente a −0,32 pp en 2011–2024. La serie conservadora DRcons, que excluye las ganancias por apreciación, promedia valores negativos en todos los cortes (−1,00 pp en el total; −1,20 </w:t>
      </w:r>
      <w:proofErr w:type="spellStart"/>
      <w:r>
        <w:rPr>
          <w:rFonts w:ascii="Arial" w:eastAsia="Arial" w:hAnsi="Arial" w:cs="Arial"/>
          <w:lang w:val="es-ES" w:eastAsia="es-ES"/>
        </w:rPr>
        <w:t>pp</w:t>
      </w:r>
      <w:proofErr w:type="spellEnd"/>
      <w:r>
        <w:rPr>
          <w:rFonts w:ascii="Arial" w:eastAsia="Arial" w:hAnsi="Arial" w:cs="Arial"/>
          <w:lang w:val="es-ES" w:eastAsia="es-ES"/>
        </w:rPr>
        <w:t xml:space="preserve"> post2011). Los valores extremos de la serie (mínimo de −21,8 pp) corresponden a la depreciación abrupta del guaraní durante la crisis financiera internacional de 2008–2009 (Figura 8.1).</w:t>
      </w:r>
    </w:p>
    <w:p w14:paraId="35FECB7D" w14:textId="77777777" w:rsidR="00AC5DC1" w:rsidRDefault="00000000">
      <w:pPr>
        <w:spacing w:before="120" w:after="60" w:line="240" w:lineRule="auto"/>
        <w:jc w:val="center"/>
      </w:pPr>
      <w:r>
        <w:rPr>
          <w:noProof/>
        </w:rPr>
        <w:lastRenderedPageBreak/>
        <w:drawing>
          <wp:inline distT="0" distB="0" distL="0" distR="0" wp14:anchorId="3DC3B869" wp14:editId="18865F4D">
            <wp:extent cx="5400000" cy="3928500"/>
            <wp:effectExtent l="0" t="0" r="0" b="0"/>
            <wp:docPr id="9001" name="FiguraR1" descr="Serie trimestral del diferencial de retorno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aR1"/>
                    <pic:cNvPicPr/>
                  </pic:nvPicPr>
                  <pic:blipFill>
                    <a:blip r:embed="rId16"/>
                    <a:stretch>
                      <a:fillRect/>
                    </a:stretch>
                  </pic:blipFill>
                  <pic:spPr>
                    <a:xfrm>
                      <a:off x="0" y="0"/>
                      <a:ext cx="5400000" cy="3928500"/>
                    </a:xfrm>
                    <a:prstGeom prst="rect">
                      <a:avLst/>
                    </a:prstGeom>
                  </pic:spPr>
                </pic:pic>
              </a:graphicData>
            </a:graphic>
          </wp:inline>
        </w:drawing>
      </w:r>
    </w:p>
    <w:p w14:paraId="0AD140FF" w14:textId="77777777" w:rsidR="00AC5DC1" w:rsidRDefault="00000000">
      <w:pPr>
        <w:spacing w:after="240" w:line="240" w:lineRule="auto"/>
        <w:jc w:val="center"/>
        <w:rPr>
          <w:rFonts w:ascii="Arial" w:eastAsia="Arial" w:hAnsi="Arial" w:cs="Arial"/>
          <w:i/>
          <w:iCs/>
          <w:sz w:val="20"/>
          <w:szCs w:val="20"/>
          <w:lang w:val="es-ES" w:eastAsia="es-ES"/>
        </w:rPr>
      </w:pPr>
      <w:r>
        <w:rPr>
          <w:rFonts w:ascii="Arial" w:eastAsia="Arial" w:hAnsi="Arial" w:cs="Arial"/>
          <w:i/>
          <w:iCs/>
          <w:sz w:val="20"/>
          <w:szCs w:val="20"/>
          <w:lang w:val="es-ES" w:eastAsia="es-ES"/>
        </w:rPr>
        <w:t>Figura 8.1. Diferencial de retorno trimestral DR (guaraníes vs. dólares), 2004–2024. La línea roja marca la adopción del régimen de Metas de Inflación (2011:T2). Fuente: elaboración propia con datos del BCP y FRED.</w:t>
      </w:r>
    </w:p>
    <w:p w14:paraId="18B72E29"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8.3. Coeficiente de Fama y validación de la medida conservadora (Etapa 2)</w:t>
      </w:r>
    </w:p>
    <w:p w14:paraId="4672A539" w14:textId="3CB6583B"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regresión de Fama (ecuación 3), estimada con el diferencial trimestralizado como regresor y errores HAC de </w:t>
      </w:r>
      <w:proofErr w:type="spellStart"/>
      <w:r>
        <w:rPr>
          <w:rFonts w:ascii="Arial" w:eastAsia="Arial" w:hAnsi="Arial" w:cs="Arial"/>
          <w:lang w:val="es-ES" w:eastAsia="es-ES"/>
        </w:rPr>
        <w:t>NeweyWest</w:t>
      </w:r>
      <w:proofErr w:type="spellEnd"/>
      <w:r>
        <w:rPr>
          <w:rFonts w:ascii="Arial" w:eastAsia="Arial" w:hAnsi="Arial" w:cs="Arial"/>
          <w:lang w:val="es-ES" w:eastAsia="es-ES"/>
        </w:rPr>
        <w:t>, arroja un coeficiente β positivo en las tres muestras (Tabla 8.1), aunque con errores estándar amplios y un poder explicativo casi nulo (R² inferior a 0,01). La hipótesis β = 1 (cumplimiento de la UIP) no se rechaza en ninguna muestra (p = 0,898 en la muestra completa): con la serie homogénea del tramo corto no aparece el forward premium puzzle clásico (β negativo). El contraste, sin embargo, es poco informativo por la baja precisión de la estimación los intervalos de confianza son compatibles tanto con β = 1 como con β = 0, de modo que la evidencia sobre la UIP se declara no concluyente en lugar de favorable.</w:t>
      </w:r>
    </w:p>
    <w:p w14:paraId="37395CBD" w14:textId="77777777" w:rsidR="00AC5DC1" w:rsidRDefault="00000000">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8.1. Regresión de Fama con diferencial trimestralizado (errores HAC)</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00"/>
        <w:gridCol w:w="900"/>
        <w:gridCol w:w="2426"/>
        <w:gridCol w:w="1500"/>
        <w:gridCol w:w="1800"/>
      </w:tblGrid>
      <w:tr w:rsidR="00AC5DC1" w14:paraId="4F7231BF" w14:textId="77777777">
        <w:trPr>
          <w:jc w:val="center"/>
        </w:trPr>
        <w:tc>
          <w:tcPr>
            <w:tcW w:w="2400" w:type="dxa"/>
            <w:shd w:val="clear" w:color="auto" w:fill="D9D9D9"/>
            <w:vAlign w:val="center"/>
          </w:tcPr>
          <w:p w14:paraId="2EA7A11E"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Muestra</w:t>
            </w:r>
          </w:p>
        </w:tc>
        <w:tc>
          <w:tcPr>
            <w:tcW w:w="900" w:type="dxa"/>
            <w:shd w:val="clear" w:color="auto" w:fill="D9D9D9"/>
            <w:vAlign w:val="center"/>
          </w:tcPr>
          <w:p w14:paraId="6FDCC94C"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n</w:t>
            </w:r>
          </w:p>
        </w:tc>
        <w:tc>
          <w:tcPr>
            <w:tcW w:w="2426" w:type="dxa"/>
            <w:shd w:val="clear" w:color="auto" w:fill="D9D9D9"/>
            <w:vAlign w:val="center"/>
          </w:tcPr>
          <w:p w14:paraId="04235ACE"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β (EE HAC)</w:t>
            </w:r>
          </w:p>
        </w:tc>
        <w:tc>
          <w:tcPr>
            <w:tcW w:w="1500" w:type="dxa"/>
            <w:shd w:val="clear" w:color="auto" w:fill="D9D9D9"/>
            <w:vAlign w:val="center"/>
          </w:tcPr>
          <w:p w14:paraId="5B5F3D6B"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t (β=1)</w:t>
            </w:r>
          </w:p>
        </w:tc>
        <w:tc>
          <w:tcPr>
            <w:tcW w:w="1800" w:type="dxa"/>
            <w:shd w:val="clear" w:color="auto" w:fill="D9D9D9"/>
            <w:vAlign w:val="center"/>
          </w:tcPr>
          <w:p w14:paraId="6FC40EA1"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p (β=1)</w:t>
            </w:r>
          </w:p>
        </w:tc>
      </w:tr>
      <w:tr w:rsidR="00AC5DC1" w14:paraId="3D6BE83E" w14:textId="77777777">
        <w:trPr>
          <w:jc w:val="center"/>
        </w:trPr>
        <w:tc>
          <w:tcPr>
            <w:tcW w:w="2400" w:type="dxa"/>
            <w:vAlign w:val="center"/>
          </w:tcPr>
          <w:p w14:paraId="6AEB3E95"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Total 2004–2024</w:t>
            </w:r>
          </w:p>
        </w:tc>
        <w:tc>
          <w:tcPr>
            <w:tcW w:w="900" w:type="dxa"/>
            <w:vAlign w:val="center"/>
          </w:tcPr>
          <w:p w14:paraId="5DCCBDEF"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83</w:t>
            </w:r>
          </w:p>
        </w:tc>
        <w:tc>
          <w:tcPr>
            <w:tcW w:w="2426" w:type="dxa"/>
            <w:vAlign w:val="center"/>
          </w:tcPr>
          <w:p w14:paraId="129F519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+1,163 (1,270)</w:t>
            </w:r>
          </w:p>
        </w:tc>
        <w:tc>
          <w:tcPr>
            <w:tcW w:w="1500" w:type="dxa"/>
            <w:vAlign w:val="center"/>
          </w:tcPr>
          <w:p w14:paraId="0508F60E"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+0,13</w:t>
            </w:r>
          </w:p>
        </w:tc>
        <w:tc>
          <w:tcPr>
            <w:tcW w:w="1800" w:type="dxa"/>
            <w:vAlign w:val="center"/>
          </w:tcPr>
          <w:p w14:paraId="43D42A69"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0,898</w:t>
            </w:r>
          </w:p>
        </w:tc>
      </w:tr>
      <w:tr w:rsidR="00AC5DC1" w14:paraId="2BF361C7" w14:textId="77777777">
        <w:trPr>
          <w:jc w:val="center"/>
        </w:trPr>
        <w:tc>
          <w:tcPr>
            <w:tcW w:w="2400" w:type="dxa"/>
            <w:vAlign w:val="center"/>
          </w:tcPr>
          <w:p w14:paraId="6FB97427" w14:textId="5DE05753"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Pre2011</w:t>
            </w:r>
          </w:p>
        </w:tc>
        <w:tc>
          <w:tcPr>
            <w:tcW w:w="900" w:type="dxa"/>
            <w:vAlign w:val="center"/>
          </w:tcPr>
          <w:p w14:paraId="38A9F002"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29</w:t>
            </w:r>
          </w:p>
        </w:tc>
        <w:tc>
          <w:tcPr>
            <w:tcW w:w="2426" w:type="dxa"/>
            <w:vAlign w:val="center"/>
          </w:tcPr>
          <w:p w14:paraId="6A694FAB"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+0,052 (1,594)</w:t>
            </w:r>
          </w:p>
        </w:tc>
        <w:tc>
          <w:tcPr>
            <w:tcW w:w="1500" w:type="dxa"/>
            <w:vAlign w:val="center"/>
          </w:tcPr>
          <w:p w14:paraId="6522563E"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−0,59</w:t>
            </w:r>
          </w:p>
        </w:tc>
        <w:tc>
          <w:tcPr>
            <w:tcW w:w="1800" w:type="dxa"/>
            <w:vAlign w:val="center"/>
          </w:tcPr>
          <w:p w14:paraId="715383C7"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0,557</w:t>
            </w:r>
          </w:p>
        </w:tc>
      </w:tr>
      <w:tr w:rsidR="00AC5DC1" w14:paraId="39F135BD" w14:textId="77777777">
        <w:trPr>
          <w:jc w:val="center"/>
        </w:trPr>
        <w:tc>
          <w:tcPr>
            <w:tcW w:w="2400" w:type="dxa"/>
            <w:vAlign w:val="center"/>
          </w:tcPr>
          <w:p w14:paraId="32FAEC21" w14:textId="0282E273"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Post2011</w:t>
            </w:r>
          </w:p>
        </w:tc>
        <w:tc>
          <w:tcPr>
            <w:tcW w:w="900" w:type="dxa"/>
            <w:vAlign w:val="center"/>
          </w:tcPr>
          <w:p w14:paraId="5F4189D9"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54</w:t>
            </w:r>
          </w:p>
        </w:tc>
        <w:tc>
          <w:tcPr>
            <w:tcW w:w="2426" w:type="dxa"/>
            <w:vAlign w:val="center"/>
          </w:tcPr>
          <w:p w14:paraId="70523E3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+0,836 (1,295)</w:t>
            </w:r>
          </w:p>
        </w:tc>
        <w:tc>
          <w:tcPr>
            <w:tcW w:w="1500" w:type="dxa"/>
            <w:vAlign w:val="center"/>
          </w:tcPr>
          <w:p w14:paraId="1E28E16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−0,13</w:t>
            </w:r>
          </w:p>
        </w:tc>
        <w:tc>
          <w:tcPr>
            <w:tcW w:w="1800" w:type="dxa"/>
            <w:vAlign w:val="center"/>
          </w:tcPr>
          <w:p w14:paraId="215AF838"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0,900</w:t>
            </w:r>
          </w:p>
        </w:tc>
      </w:tr>
    </w:tbl>
    <w:p w14:paraId="75A772BE" w14:textId="7235FA57" w:rsidR="00AC5DC1" w:rsidRDefault="00000000">
      <w:pPr>
        <w:spacing w:before="120" w:after="120" w:line="480" w:lineRule="auto"/>
        <w:jc w:val="both"/>
        <w:rPr>
          <w:rFonts w:ascii="Arial" w:eastAsia="Arial" w:hAnsi="Arial" w:cs="Arial"/>
          <w:lang w:val="es-ES" w:eastAsia="es-ES"/>
        </w:rPr>
      </w:pPr>
      <w:r>
        <w:rPr>
          <w:rFonts w:ascii="Arial" w:eastAsia="Arial" w:hAnsi="Arial" w:cs="Arial"/>
          <w:lang w:val="es-ES" w:eastAsia="es-ES"/>
        </w:rPr>
        <w:lastRenderedPageBreak/>
        <w:t>La prueba unilateral sobre la media de la serie conservadora no permite rechazar H0: μ(DRcons) ≤ 0 en ninguna muestra; en el subperíodo post2011 la media es negativa y estadísticamente distinta de cero (−1,20; IC 95 % [−1,86; −0,54]). En consecuencia, una vez excluidas las ganancias por apreciación, no existe evidencia de un premio estructural positivo del guaraní: el diferencial conservador constituye una cota inferior que resulta nula o negativa. Este hallazgo, contrario a la expectativa inicial, se reporta como tal.</w:t>
      </w:r>
    </w:p>
    <w:p w14:paraId="33E9D01F"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8.4. Estacionariedad y quiebre estructural (Etapa 3)</w:t>
      </w:r>
    </w:p>
    <w:p w14:paraId="2BE1FAB9" w14:textId="10DD39E5"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Las pruebas de raíz unitaria rechazan con holgura la no estacionariedad de la serie DR (ADF: −4,35; </w:t>
      </w:r>
      <w:proofErr w:type="spellStart"/>
      <w:r>
        <w:rPr>
          <w:rFonts w:ascii="Arial" w:eastAsia="Arial" w:hAnsi="Arial" w:cs="Arial"/>
          <w:lang w:val="es-ES" w:eastAsia="es-ES"/>
        </w:rPr>
        <w:t>PhillipsPerron</w:t>
      </w:r>
      <w:proofErr w:type="spellEnd"/>
      <w:r>
        <w:rPr>
          <w:rFonts w:ascii="Arial" w:eastAsia="Arial" w:hAnsi="Arial" w:cs="Arial"/>
          <w:lang w:val="es-ES" w:eastAsia="es-ES"/>
        </w:rPr>
        <w:t>: −7,33; ambas muy por debajo del valor crítico al 1 %), por lo que las regresiones en niveles son válidas y no existe riesgo de regresión espuria. La prueba t de diferencia de medias entre subperíodos arroja una caída del diferencial de 2,41 pp (p = 0,034), marginalmente significativa. El resultado más relevante de la etapa es el fechado endógeno del quiebre: sobre la serie DR, el contraste de quiebre único (</w:t>
      </w:r>
      <w:proofErr w:type="spellStart"/>
      <w:r>
        <w:rPr>
          <w:rFonts w:ascii="Arial" w:eastAsia="Arial" w:hAnsi="Arial" w:cs="Arial"/>
          <w:lang w:val="es-ES" w:eastAsia="es-ES"/>
        </w:rPr>
        <w:t>supWald</w:t>
      </w:r>
      <w:proofErr w:type="spellEnd"/>
      <w:r>
        <w:rPr>
          <w:rFonts w:ascii="Arial" w:eastAsia="Arial" w:hAnsi="Arial" w:cs="Arial"/>
          <w:lang w:val="es-ES" w:eastAsia="es-ES"/>
        </w:rPr>
        <w:t xml:space="preserve">) sitúa la ruptura dominante en 2008:T2 la crisis financiera internacional y no en 2011, y el fechado de mínimos cuadrados de </w:t>
      </w:r>
      <w:proofErr w:type="spellStart"/>
      <w:r>
        <w:rPr>
          <w:rFonts w:ascii="Arial" w:eastAsia="Arial" w:hAnsi="Arial" w:cs="Arial"/>
          <w:lang w:val="es-ES" w:eastAsia="es-ES"/>
        </w:rPr>
        <w:t>BaiPerron</w:t>
      </w:r>
      <w:proofErr w:type="spellEnd"/>
      <w:r>
        <w:rPr>
          <w:rFonts w:ascii="Arial" w:eastAsia="Arial" w:hAnsi="Arial" w:cs="Arial"/>
          <w:lang w:val="es-ES" w:eastAsia="es-ES"/>
        </w:rPr>
        <w:t xml:space="preserve"> tampoco selecciona 2011:T2 (su datación exacta es sensible al ancho mínimo de segmento admitido y se reporta en el log de la corrida). Aplicado a la prima de riesgo </w:t>
      </w:r>
      <w:proofErr w:type="spellStart"/>
      <w:r>
        <w:rPr>
          <w:rFonts w:ascii="Arial" w:eastAsia="Arial" w:hAnsi="Arial" w:cs="Arial"/>
          <w:lang w:val="es-ES" w:eastAsia="es-ES"/>
        </w:rPr>
        <w:t>rp</w:t>
      </w:r>
      <w:proofErr w:type="spellEnd"/>
      <w:r>
        <w:rPr>
          <w:rFonts w:ascii="Arial" w:eastAsia="Arial" w:hAnsi="Arial" w:cs="Arial"/>
          <w:lang w:val="es-ES" w:eastAsia="es-ES"/>
        </w:rPr>
        <w:t xml:space="preserve"> el objeto directo de la hipótesis, el procedimiento de </w:t>
      </w:r>
      <w:proofErr w:type="spellStart"/>
      <w:r>
        <w:rPr>
          <w:rFonts w:ascii="Arial" w:eastAsia="Arial" w:hAnsi="Arial" w:cs="Arial"/>
          <w:lang w:val="es-ES" w:eastAsia="es-ES"/>
        </w:rPr>
        <w:t>BaiPerron</w:t>
      </w:r>
      <w:proofErr w:type="spellEnd"/>
      <w:r>
        <w:rPr>
          <w:rFonts w:ascii="Arial" w:eastAsia="Arial" w:hAnsi="Arial" w:cs="Arial"/>
          <w:lang w:val="es-ES" w:eastAsia="es-ES"/>
        </w:rPr>
        <w:t xml:space="preserve"> fecha el quiebre único precisamente en 2011:T2 (</w:t>
      </w:r>
      <w:proofErr w:type="spellStart"/>
      <w:r>
        <w:rPr>
          <w:rFonts w:ascii="Arial" w:eastAsia="Arial" w:hAnsi="Arial" w:cs="Arial"/>
          <w:lang w:val="es-ES" w:eastAsia="es-ES"/>
        </w:rPr>
        <w:t>supWald</w:t>
      </w:r>
      <w:proofErr w:type="spellEnd"/>
      <w:r>
        <w:rPr>
          <w:rFonts w:ascii="Arial" w:eastAsia="Arial" w:hAnsi="Arial" w:cs="Arial"/>
          <w:lang w:val="es-ES" w:eastAsia="es-ES"/>
        </w:rPr>
        <w:t xml:space="preserve"> = 43,66; p &lt; 0,001), el trimestre de la adopción del régimen. La partición pre/post 2011 empleada en el diseño conserva su justificación institucional (Resolución N.º 22, Acta N.º 31 del BCP), pero debe interpretarse como una fecha impuesta por la teoría y no como el quiebre que los datos seleccionan por sí mismos.</w:t>
      </w:r>
    </w:p>
    <w:p w14:paraId="175C4D4C"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8.5. Descomposición de Fisher (Etapa 4): la primera capa de la recomposición</w:t>
      </w:r>
    </w:p>
    <w:p w14:paraId="4B0E1807" w14:textId="1A1A3BF5"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La descomposición de Fisher confirma la primera capa de la hipótesis de recomposición, y lo hace con mayor nitidez que la conjeturada (Tabla 8.2). En el subperíodo pre2011 la prima de riesgo era negativa (−2,27 pp): el diferencial nominal (2,45 pp) no alcanzaba a </w:t>
      </w:r>
      <w:r>
        <w:rPr>
          <w:rFonts w:ascii="Arial" w:eastAsia="Arial" w:hAnsi="Arial" w:cs="Arial"/>
          <w:lang w:val="es-ES" w:eastAsia="es-ES"/>
        </w:rPr>
        <w:lastRenderedPageBreak/>
        <w:t>compensar el diferencial de inflación entre Paraguay y Estados Unidos (4,72 pp), de modo que el depositante en guaraníes del tramo corto no recibía compensación real alguna. Tras la adopción de Metas de Inflación la prima de inflación se contrae (−3,07 pp; p &lt; 0,001), el diferencial nominal aumenta (+0,83 pp; p = 0,019) y emerge por primera vez una prima de riesgo positiva (1,63 pp; el salto es de +3,89 pp, p &lt; 0,001). En el subperíodo post2011 el diferencial se reparte en 50,4 % de prima de inflación y 49,6 % de prima de riesgo (las proporciones del subperíodo pre2011 no son interpretables porque la prima es negativa). Tras 2011 el diferencial no se redujo: su estructura cambió, en coincidencia con el nuevo régimen, comprimiendo el componente inflacionario y dando lugar a una prima de riesgo real positiva donde antes no la había (Figura 8.2).</w:t>
      </w:r>
    </w:p>
    <w:p w14:paraId="76BC9FF4" w14:textId="77777777" w:rsidR="00AC5DC1" w:rsidRDefault="00000000">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8.2. Descomposición de Fisher del diferencial nominal (medias por subperíodo, pp)</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800"/>
        <w:gridCol w:w="1500"/>
        <w:gridCol w:w="1600"/>
        <w:gridCol w:w="1600"/>
        <w:gridCol w:w="1263"/>
        <w:gridCol w:w="1263"/>
      </w:tblGrid>
      <w:tr w:rsidR="00AC5DC1" w14:paraId="14D7E609" w14:textId="77777777">
        <w:trPr>
          <w:jc w:val="center"/>
        </w:trPr>
        <w:tc>
          <w:tcPr>
            <w:tcW w:w="1800" w:type="dxa"/>
            <w:shd w:val="clear" w:color="auto" w:fill="D9D9D9"/>
            <w:vAlign w:val="center"/>
          </w:tcPr>
          <w:p w14:paraId="3D51448F"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Subperíodo</w:t>
            </w:r>
          </w:p>
        </w:tc>
        <w:tc>
          <w:tcPr>
            <w:tcW w:w="1500" w:type="dxa"/>
            <w:shd w:val="clear" w:color="auto" w:fill="D9D9D9"/>
            <w:vAlign w:val="center"/>
          </w:tcPr>
          <w:p w14:paraId="71BFF198"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Dif. nominal</w:t>
            </w:r>
          </w:p>
        </w:tc>
        <w:tc>
          <w:tcPr>
            <w:tcW w:w="1600" w:type="dxa"/>
            <w:shd w:val="clear" w:color="auto" w:fill="D9D9D9"/>
            <w:vAlign w:val="center"/>
          </w:tcPr>
          <w:p w14:paraId="6BA457A4"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Prima inflación</w:t>
            </w:r>
          </w:p>
        </w:tc>
        <w:tc>
          <w:tcPr>
            <w:tcW w:w="1600" w:type="dxa"/>
            <w:shd w:val="clear" w:color="auto" w:fill="D9D9D9"/>
            <w:vAlign w:val="center"/>
          </w:tcPr>
          <w:p w14:paraId="1AC31F7F"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Prima riesgo</w:t>
            </w:r>
          </w:p>
        </w:tc>
        <w:tc>
          <w:tcPr>
            <w:tcW w:w="1263" w:type="dxa"/>
            <w:shd w:val="clear" w:color="auto" w:fill="D9D9D9"/>
            <w:vAlign w:val="center"/>
          </w:tcPr>
          <w:p w14:paraId="4A9C1AC9"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 inflación</w:t>
            </w:r>
          </w:p>
        </w:tc>
        <w:tc>
          <w:tcPr>
            <w:tcW w:w="1263" w:type="dxa"/>
            <w:shd w:val="clear" w:color="auto" w:fill="D9D9D9"/>
            <w:vAlign w:val="center"/>
          </w:tcPr>
          <w:p w14:paraId="61BC6E14"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 riesgo</w:t>
            </w:r>
          </w:p>
        </w:tc>
      </w:tr>
      <w:tr w:rsidR="00AC5DC1" w14:paraId="41CA3217" w14:textId="77777777">
        <w:trPr>
          <w:jc w:val="center"/>
        </w:trPr>
        <w:tc>
          <w:tcPr>
            <w:tcW w:w="1800" w:type="dxa"/>
            <w:vAlign w:val="center"/>
          </w:tcPr>
          <w:p w14:paraId="39A0A8E8" w14:textId="7B7ADE32"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Pre2011 (n=25)</w:t>
            </w:r>
          </w:p>
        </w:tc>
        <w:tc>
          <w:tcPr>
            <w:tcW w:w="1500" w:type="dxa"/>
            <w:vAlign w:val="center"/>
          </w:tcPr>
          <w:p w14:paraId="637CAA9D"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2,45</w:t>
            </w:r>
          </w:p>
        </w:tc>
        <w:tc>
          <w:tcPr>
            <w:tcW w:w="1600" w:type="dxa"/>
            <w:vAlign w:val="center"/>
          </w:tcPr>
          <w:p w14:paraId="40AA3D2D"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4,72</w:t>
            </w:r>
          </w:p>
        </w:tc>
        <w:tc>
          <w:tcPr>
            <w:tcW w:w="1600" w:type="dxa"/>
            <w:vAlign w:val="center"/>
          </w:tcPr>
          <w:p w14:paraId="5DF9AFA7"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−2,27</w:t>
            </w:r>
          </w:p>
        </w:tc>
        <w:tc>
          <w:tcPr>
            <w:tcW w:w="1263" w:type="dxa"/>
            <w:vAlign w:val="center"/>
          </w:tcPr>
          <w:p w14:paraId="4ED47E5F" w14:textId="1202D23F" w:rsidR="00AC5DC1" w:rsidRDefault="00AC5DC1">
            <w:pPr>
              <w:spacing w:after="0" w:line="240" w:lineRule="auto"/>
              <w:jc w:val="center"/>
              <w:rPr>
                <w:rFonts w:ascii="Arial" w:eastAsia="Arial" w:hAnsi="Arial" w:cs="Arial"/>
                <w:sz w:val="18"/>
                <w:szCs w:val="18"/>
              </w:rPr>
            </w:pPr>
          </w:p>
        </w:tc>
        <w:tc>
          <w:tcPr>
            <w:tcW w:w="1263" w:type="dxa"/>
            <w:vAlign w:val="center"/>
          </w:tcPr>
          <w:p w14:paraId="4900E125" w14:textId="11487C61" w:rsidR="00AC5DC1" w:rsidRDefault="00AC5DC1">
            <w:pPr>
              <w:spacing w:after="0" w:line="240" w:lineRule="auto"/>
              <w:jc w:val="center"/>
              <w:rPr>
                <w:rFonts w:ascii="Arial" w:eastAsia="Arial" w:hAnsi="Arial" w:cs="Arial"/>
                <w:sz w:val="18"/>
                <w:szCs w:val="18"/>
              </w:rPr>
            </w:pPr>
          </w:p>
        </w:tc>
      </w:tr>
      <w:tr w:rsidR="00AC5DC1" w14:paraId="2A04BC17" w14:textId="77777777">
        <w:trPr>
          <w:jc w:val="center"/>
        </w:trPr>
        <w:tc>
          <w:tcPr>
            <w:tcW w:w="1800" w:type="dxa"/>
            <w:vAlign w:val="center"/>
          </w:tcPr>
          <w:p w14:paraId="04F07A8B" w14:textId="33AB2D36"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Post2011 (n=55)</w:t>
            </w:r>
          </w:p>
        </w:tc>
        <w:tc>
          <w:tcPr>
            <w:tcW w:w="1500" w:type="dxa"/>
            <w:vAlign w:val="center"/>
          </w:tcPr>
          <w:p w14:paraId="1899E656"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3,28</w:t>
            </w:r>
          </w:p>
        </w:tc>
        <w:tc>
          <w:tcPr>
            <w:tcW w:w="1600" w:type="dxa"/>
            <w:vAlign w:val="center"/>
          </w:tcPr>
          <w:p w14:paraId="632641CA"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1,66</w:t>
            </w:r>
          </w:p>
        </w:tc>
        <w:tc>
          <w:tcPr>
            <w:tcW w:w="1600" w:type="dxa"/>
            <w:vAlign w:val="center"/>
          </w:tcPr>
          <w:p w14:paraId="4DB6C656"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1,63</w:t>
            </w:r>
          </w:p>
        </w:tc>
        <w:tc>
          <w:tcPr>
            <w:tcW w:w="1263" w:type="dxa"/>
            <w:vAlign w:val="center"/>
          </w:tcPr>
          <w:p w14:paraId="77E3B6EB"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50,4 %</w:t>
            </w:r>
          </w:p>
        </w:tc>
        <w:tc>
          <w:tcPr>
            <w:tcW w:w="1263" w:type="dxa"/>
            <w:vAlign w:val="center"/>
          </w:tcPr>
          <w:p w14:paraId="75ED41DD"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49,6 %</w:t>
            </w:r>
          </w:p>
        </w:tc>
      </w:tr>
    </w:tbl>
    <w:p w14:paraId="12B07B20" w14:textId="77777777" w:rsidR="00AC5DC1" w:rsidRDefault="00000000">
      <w:pPr>
        <w:spacing w:before="120" w:after="60" w:line="240" w:lineRule="auto"/>
        <w:jc w:val="center"/>
      </w:pPr>
      <w:r>
        <w:rPr>
          <w:noProof/>
        </w:rPr>
        <w:drawing>
          <wp:inline distT="0" distB="0" distL="0" distR="0" wp14:anchorId="7602C790" wp14:editId="63AEE129">
            <wp:extent cx="5400000" cy="3928500"/>
            <wp:effectExtent l="0" t="0" r="0" b="0"/>
            <wp:docPr id="9002" name="FiguraR2" descr="Descomposicion de Fisher del dif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aR2"/>
                    <pic:cNvPicPr/>
                  </pic:nvPicPr>
                  <pic:blipFill>
                    <a:blip r:embed="rId17"/>
                    <a:stretch>
                      <a:fillRect/>
                    </a:stretch>
                  </pic:blipFill>
                  <pic:spPr>
                    <a:xfrm>
                      <a:off x="0" y="0"/>
                      <a:ext cx="5400000" cy="3928500"/>
                    </a:xfrm>
                    <a:prstGeom prst="rect">
                      <a:avLst/>
                    </a:prstGeom>
                  </pic:spPr>
                </pic:pic>
              </a:graphicData>
            </a:graphic>
          </wp:inline>
        </w:drawing>
      </w:r>
    </w:p>
    <w:p w14:paraId="17703A04" w14:textId="77777777" w:rsidR="00AC5DC1" w:rsidRDefault="00000000">
      <w:pPr>
        <w:spacing w:after="240" w:line="240" w:lineRule="auto"/>
        <w:jc w:val="center"/>
        <w:rPr>
          <w:rFonts w:ascii="Arial" w:eastAsia="Arial" w:hAnsi="Arial" w:cs="Arial"/>
          <w:i/>
          <w:iCs/>
          <w:sz w:val="20"/>
          <w:szCs w:val="20"/>
          <w:lang w:val="es-ES" w:eastAsia="es-ES"/>
        </w:rPr>
      </w:pPr>
      <w:r>
        <w:rPr>
          <w:rFonts w:ascii="Arial" w:eastAsia="Arial" w:hAnsi="Arial" w:cs="Arial"/>
          <w:i/>
          <w:iCs/>
          <w:sz w:val="20"/>
          <w:szCs w:val="20"/>
          <w:lang w:val="es-ES" w:eastAsia="es-ES"/>
        </w:rPr>
        <w:t>Figura 8.2. Descomposición de Fisher: prima de inflación vs. prima de riesgo, antes y después de 2011. Fuente: elaboración propia.</w:t>
      </w:r>
    </w:p>
    <w:p w14:paraId="476E788E" w14:textId="48F22CA2"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8.6. Modelo MCOHAC con interacciones (Etapa 5): el contraste central de la recomposición</w:t>
      </w:r>
    </w:p>
    <w:p w14:paraId="7413B5E7" w14:textId="17003673"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 xml:space="preserve">El modelo de la ecuación (9) se estima con la prima de riesgo residual (rp) como variable dependiente conforme a la especificación adoptada para eliminar la circularidad de Fisher y con la volatilidad cambiaria y la dolarización centradas en su media, de modo que la indicadora de régimen se interprete en valores promedio de los determinantes. La Tabla 8.3 reporta los resultados (n = 80; errores HAC de </w:t>
      </w:r>
      <w:proofErr w:type="spellStart"/>
      <w:r>
        <w:rPr>
          <w:rFonts w:ascii="Arial" w:eastAsia="Arial" w:hAnsi="Arial" w:cs="Arial"/>
          <w:lang w:val="es-ES" w:eastAsia="es-ES"/>
        </w:rPr>
        <w:t>NeweyWest</w:t>
      </w:r>
      <w:proofErr w:type="spellEnd"/>
      <w:r>
        <w:rPr>
          <w:rFonts w:ascii="Arial" w:eastAsia="Arial" w:hAnsi="Arial" w:cs="Arial"/>
          <w:lang w:val="es-ES" w:eastAsia="es-ES"/>
        </w:rPr>
        <w:t xml:space="preserve"> con rezago 4; R² = 0,47).</w:t>
      </w:r>
    </w:p>
    <w:p w14:paraId="33364259" w14:textId="61DBC340" w:rsidR="00AC5DC1" w:rsidRDefault="00000000">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8.3. Modelo MCOHAC con interacciones (dependiente: prima de riesgo rp; n = 80)</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900"/>
        <w:gridCol w:w="2900"/>
        <w:gridCol w:w="1600"/>
        <w:gridCol w:w="1600"/>
        <w:gridCol w:w="2026"/>
      </w:tblGrid>
      <w:tr w:rsidR="00AC5DC1" w14:paraId="21CC89DF" w14:textId="77777777">
        <w:trPr>
          <w:jc w:val="center"/>
        </w:trPr>
        <w:tc>
          <w:tcPr>
            <w:tcW w:w="900" w:type="dxa"/>
            <w:shd w:val="clear" w:color="auto" w:fill="D9D9D9"/>
            <w:vAlign w:val="center"/>
          </w:tcPr>
          <w:p w14:paraId="439C2BAB" w14:textId="77777777" w:rsidR="00AC5DC1" w:rsidRDefault="00AC5DC1">
            <w:pPr>
              <w:spacing w:after="0" w:line="240" w:lineRule="auto"/>
              <w:jc w:val="center"/>
              <w:rPr>
                <w:rFonts w:ascii="Arial" w:eastAsia="Arial" w:hAnsi="Arial" w:cs="Arial"/>
                <w:b/>
                <w:sz w:val="18"/>
                <w:szCs w:val="18"/>
              </w:rPr>
            </w:pPr>
          </w:p>
        </w:tc>
        <w:tc>
          <w:tcPr>
            <w:tcW w:w="2900" w:type="dxa"/>
            <w:shd w:val="clear" w:color="auto" w:fill="D9D9D9"/>
            <w:vAlign w:val="center"/>
          </w:tcPr>
          <w:p w14:paraId="59442912"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Variable</w:t>
            </w:r>
          </w:p>
        </w:tc>
        <w:tc>
          <w:tcPr>
            <w:tcW w:w="1600" w:type="dxa"/>
            <w:shd w:val="clear" w:color="auto" w:fill="D9D9D9"/>
            <w:vAlign w:val="center"/>
          </w:tcPr>
          <w:p w14:paraId="26E86B3C"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Estimado</w:t>
            </w:r>
          </w:p>
        </w:tc>
        <w:tc>
          <w:tcPr>
            <w:tcW w:w="1600" w:type="dxa"/>
            <w:shd w:val="clear" w:color="auto" w:fill="D9D9D9"/>
            <w:vAlign w:val="center"/>
          </w:tcPr>
          <w:p w14:paraId="3D66B284"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EE (HAC)</w:t>
            </w:r>
          </w:p>
        </w:tc>
        <w:tc>
          <w:tcPr>
            <w:tcW w:w="2026" w:type="dxa"/>
            <w:shd w:val="clear" w:color="auto" w:fill="D9D9D9"/>
            <w:vAlign w:val="center"/>
          </w:tcPr>
          <w:p w14:paraId="27DB4400"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p</w:t>
            </w:r>
          </w:p>
        </w:tc>
      </w:tr>
      <w:tr w:rsidR="00AC5DC1" w14:paraId="3572CA22" w14:textId="77777777">
        <w:trPr>
          <w:jc w:val="center"/>
        </w:trPr>
        <w:tc>
          <w:tcPr>
            <w:tcW w:w="900" w:type="dxa"/>
            <w:vAlign w:val="center"/>
          </w:tcPr>
          <w:p w14:paraId="3ED1E9A2"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β0</w:t>
            </w:r>
          </w:p>
        </w:tc>
        <w:tc>
          <w:tcPr>
            <w:tcW w:w="2900" w:type="dxa"/>
            <w:vAlign w:val="center"/>
          </w:tcPr>
          <w:p w14:paraId="15FCB97B"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constante</w:t>
            </w:r>
          </w:p>
        </w:tc>
        <w:tc>
          <w:tcPr>
            <w:tcW w:w="1600" w:type="dxa"/>
            <w:vAlign w:val="center"/>
          </w:tcPr>
          <w:p w14:paraId="1B645E0E"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−2,214</w:t>
            </w:r>
          </w:p>
        </w:tc>
        <w:tc>
          <w:tcPr>
            <w:tcW w:w="1600" w:type="dxa"/>
            <w:vAlign w:val="center"/>
          </w:tcPr>
          <w:p w14:paraId="747905AA"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0,454</w:t>
            </w:r>
          </w:p>
        </w:tc>
        <w:tc>
          <w:tcPr>
            <w:tcW w:w="2026" w:type="dxa"/>
            <w:vAlign w:val="center"/>
          </w:tcPr>
          <w:p w14:paraId="61DB4F0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0,000</w:t>
            </w:r>
          </w:p>
        </w:tc>
      </w:tr>
      <w:tr w:rsidR="00AC5DC1" w14:paraId="41E4EFE2" w14:textId="77777777">
        <w:trPr>
          <w:jc w:val="center"/>
        </w:trPr>
        <w:tc>
          <w:tcPr>
            <w:tcW w:w="900" w:type="dxa"/>
            <w:vAlign w:val="center"/>
          </w:tcPr>
          <w:p w14:paraId="0FC13BFE"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β2</w:t>
            </w:r>
          </w:p>
        </w:tc>
        <w:tc>
          <w:tcPr>
            <w:tcW w:w="2900" w:type="dxa"/>
            <w:vAlign w:val="center"/>
          </w:tcPr>
          <w:p w14:paraId="03273740"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VolTC (centrada)</w:t>
            </w:r>
          </w:p>
        </w:tc>
        <w:tc>
          <w:tcPr>
            <w:tcW w:w="1600" w:type="dxa"/>
            <w:vAlign w:val="center"/>
          </w:tcPr>
          <w:p w14:paraId="127F39AA"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+0,283</w:t>
            </w:r>
          </w:p>
        </w:tc>
        <w:tc>
          <w:tcPr>
            <w:tcW w:w="1600" w:type="dxa"/>
            <w:vAlign w:val="center"/>
          </w:tcPr>
          <w:p w14:paraId="35D3F71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0,111</w:t>
            </w:r>
          </w:p>
        </w:tc>
        <w:tc>
          <w:tcPr>
            <w:tcW w:w="2026" w:type="dxa"/>
            <w:vAlign w:val="center"/>
          </w:tcPr>
          <w:p w14:paraId="1FBA1C85"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0,013</w:t>
            </w:r>
          </w:p>
        </w:tc>
      </w:tr>
      <w:tr w:rsidR="00AC5DC1" w14:paraId="60FF013D" w14:textId="77777777">
        <w:trPr>
          <w:jc w:val="center"/>
        </w:trPr>
        <w:tc>
          <w:tcPr>
            <w:tcW w:w="900" w:type="dxa"/>
            <w:vAlign w:val="center"/>
          </w:tcPr>
          <w:p w14:paraId="06D39B94"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β3</w:t>
            </w:r>
          </w:p>
        </w:tc>
        <w:tc>
          <w:tcPr>
            <w:tcW w:w="2900" w:type="dxa"/>
            <w:vAlign w:val="center"/>
          </w:tcPr>
          <w:p w14:paraId="7F043482"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Iliq (centrada)</w:t>
            </w:r>
          </w:p>
        </w:tc>
        <w:tc>
          <w:tcPr>
            <w:tcW w:w="1600" w:type="dxa"/>
            <w:vAlign w:val="center"/>
          </w:tcPr>
          <w:p w14:paraId="5F5F64D2"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+0,158</w:t>
            </w:r>
          </w:p>
        </w:tc>
        <w:tc>
          <w:tcPr>
            <w:tcW w:w="1600" w:type="dxa"/>
            <w:vAlign w:val="center"/>
          </w:tcPr>
          <w:p w14:paraId="69ABC765"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0,097</w:t>
            </w:r>
          </w:p>
        </w:tc>
        <w:tc>
          <w:tcPr>
            <w:tcW w:w="2026" w:type="dxa"/>
            <w:vAlign w:val="center"/>
          </w:tcPr>
          <w:p w14:paraId="7E0D583C"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0,109</w:t>
            </w:r>
          </w:p>
        </w:tc>
      </w:tr>
      <w:tr w:rsidR="00AC5DC1" w14:paraId="0127E853" w14:textId="77777777">
        <w:trPr>
          <w:jc w:val="center"/>
        </w:trPr>
        <w:tc>
          <w:tcPr>
            <w:tcW w:w="900" w:type="dxa"/>
            <w:vAlign w:val="center"/>
          </w:tcPr>
          <w:p w14:paraId="31DF5C59"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β4</w:t>
            </w:r>
          </w:p>
        </w:tc>
        <w:tc>
          <w:tcPr>
            <w:tcW w:w="2900" w:type="dxa"/>
            <w:vAlign w:val="center"/>
          </w:tcPr>
          <w:p w14:paraId="60E69E58"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D2011</w:t>
            </w:r>
          </w:p>
        </w:tc>
        <w:tc>
          <w:tcPr>
            <w:tcW w:w="1600" w:type="dxa"/>
            <w:vAlign w:val="center"/>
          </w:tcPr>
          <w:p w14:paraId="0A5571E9"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+3,887</w:t>
            </w:r>
          </w:p>
        </w:tc>
        <w:tc>
          <w:tcPr>
            <w:tcW w:w="1600" w:type="dxa"/>
            <w:vAlign w:val="center"/>
          </w:tcPr>
          <w:p w14:paraId="0AFFA64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0,516</w:t>
            </w:r>
          </w:p>
        </w:tc>
        <w:tc>
          <w:tcPr>
            <w:tcW w:w="2026" w:type="dxa"/>
            <w:vAlign w:val="center"/>
          </w:tcPr>
          <w:p w14:paraId="0C99BE58"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0,000</w:t>
            </w:r>
          </w:p>
        </w:tc>
      </w:tr>
      <w:tr w:rsidR="00AC5DC1" w14:paraId="1C50714A" w14:textId="77777777">
        <w:trPr>
          <w:jc w:val="center"/>
        </w:trPr>
        <w:tc>
          <w:tcPr>
            <w:tcW w:w="900" w:type="dxa"/>
            <w:vAlign w:val="center"/>
          </w:tcPr>
          <w:p w14:paraId="73086E06"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β5</w:t>
            </w:r>
          </w:p>
        </w:tc>
        <w:tc>
          <w:tcPr>
            <w:tcW w:w="2900" w:type="dxa"/>
            <w:vAlign w:val="center"/>
          </w:tcPr>
          <w:p w14:paraId="2571CD06"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D2011×VolTC (esp. &lt; 0)</w:t>
            </w:r>
          </w:p>
        </w:tc>
        <w:tc>
          <w:tcPr>
            <w:tcW w:w="1600" w:type="dxa"/>
            <w:vAlign w:val="center"/>
          </w:tcPr>
          <w:p w14:paraId="19D33354"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−0,345</w:t>
            </w:r>
          </w:p>
        </w:tc>
        <w:tc>
          <w:tcPr>
            <w:tcW w:w="1600" w:type="dxa"/>
            <w:vAlign w:val="center"/>
          </w:tcPr>
          <w:p w14:paraId="5664D051"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0,216</w:t>
            </w:r>
          </w:p>
        </w:tc>
        <w:tc>
          <w:tcPr>
            <w:tcW w:w="2026" w:type="dxa"/>
            <w:vAlign w:val="center"/>
          </w:tcPr>
          <w:p w14:paraId="7498931B"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0,114</w:t>
            </w:r>
          </w:p>
        </w:tc>
      </w:tr>
      <w:tr w:rsidR="00AC5DC1" w14:paraId="5118D9E0" w14:textId="77777777">
        <w:trPr>
          <w:jc w:val="center"/>
        </w:trPr>
        <w:tc>
          <w:tcPr>
            <w:tcW w:w="900" w:type="dxa"/>
            <w:vAlign w:val="center"/>
          </w:tcPr>
          <w:p w14:paraId="5516EEBC"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β6</w:t>
            </w:r>
          </w:p>
        </w:tc>
        <w:tc>
          <w:tcPr>
            <w:tcW w:w="2900" w:type="dxa"/>
            <w:vAlign w:val="center"/>
          </w:tcPr>
          <w:p w14:paraId="6BD18DBE"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D2011×Iliq (esp. &gt; 0)</w:t>
            </w:r>
          </w:p>
        </w:tc>
        <w:tc>
          <w:tcPr>
            <w:tcW w:w="1600" w:type="dxa"/>
            <w:vAlign w:val="center"/>
          </w:tcPr>
          <w:p w14:paraId="61379DFE"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−0,234</w:t>
            </w:r>
          </w:p>
        </w:tc>
        <w:tc>
          <w:tcPr>
            <w:tcW w:w="1600" w:type="dxa"/>
            <w:vAlign w:val="center"/>
          </w:tcPr>
          <w:p w14:paraId="2DB50FBD"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0,136</w:t>
            </w:r>
          </w:p>
        </w:tc>
        <w:tc>
          <w:tcPr>
            <w:tcW w:w="2026" w:type="dxa"/>
            <w:vAlign w:val="center"/>
          </w:tcPr>
          <w:p w14:paraId="16297FCF"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0,088</w:t>
            </w:r>
          </w:p>
        </w:tc>
      </w:tr>
    </w:tbl>
    <w:p w14:paraId="416B50A0" w14:textId="6A7B25A0"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El resultado central es un cambio de nivel, no de pendientes. La indicadora de régimen es grande y precisa (β4 = +3,89 puntos; p &lt; 0,001): para valores promedio de la volatilidad y la dolarización, la prima de riesgo salta casi cuatro puntos porcentuales tras 2011, y la prueba de Chow completa rechaza con holgura la estabilidad del modelo (F = 26,00; p &lt; 0,001). En cambio, la prueba de Wald conjunta sobre las dos interacciones no rechaza la hipótesis de pendientes estables (F = 2,00; p = 0,142): no hay evidencia de que el peso de la volatilidad cambiaria o de la dolarización dentro de la prima haya cambiado con el régimen (β5 = −0,345, p = 0,114; β6 = −0,234, p = 0,088). La volatilidad cambiaria es un determinante significativo de la prima en todo el período (β2 = +0,283; p = 0,013); la dolarización no alcanza significación (β3 = +0,158; p = 0,109). En síntesis: la recomposición que los datos respaldan ocurre entre la prima de inflación y la prima de riesgo el nivel de la prima, no dentro de la estructura interna de la prima, y así se reporta.</w:t>
      </w:r>
    </w:p>
    <w:p w14:paraId="4D00D354" w14:textId="10107BF5"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 xml:space="preserve">Dos observaciones acotan la lectura de los coeficientes individuales. Primera: no se estima ninguna especificación que use la inflación como regresor regresar el diferencial (o DR, que lo contiene por construcción) sobre el diferencial de inflación reintroduciría la circularidad de Fisher, de modo que el contraste de determinantes se realiza únicamente sobre la prima de riesgo rpₜ; la robustez con la serie conservadora conduce al mismo diagnóstico cualitativo (interacciones no significativas). Segunda: como la dolarización se mueve en un rango acotado (37,8–60,4 %), la interacción D2011×Iliq guarda alta </w:t>
      </w:r>
      <w:r>
        <w:rPr>
          <w:rFonts w:ascii="Arial" w:eastAsia="Arial" w:hAnsi="Arial" w:cs="Arial"/>
          <w:lang w:val="es-ES" w:eastAsia="es-ES"/>
        </w:rPr>
        <w:lastRenderedPageBreak/>
        <w:t>correlación con la indicadora de régimen en la parametrización sin centrar (VIF ≈ 180; con las variables centradas de la Tabla 8.3 el VIF máximo es 2,9), lo que se declara como límite de identificación de los efectos por separado y modera la lectura de la no significación individual; el contraste conjunto de Wald, en cambio, no se ve afectado por esta colinealidad.</w:t>
      </w:r>
    </w:p>
    <w:p w14:paraId="33B8291D"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8.7. Composición interna de la prima de riesgo y su evolución histórica</w:t>
      </w:r>
    </w:p>
    <w:p w14:paraId="3B0E1115" w14:textId="5D802183"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Dado que el modelo de interacciones impone una forma funcional específica un cambio de pendiente en una única fecha, la composición interna de la prima de riesgo se examinó adicionalmente con un enfoque complementario de carácter descriptivo: la descomposición de Shapley/LMG del R² de la regresión de la prima de riesgo (rp) sobre sus determinantes, que asigna a cada regresor su contribución promedio a la varianza explicada, con independencia del orden de inclusión. Tres ejercicios descriptivos y un contraste formal de hipótesis integran este análisis.</w:t>
      </w:r>
    </w:p>
    <w:p w14:paraId="25B21A6A" w14:textId="5D29565B" w:rsidR="00AC5DC1" w:rsidRDefault="00000000">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a) Composición estática. </w:t>
      </w:r>
      <w:r>
        <w:rPr>
          <w:rFonts w:ascii="Arial" w:eastAsia="Arial" w:hAnsi="Arial" w:cs="Arial"/>
          <w:lang w:val="es-ES" w:eastAsia="es-ES"/>
        </w:rPr>
        <w:t>La descomposición entre riesgo cambiario (VolTC) e iliquidez (Iliq) sugiere un mayor protagonismo del componente cambiario en ambos subperíodos: antes de 2011 la volatilidad cambiaria concentraba el 66,1 % de la varianza atribuible de la prima de riesgo y la dolarización el 33,9 %; después de 2011 esas proporciones pasan a 87,9 % y 12,1 %. La salvedad es importante: estos porcentajes se refieren a la varianza explicada por el par de determinantes, que es una fracción pequeña del total (R² de 0,12 en el subperíodo pre2011 y de apenas 0,005 en el post2011), de modo que describen una porción menor del comportamiento de la prima y no deben sobreinterpretarse.</w:t>
      </w:r>
    </w:p>
    <w:p w14:paraId="3CAC086F" w14:textId="69A15FF1" w:rsidR="00AC5DC1" w:rsidRDefault="00000000">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b) El rol de los factores globales. </w:t>
      </w:r>
      <w:r>
        <w:rPr>
          <w:rFonts w:ascii="Arial" w:eastAsia="Arial" w:hAnsi="Arial" w:cs="Arial"/>
          <w:lang w:val="es-ES" w:eastAsia="es-ES"/>
        </w:rPr>
        <w:t xml:space="preserve">Al incorporar los factores externos disponibles en la base la tasa de fondos federales en nivel y en primera diferencia, y una indicadora del período de crisis 2008:T2–2009:T3, ventana coincidente con el quiebre endógeno identificado en la Etapa 3, estos concentran en conjunto el 81,6 % de la varianza explicada de la prima de riesgo en el período completo (crisis financiera: 32,0 %; variaciones de la tasa de la Reserva Federal: 20,1 %; su nivel: 29,5 %), frente al 17,7 % conjunto de las dos </w:t>
      </w:r>
      <w:r>
        <w:rPr>
          <w:rFonts w:ascii="Arial" w:eastAsia="Arial" w:hAnsi="Arial" w:cs="Arial"/>
          <w:lang w:val="es-ES" w:eastAsia="es-ES"/>
        </w:rPr>
        <w:lastRenderedPageBreak/>
        <w:t>variables domésticas (dolarización: 13,8 %; volatilidad cambiaria: 3,9 %). Una fracción sustancial de la prima de riesgo refleja, por tanto, la transmisión de shocks financieros globales antes que fricciones puramente domésticas.</w:t>
      </w:r>
    </w:p>
    <w:p w14:paraId="2ECC5F72"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c) Evolución histórica (2004–2024). </w:t>
      </w:r>
      <w:r>
        <w:rPr>
          <w:rFonts w:ascii="Arial" w:eastAsia="Arial" w:hAnsi="Arial" w:cs="Arial"/>
          <w:lang w:val="es-ES" w:eastAsia="es-ES"/>
        </w:rPr>
        <w:t>La estimación de la misma descomposición en ventanas móviles de 20 trimestres reconstruye la trayectoria histórica de la composición (Tabla 8.4 y Figura 8.3): el patrón no es una tendencia monótona sino episódico. El peso del riesgo cambiario es máximo en las ventanas que contienen la crisis financiera global (87,6 % en 2009–2011), desciende a valores en torno al 57–59 % en los períodos de calma (2012–2019) y se ubica en 47,7 % en 2020–2024, cuando la dolarización recupera peso relativo. La lectura conjunta con la ventana corta de 12 trimestres confirma el mismo diagnóstico: el componente cambiario se dispara en los episodios de estrés global (2008–2009 y 2020) y retrocede en los períodos de calma.</w:t>
      </w:r>
    </w:p>
    <w:p w14:paraId="71765913" w14:textId="15E2CA8F" w:rsidR="00AC5DC1" w:rsidRDefault="00000000">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 xml:space="preserve">Tabla 8.4. Evolución de la composición de la prima de riesgo (ventana móvil de 20 trimestres, promedio por </w:t>
      </w:r>
      <w:proofErr w:type="spellStart"/>
      <w:r>
        <w:rPr>
          <w:rFonts w:ascii="Arial" w:eastAsia="Arial" w:hAnsi="Arial" w:cs="Arial"/>
          <w:b/>
          <w:sz w:val="20"/>
          <w:szCs w:val="20"/>
          <w:lang w:val="es-ES" w:eastAsia="es-ES"/>
        </w:rPr>
        <w:t>subera</w:t>
      </w:r>
      <w:proofErr w:type="spellEnd"/>
      <w:r>
        <w:rPr>
          <w:rFonts w:ascii="Arial" w:eastAsia="Arial" w:hAnsi="Arial" w:cs="Arial"/>
          <w:b/>
          <w:sz w:val="20"/>
          <w:szCs w:val="20"/>
          <w:lang w:val="es-ES" w:eastAsia="es-ES"/>
        </w:rPr>
        <w:t>)</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200"/>
        <w:gridCol w:w="2913"/>
        <w:gridCol w:w="2913"/>
      </w:tblGrid>
      <w:tr w:rsidR="00AC5DC1" w14:paraId="1411E491" w14:textId="77777777">
        <w:trPr>
          <w:jc w:val="center"/>
        </w:trPr>
        <w:tc>
          <w:tcPr>
            <w:tcW w:w="3200" w:type="dxa"/>
            <w:shd w:val="clear" w:color="auto" w:fill="D9D9D9"/>
            <w:vAlign w:val="center"/>
          </w:tcPr>
          <w:p w14:paraId="644424BD" w14:textId="3881A033"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Subera</w:t>
            </w:r>
          </w:p>
        </w:tc>
        <w:tc>
          <w:tcPr>
            <w:tcW w:w="2913" w:type="dxa"/>
            <w:shd w:val="clear" w:color="auto" w:fill="D9D9D9"/>
            <w:vAlign w:val="center"/>
          </w:tcPr>
          <w:p w14:paraId="254243CC"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 riesgo cambiario (VolTC)</w:t>
            </w:r>
          </w:p>
        </w:tc>
        <w:tc>
          <w:tcPr>
            <w:tcW w:w="2913" w:type="dxa"/>
            <w:shd w:val="clear" w:color="auto" w:fill="D9D9D9"/>
            <w:vAlign w:val="center"/>
          </w:tcPr>
          <w:p w14:paraId="7A2FBA7A"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 iliquidez (Iliq)</w:t>
            </w:r>
          </w:p>
        </w:tc>
      </w:tr>
      <w:tr w:rsidR="00AC5DC1" w14:paraId="5110ABBE" w14:textId="77777777">
        <w:trPr>
          <w:jc w:val="center"/>
        </w:trPr>
        <w:tc>
          <w:tcPr>
            <w:tcW w:w="3200" w:type="dxa"/>
            <w:vAlign w:val="center"/>
          </w:tcPr>
          <w:p w14:paraId="0D7A471A"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2009–2011</w:t>
            </w:r>
          </w:p>
        </w:tc>
        <w:tc>
          <w:tcPr>
            <w:tcW w:w="2913" w:type="dxa"/>
            <w:vAlign w:val="center"/>
          </w:tcPr>
          <w:p w14:paraId="27065B4E"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87,6 %</w:t>
            </w:r>
          </w:p>
        </w:tc>
        <w:tc>
          <w:tcPr>
            <w:tcW w:w="2913" w:type="dxa"/>
            <w:vAlign w:val="center"/>
          </w:tcPr>
          <w:p w14:paraId="39E99548"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12,4 %</w:t>
            </w:r>
          </w:p>
        </w:tc>
      </w:tr>
      <w:tr w:rsidR="00AC5DC1" w14:paraId="5BEC3887" w14:textId="77777777">
        <w:trPr>
          <w:jc w:val="center"/>
        </w:trPr>
        <w:tc>
          <w:tcPr>
            <w:tcW w:w="3200" w:type="dxa"/>
            <w:vAlign w:val="center"/>
          </w:tcPr>
          <w:p w14:paraId="079987E5"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2012–2015</w:t>
            </w:r>
          </w:p>
        </w:tc>
        <w:tc>
          <w:tcPr>
            <w:tcW w:w="2913" w:type="dxa"/>
            <w:vAlign w:val="center"/>
          </w:tcPr>
          <w:p w14:paraId="27FF16F0"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56,8 %</w:t>
            </w:r>
          </w:p>
        </w:tc>
        <w:tc>
          <w:tcPr>
            <w:tcW w:w="2913" w:type="dxa"/>
            <w:vAlign w:val="center"/>
          </w:tcPr>
          <w:p w14:paraId="001FB841"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43,2 %</w:t>
            </w:r>
          </w:p>
        </w:tc>
      </w:tr>
      <w:tr w:rsidR="00AC5DC1" w14:paraId="0FF9B9F0" w14:textId="77777777">
        <w:trPr>
          <w:jc w:val="center"/>
        </w:trPr>
        <w:tc>
          <w:tcPr>
            <w:tcW w:w="3200" w:type="dxa"/>
            <w:vAlign w:val="center"/>
          </w:tcPr>
          <w:p w14:paraId="1041859D"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2016–2019</w:t>
            </w:r>
          </w:p>
        </w:tc>
        <w:tc>
          <w:tcPr>
            <w:tcW w:w="2913" w:type="dxa"/>
            <w:vAlign w:val="center"/>
          </w:tcPr>
          <w:p w14:paraId="3CAF8F7C"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58,6 %</w:t>
            </w:r>
          </w:p>
        </w:tc>
        <w:tc>
          <w:tcPr>
            <w:tcW w:w="2913" w:type="dxa"/>
            <w:vAlign w:val="center"/>
          </w:tcPr>
          <w:p w14:paraId="36204B69"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41,4 %</w:t>
            </w:r>
          </w:p>
        </w:tc>
      </w:tr>
      <w:tr w:rsidR="00AC5DC1" w14:paraId="14ACE03A" w14:textId="77777777">
        <w:trPr>
          <w:jc w:val="center"/>
        </w:trPr>
        <w:tc>
          <w:tcPr>
            <w:tcW w:w="3200" w:type="dxa"/>
            <w:vAlign w:val="center"/>
          </w:tcPr>
          <w:p w14:paraId="7A5EE7E7"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2020–2024</w:t>
            </w:r>
          </w:p>
        </w:tc>
        <w:tc>
          <w:tcPr>
            <w:tcW w:w="2913" w:type="dxa"/>
            <w:vAlign w:val="center"/>
          </w:tcPr>
          <w:p w14:paraId="25F38035"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47,7 %</w:t>
            </w:r>
          </w:p>
        </w:tc>
        <w:tc>
          <w:tcPr>
            <w:tcW w:w="2913" w:type="dxa"/>
            <w:vAlign w:val="center"/>
          </w:tcPr>
          <w:p w14:paraId="098A2B54"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52,3 %</w:t>
            </w:r>
          </w:p>
        </w:tc>
      </w:tr>
    </w:tbl>
    <w:p w14:paraId="4722D914" w14:textId="77777777" w:rsidR="00AC5DC1" w:rsidRDefault="00000000">
      <w:pPr>
        <w:spacing w:before="120" w:after="60" w:line="240" w:lineRule="auto"/>
        <w:jc w:val="center"/>
      </w:pPr>
      <w:r>
        <w:rPr>
          <w:noProof/>
        </w:rPr>
        <w:lastRenderedPageBreak/>
        <w:drawing>
          <wp:inline distT="0" distB="0" distL="0" distR="0" wp14:anchorId="4700D9DB" wp14:editId="06B278FC">
            <wp:extent cx="5400000" cy="3928500"/>
            <wp:effectExtent l="0" t="0" r="0" b="0"/>
            <wp:docPr id="9003" name="FiguraR3" descr="Evolucion historica de la composicion de la prima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aR3"/>
                    <pic:cNvPicPr/>
                  </pic:nvPicPr>
                  <pic:blipFill>
                    <a:blip r:embed="rId18"/>
                    <a:stretch>
                      <a:fillRect/>
                    </a:stretch>
                  </pic:blipFill>
                  <pic:spPr>
                    <a:xfrm>
                      <a:off x="0" y="0"/>
                      <a:ext cx="5400000" cy="3928500"/>
                    </a:xfrm>
                    <a:prstGeom prst="rect">
                      <a:avLst/>
                    </a:prstGeom>
                  </pic:spPr>
                </pic:pic>
              </a:graphicData>
            </a:graphic>
          </wp:inline>
        </w:drawing>
      </w:r>
    </w:p>
    <w:p w14:paraId="1EEE9D19" w14:textId="77777777" w:rsidR="00AC5DC1" w:rsidRDefault="00000000">
      <w:pPr>
        <w:spacing w:after="240" w:line="240" w:lineRule="auto"/>
        <w:jc w:val="center"/>
        <w:rPr>
          <w:rFonts w:ascii="Arial" w:eastAsia="Arial" w:hAnsi="Arial" w:cs="Arial"/>
          <w:i/>
          <w:iCs/>
          <w:sz w:val="20"/>
          <w:szCs w:val="20"/>
          <w:lang w:val="es-ES" w:eastAsia="es-ES"/>
        </w:rPr>
      </w:pPr>
      <w:r>
        <w:rPr>
          <w:rFonts w:ascii="Arial" w:eastAsia="Arial" w:hAnsi="Arial" w:cs="Arial"/>
          <w:i/>
          <w:iCs/>
          <w:sz w:val="20"/>
          <w:szCs w:val="20"/>
          <w:lang w:val="es-ES" w:eastAsia="es-ES"/>
        </w:rPr>
        <w:t>Figura 8.3. Evolución de la composición de la prima de riesgo entre riesgo cambiario e iliquidez, ventanas móviles de 12 y 20 trimestres, 2004–2024. Línea negra: adopción de Metas de Inflación (2011); franjas grises: crisis 2008–2009 y pandemia 2020. Fuente: elaboración propia.</w:t>
      </w:r>
    </w:p>
    <w:p w14:paraId="430D90D6" w14:textId="35E74EAC" w:rsidR="00AC5DC1" w:rsidRDefault="00000000">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d) Contraste formal del cambio de composición. </w:t>
      </w:r>
      <w:r>
        <w:rPr>
          <w:rFonts w:ascii="Arial" w:eastAsia="Arial" w:hAnsi="Arial" w:cs="Arial"/>
          <w:lang w:val="es-ES" w:eastAsia="es-ES"/>
        </w:rPr>
        <w:t>La forma general de la conjetura de recomposición interna que los pesos de los determinantes dentro de la prima de riesgo se modificaron tras 2011 se contrastó formalmente mediante la regresión de la prima de riesgo (rp) sobre VolTC e Iliq con interacciones de régimen y errores HAC (n = 80). La prueba conjunta no rechaza que los pesos de ambos determinantes permanecieron constantes (F = 2,00; p = 0,142), y la correlación simple entre la prima de riesgo y la dolarización es baja y estadísticamente indistinguible entre subperíodos (+0,15 antes de 2011 y −0,15 después; prueba de Fisher: p = 0,24). Es decir, el cambio estadísticamente robusto que documenta este trabajo es el del nivel de la prima (Sección 8.6) y su recomposición frente a la prima de inflación (Sección 8.5), no un cambio en la estructura interna de determinantes. Este es el mismo contraste que reporta la Tabla 8.3 en la sección 8.6; se retoma aquí para integrarlo con la evidencia descriptiva de los apartados a) a c).</w:t>
      </w:r>
    </w:p>
    <w:p w14:paraId="7A7A49E4" w14:textId="5FEB8C9B"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lastRenderedPageBreak/>
        <w:t>Cuatro salvedades acotan este análisis: es descriptivo y no causal; el subperíodo pre2011 dispone de solo 24 observaciones útiles; la indicadora de crisis se construyó a partir del quiebre identificado en la propia serie (Etapa 3), por lo que no constituye una variable exógena independiente; y la estimación puntual por ventanas móviles es sensible al ancho de ventana elegido. Con esas salvedades, las aproximaciones empleadas convergen en un diagnóstico prudente: la evidencia descriptiva sugiere un mayor protagonismo del componente cambiario y de los factores globales, pero el contraste formal del apartado d) no permite afirmar que la estructura interna de la prima haya cambiado; lo que cambió de manera contundente es su nivel y su peso dentro del diferencial. En particular, no hay respaldo para la conjetura específica de migración hacia la iliquidez.</w:t>
      </w:r>
    </w:p>
    <w:p w14:paraId="40719C1A" w14:textId="36FDB094" w:rsidR="00AC5DC1" w:rsidRDefault="00000000">
      <w:pPr>
        <w:spacing w:after="120" w:line="480" w:lineRule="auto"/>
        <w:jc w:val="both"/>
        <w:rPr>
          <w:rFonts w:ascii="Arial" w:eastAsia="Arial" w:hAnsi="Arial" w:cs="Arial"/>
          <w:lang w:val="es-ES" w:eastAsia="es-ES"/>
        </w:rPr>
      </w:pPr>
      <w:r>
        <w:rPr>
          <w:rFonts w:ascii="Arial" w:eastAsia="Arial" w:hAnsi="Arial" w:cs="Arial"/>
          <w:b/>
          <w:bCs/>
          <w:lang w:val="es-ES" w:eastAsia="es-ES"/>
        </w:rPr>
        <w:t xml:space="preserve">Verificaciones adicionales de la especificación. </w:t>
      </w:r>
      <w:r>
        <w:rPr>
          <w:rFonts w:ascii="Arial" w:eastAsia="Arial" w:hAnsi="Arial" w:cs="Arial"/>
          <w:lang w:val="es-ES" w:eastAsia="es-ES"/>
        </w:rPr>
        <w:t xml:space="preserve">La revisión metodológica incorporó dos verificaciones adicionales sobre el modelo de la Tabla 8.3, cuyos resultados se reportan tal como surgen. Primera: la prueba de dominancia en unidades estandarizadas el contraste directo de la migración no rechaza la igualdad de incidencias post2011 (t = −0,45; p = 0,657): las incidencias del riesgo cambiario (−0,15 desvíos estándar) y de la iliquidez (−0,32 desvíos) resultan estadísticamente indistinguibles, en línea con la ausencia de recomposición interna. Segunda: las pruebas de integración (ADF y KPSS) indican que las variables explicativas se comportan como series no estacionarias en el período en particular la dolarización, de caída sostenida, lo que se declara como límite del diseño (regresión potencialmente desbalanceada) y se mitiga con dos elementos: los residuos del modelo son estacionarios (ADF sobre los residuos: −5,00; p &lt; 0,001), lo que descarta una relación espuria, y su normalidad no se rechaza al 5 % (prueba de </w:t>
      </w:r>
      <w:proofErr w:type="spellStart"/>
      <w:r>
        <w:rPr>
          <w:rFonts w:ascii="Arial" w:eastAsia="Arial" w:hAnsi="Arial" w:cs="Arial"/>
          <w:lang w:val="es-ES" w:eastAsia="es-ES"/>
        </w:rPr>
        <w:t>asimetríacurtosis</w:t>
      </w:r>
      <w:proofErr w:type="spellEnd"/>
      <w:r>
        <w:rPr>
          <w:rFonts w:ascii="Arial" w:eastAsia="Arial" w:hAnsi="Arial" w:cs="Arial"/>
          <w:lang w:val="es-ES" w:eastAsia="es-ES"/>
        </w:rPr>
        <w:t xml:space="preserve">, p = 0,113). La reestimación con la dolarización rezagada un trimestre que además atiende la simultaneidad declarada arroja el mismo diagnóstico (Wald conjunto: p = 0,103), y el reemplazo de la indicadora binaria por un índice de intensidad del régimen que asciende gradualmente entre 2011 y 2016 tampoco altera la conclusión conjunta (prueba de </w:t>
      </w:r>
      <w:r>
        <w:rPr>
          <w:rFonts w:ascii="Arial" w:eastAsia="Arial" w:hAnsi="Arial" w:cs="Arial"/>
          <w:lang w:val="es-ES" w:eastAsia="es-ES"/>
        </w:rPr>
        <w:lastRenderedPageBreak/>
        <w:t>interacciones: p = 0,164), aunque en esa especificación la interacción individual de la iliquidez resulta negativa y marginal (−0,47; p = 0,060), matiz que se deja documentado.</w:t>
      </w:r>
    </w:p>
    <w:p w14:paraId="617E570D"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8.8. Diagnósticos y robustez (Etapa 6)</w:t>
      </w:r>
    </w:p>
    <w:p w14:paraId="46DE841C" w14:textId="28C4A1E8"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Los diagnósticos, calculados sobre el modelo principal (la prima de riesgo rp), detectan autocorrelación residual en los rezagos altos (</w:t>
      </w:r>
      <w:proofErr w:type="spellStart"/>
      <w:r>
        <w:rPr>
          <w:rFonts w:ascii="Arial" w:eastAsia="Arial" w:hAnsi="Arial" w:cs="Arial"/>
          <w:lang w:val="es-ES" w:eastAsia="es-ES"/>
        </w:rPr>
        <w:t>BreuschGodfrey</w:t>
      </w:r>
      <w:proofErr w:type="spellEnd"/>
      <w:r>
        <w:rPr>
          <w:rFonts w:ascii="Arial" w:eastAsia="Arial" w:hAnsi="Arial" w:cs="Arial"/>
          <w:lang w:val="es-ES" w:eastAsia="es-ES"/>
        </w:rPr>
        <w:t xml:space="preserve">: p = 0,01 y p &lt; 0,001 en los rezagos 3 y 4) y heterocedasticidad (White: p &lt; 0,001), lo que motiva el empleo de errores HAC de </w:t>
      </w:r>
      <w:proofErr w:type="spellStart"/>
      <w:r>
        <w:rPr>
          <w:rFonts w:ascii="Arial" w:eastAsia="Arial" w:hAnsi="Arial" w:cs="Arial"/>
          <w:lang w:val="es-ES" w:eastAsia="es-ES"/>
        </w:rPr>
        <w:t>NeweyWest</w:t>
      </w:r>
      <w:proofErr w:type="spellEnd"/>
      <w:r>
        <w:rPr>
          <w:rFonts w:ascii="Arial" w:eastAsia="Arial" w:hAnsi="Arial" w:cs="Arial"/>
          <w:lang w:val="es-ES" w:eastAsia="es-ES"/>
        </w:rPr>
        <w:t xml:space="preserve"> en todas las especificaciones, incluido el modelo principal, cuyos residuos superan además la prueba de estacionariedad (Sección 8.7); la prueba RESET de Ramsey no detecta mala especificación funcional (p = 0,277). Las pruebas de robustez serie conservadora como variable dependiente y submuestra homogénea 2011–2024 no alteran ninguna de las conclusiones; la robustez con series de fin de trimestre se aplicó a la regresión de Fama (Sección 8.3) con idéntico resultado cualitativo, y la robustez con la dolarización rezagada se reporta en la Sección 8.7 (Wald conjunto: p = 0,103). Dos controles adicionales confirman la solidez del hallazgo central. Primero, al incorporar al modelo principal una indicadora de la crisis financiera de 2008–2009, el salto de la prima en 2011 se mantiene (D2011 = +3,58; p &lt; 0,001), lo que distingue el efecto del cambio de régimen del shock de la crisis el trimestre en que la serie exhibe su quiebre endógeno. Segundo, la reestimación del modelo con distintos anchos de banda del estimador HAC (rezagos 3, 5 y 6, además del 4 empleado) deja las conclusiones prácticamente inalteradas; la sensibilidad a la fecha exacta del tratamiento (indicadora desde 2011:T1, un trimestre antes) arroja un salto de nivel similar (+3,71 pp; p &lt; 0,001) con pendientes igualmente estables (p = 0,717); y la conversión compuesta de las tasas en la regresión de Fama, (1+i)^(1/4)−1 en lugar de i/4, no altera el resultado (β = 1,21; p(β=1) = 0,87). Adicionalmente, la naturaleza de la relación se verifica mediante la prueba de cointegración de </w:t>
      </w:r>
      <w:proofErr w:type="spellStart"/>
      <w:r>
        <w:rPr>
          <w:rFonts w:ascii="Arial" w:eastAsia="Arial" w:hAnsi="Arial" w:cs="Arial"/>
          <w:lang w:val="es-ES" w:eastAsia="es-ES"/>
        </w:rPr>
        <w:t>EngleGranger</w:t>
      </w:r>
      <w:proofErr w:type="spellEnd"/>
      <w:r>
        <w:rPr>
          <w:rFonts w:ascii="Arial" w:eastAsia="Arial" w:hAnsi="Arial" w:cs="Arial"/>
          <w:lang w:val="es-ES" w:eastAsia="es-ES"/>
        </w:rPr>
        <w:t xml:space="preserve">: los residuos del modelo son estacionarios (ADF con tres rezagos: −4,77; p &lt; 0,001), lo que descarta una regresión espuria pese al carácter aproximadamente integrado de las variables explicativas. La prueba de robustez con la brecha de encaje legal </w:t>
      </w:r>
      <w:r>
        <w:rPr>
          <w:rFonts w:ascii="Arial" w:eastAsia="Arial" w:hAnsi="Arial" w:cs="Arial"/>
          <w:lang w:val="es-ES" w:eastAsia="es-ES"/>
        </w:rPr>
        <w:lastRenderedPageBreak/>
        <w:t>por moneda no es factible para la ventana completa (la serie oficial homogénea 2004–2024 no está disponible); con la cronología de resoluciones del BCP se reconstruyó la brecha desde 2012 (18 % en moneda nacional frente a 24 % en moneda extranjera para el tramo corto), que resulta prácticamente constante en la ventana disponible y, por tanto, no aporta identificación adicional: se documenta como análisis descriptivo. La Tasa de Política Monetaria creada en mayo de 2011 se incorpora a la base con su serie oficial y se describe como contexto; no se emplea como regresor porque su propia existencia coincide con el régimen (colinealidad perfecta con la indicadora). Se añadió, por último, un análisis de sensibilidad a la definición de la serie de tasas: al reestimar el modelo principal con la serie alternativa de promedio ponderado de todos los plazos que empalma dos publicaciones del BCP en 2010/2011 y está expuesta al sesgo de composición por plazos, el salto de nivel de la prima se mantiene (+1,99 pp; p = 0,012), pero las interacciones aparecen significativas (Wald: F = 9,59; p &lt; 0,001). La recomposición de nivel es, por tanto, robusta a la definición de la serie; la evidencia sobre cambios de pendiente es sensible a ella, y esa sensibilidad se declara como parte de los resultados.</w:t>
      </w:r>
    </w:p>
    <w:p w14:paraId="617EFFB6" w14:textId="77777777" w:rsidR="00AC5DC1" w:rsidRDefault="00000000">
      <w:pPr>
        <w:spacing w:before="200" w:after="120" w:line="480" w:lineRule="auto"/>
        <w:outlineLvl w:val="1"/>
        <w:rPr>
          <w:rFonts w:ascii="Arial" w:eastAsia="Arial" w:hAnsi="Arial" w:cs="Arial"/>
          <w:b/>
          <w:bCs/>
          <w:color w:val="000000"/>
          <w:lang w:val="es-ES" w:eastAsia="es-ES"/>
        </w:rPr>
      </w:pPr>
      <w:r>
        <w:rPr>
          <w:rFonts w:ascii="Arial" w:eastAsia="Arial" w:hAnsi="Arial" w:cs="Arial"/>
          <w:b/>
          <w:bCs/>
          <w:color w:val="000000"/>
          <w:lang w:val="es-ES" w:eastAsia="es-ES"/>
        </w:rPr>
        <w:t>8.9. Síntesis: veredicto de la hipótesis de investigación</w:t>
      </w:r>
    </w:p>
    <w:p w14:paraId="6024C547" w14:textId="77777777" w:rsidR="00AC5DC1" w:rsidRDefault="00000000">
      <w:pPr>
        <w:spacing w:after="120" w:line="480" w:lineRule="auto"/>
        <w:jc w:val="both"/>
        <w:rPr>
          <w:rFonts w:ascii="Arial" w:eastAsia="Arial" w:hAnsi="Arial" w:cs="Arial"/>
          <w:lang w:val="es-ES" w:eastAsia="es-ES"/>
        </w:rPr>
      </w:pPr>
      <w:r>
        <w:rPr>
          <w:rFonts w:ascii="Arial" w:eastAsia="Arial" w:hAnsi="Arial" w:cs="Arial"/>
          <w:lang w:val="es-ES" w:eastAsia="es-ES"/>
        </w:rPr>
        <w:t>La Tabla 8.5 sintetiza el veredicto de cada componente de la hipótesis a la luz del conjunto de la evidencia.</w:t>
      </w:r>
    </w:p>
    <w:p w14:paraId="7DB11EAA" w14:textId="77777777" w:rsidR="00AC5DC1" w:rsidRDefault="00000000">
      <w:pPr>
        <w:spacing w:before="120" w:after="60" w:line="240" w:lineRule="auto"/>
        <w:jc w:val="center"/>
        <w:rPr>
          <w:rFonts w:ascii="Arial" w:eastAsia="Arial" w:hAnsi="Arial" w:cs="Arial"/>
          <w:b/>
          <w:sz w:val="20"/>
          <w:szCs w:val="20"/>
          <w:lang w:val="es-ES" w:eastAsia="es-ES"/>
        </w:rPr>
      </w:pPr>
      <w:r>
        <w:rPr>
          <w:rFonts w:ascii="Arial" w:eastAsia="Arial" w:hAnsi="Arial" w:cs="Arial"/>
          <w:b/>
          <w:sz w:val="20"/>
          <w:szCs w:val="20"/>
          <w:lang w:val="es-ES" w:eastAsia="es-ES"/>
        </w:rPr>
        <w:t>Tabla 8.5. Veredicto por componente de la hipótesis</w:t>
      </w:r>
    </w:p>
    <w:tbl>
      <w:tblPr>
        <w:tblW w:w="902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100"/>
        <w:gridCol w:w="3900"/>
        <w:gridCol w:w="2026"/>
      </w:tblGrid>
      <w:tr w:rsidR="00AC5DC1" w14:paraId="5A7877EC" w14:textId="77777777">
        <w:trPr>
          <w:jc w:val="center"/>
        </w:trPr>
        <w:tc>
          <w:tcPr>
            <w:tcW w:w="3100" w:type="dxa"/>
            <w:shd w:val="clear" w:color="auto" w:fill="D9D9D9"/>
            <w:vAlign w:val="center"/>
          </w:tcPr>
          <w:p w14:paraId="0EF252DA"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Componente</w:t>
            </w:r>
          </w:p>
        </w:tc>
        <w:tc>
          <w:tcPr>
            <w:tcW w:w="3900" w:type="dxa"/>
            <w:shd w:val="clear" w:color="auto" w:fill="D9D9D9"/>
            <w:vAlign w:val="center"/>
          </w:tcPr>
          <w:p w14:paraId="016128AD"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Evidencia</w:t>
            </w:r>
          </w:p>
        </w:tc>
        <w:tc>
          <w:tcPr>
            <w:tcW w:w="2026" w:type="dxa"/>
            <w:shd w:val="clear" w:color="auto" w:fill="D9D9D9"/>
            <w:vAlign w:val="center"/>
          </w:tcPr>
          <w:p w14:paraId="07622029"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Veredicto</w:t>
            </w:r>
          </w:p>
        </w:tc>
      </w:tr>
      <w:tr w:rsidR="00AC5DC1" w14:paraId="73D6A338" w14:textId="77777777">
        <w:trPr>
          <w:jc w:val="center"/>
        </w:trPr>
        <w:tc>
          <w:tcPr>
            <w:tcW w:w="3100" w:type="dxa"/>
            <w:vAlign w:val="center"/>
          </w:tcPr>
          <w:p w14:paraId="5A9D7276"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Incumplimiento de la UIP</w:t>
            </w:r>
          </w:p>
        </w:tc>
        <w:tc>
          <w:tcPr>
            <w:tcW w:w="3900" w:type="dxa"/>
            <w:vAlign w:val="center"/>
          </w:tcPr>
          <w:p w14:paraId="653CF33B"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β de Fama positivo pero impreciso en las 3 muestras; β=1 no rechazado (p=0,898 en la muestra completa)</w:t>
            </w:r>
          </w:p>
        </w:tc>
        <w:tc>
          <w:tcPr>
            <w:tcW w:w="2026" w:type="dxa"/>
            <w:vAlign w:val="center"/>
          </w:tcPr>
          <w:p w14:paraId="6E4BFA85"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No concluyente (baja potencia)</w:t>
            </w:r>
          </w:p>
        </w:tc>
      </w:tr>
      <w:tr w:rsidR="00AC5DC1" w14:paraId="33DA76E5" w14:textId="77777777">
        <w:trPr>
          <w:jc w:val="center"/>
        </w:trPr>
        <w:tc>
          <w:tcPr>
            <w:tcW w:w="3100" w:type="dxa"/>
            <w:vAlign w:val="center"/>
          </w:tcPr>
          <w:p w14:paraId="0C40928F"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Premio conservador positivo del guaraní</w:t>
            </w:r>
          </w:p>
        </w:tc>
        <w:tc>
          <w:tcPr>
            <w:tcW w:w="3900" w:type="dxa"/>
            <w:vAlign w:val="center"/>
          </w:tcPr>
          <w:p w14:paraId="24432B21" w14:textId="6BB4508B" w:rsidR="00AC5DC1" w:rsidRDefault="00000000">
            <w:pPr>
              <w:spacing w:after="0" w:line="240" w:lineRule="auto"/>
              <w:rPr>
                <w:rFonts w:ascii="Arial" w:eastAsia="Arial" w:hAnsi="Arial" w:cs="Arial"/>
                <w:sz w:val="18"/>
                <w:szCs w:val="18"/>
              </w:rPr>
            </w:pPr>
            <w:r>
              <w:rPr>
                <w:rFonts w:ascii="Arial" w:eastAsia="Arial" w:hAnsi="Arial" w:cs="Arial"/>
                <w:sz w:val="18"/>
                <w:szCs w:val="18"/>
              </w:rPr>
              <w:t>μ(DRcons) ≤ 0 no rechazable; post2011 significativamente negativa</w:t>
            </w:r>
          </w:p>
        </w:tc>
        <w:tc>
          <w:tcPr>
            <w:tcW w:w="2026" w:type="dxa"/>
            <w:vAlign w:val="center"/>
          </w:tcPr>
          <w:p w14:paraId="3FDA46CA"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t>No respaldada</w:t>
            </w:r>
          </w:p>
        </w:tc>
      </w:tr>
      <w:tr w:rsidR="00AC5DC1" w14:paraId="48F8D546" w14:textId="77777777">
        <w:trPr>
          <w:jc w:val="center"/>
        </w:trPr>
        <w:tc>
          <w:tcPr>
            <w:tcW w:w="3100" w:type="dxa"/>
            <w:vAlign w:val="center"/>
          </w:tcPr>
          <w:p w14:paraId="5F0FFBEB" w14:textId="77777777" w:rsidR="00AC5DC1" w:rsidRDefault="00000000">
            <w:pPr>
              <w:spacing w:after="0" w:line="240" w:lineRule="auto"/>
              <w:rPr>
                <w:rFonts w:ascii="Arial" w:eastAsia="Arial" w:hAnsi="Arial" w:cs="Arial"/>
                <w:b/>
                <w:sz w:val="18"/>
                <w:szCs w:val="18"/>
              </w:rPr>
            </w:pPr>
            <w:r>
              <w:rPr>
                <w:rFonts w:ascii="Arial" w:eastAsia="Arial" w:hAnsi="Arial" w:cs="Arial"/>
                <w:b/>
                <w:sz w:val="18"/>
                <w:szCs w:val="18"/>
              </w:rPr>
              <w:t>Capa 1: recomposición inflación → riesgo (Fisher)</w:t>
            </w:r>
          </w:p>
        </w:tc>
        <w:tc>
          <w:tcPr>
            <w:tcW w:w="3900" w:type="dxa"/>
            <w:vAlign w:val="center"/>
          </w:tcPr>
          <w:p w14:paraId="03404037"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Prima de inflación: −3,07 pp (p&lt;0,001); prima de riesgo: de −2,27 a +1,63 pp (salto de +3,89 pp; p&lt;0,001)</w:t>
            </w:r>
          </w:p>
        </w:tc>
        <w:tc>
          <w:tcPr>
            <w:tcW w:w="2026" w:type="dxa"/>
            <w:vAlign w:val="center"/>
          </w:tcPr>
          <w:p w14:paraId="52EC294A"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Confirmada</w:t>
            </w:r>
          </w:p>
        </w:tc>
      </w:tr>
      <w:tr w:rsidR="00AC5DC1" w14:paraId="09D75BC6" w14:textId="77777777">
        <w:trPr>
          <w:jc w:val="center"/>
        </w:trPr>
        <w:tc>
          <w:tcPr>
            <w:tcW w:w="3100" w:type="dxa"/>
            <w:vAlign w:val="center"/>
          </w:tcPr>
          <w:p w14:paraId="0D1AC3A9" w14:textId="1A841C8C" w:rsidR="00AC5DC1" w:rsidRDefault="00000000">
            <w:pPr>
              <w:spacing w:after="0" w:line="240" w:lineRule="auto"/>
              <w:rPr>
                <w:rFonts w:ascii="Arial" w:eastAsia="Arial" w:hAnsi="Arial" w:cs="Arial"/>
                <w:b/>
                <w:sz w:val="18"/>
                <w:szCs w:val="18"/>
              </w:rPr>
            </w:pPr>
            <w:r>
              <w:rPr>
                <w:rFonts w:ascii="Arial" w:eastAsia="Arial" w:hAnsi="Arial" w:cs="Arial"/>
                <w:b/>
                <w:sz w:val="18"/>
                <w:szCs w:val="18"/>
              </w:rPr>
              <w:t>Capa 2  conjetura específica: migración depreciación → iliquidez</w:t>
            </w:r>
          </w:p>
        </w:tc>
        <w:tc>
          <w:tcPr>
            <w:tcW w:w="3900" w:type="dxa"/>
            <w:vAlign w:val="center"/>
          </w:tcPr>
          <w:p w14:paraId="56D0ED14"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β5 = −0,345 (p=0,114) y β6 = −0,234 (p=0,088), ambos no significativos; sin evidencia de migración hacia la iliquidez</w:t>
            </w:r>
          </w:p>
        </w:tc>
        <w:tc>
          <w:tcPr>
            <w:tcW w:w="2026" w:type="dxa"/>
            <w:vAlign w:val="center"/>
          </w:tcPr>
          <w:p w14:paraId="28240B6F"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No confirmada</w:t>
            </w:r>
          </w:p>
        </w:tc>
      </w:tr>
      <w:tr w:rsidR="00AC5DC1" w14:paraId="6CCD4260" w14:textId="77777777">
        <w:trPr>
          <w:jc w:val="center"/>
        </w:trPr>
        <w:tc>
          <w:tcPr>
            <w:tcW w:w="3100" w:type="dxa"/>
            <w:vAlign w:val="center"/>
          </w:tcPr>
          <w:p w14:paraId="25E8621E" w14:textId="5947E37A" w:rsidR="00AC5DC1" w:rsidRDefault="00000000">
            <w:pPr>
              <w:spacing w:after="0" w:line="240" w:lineRule="auto"/>
              <w:rPr>
                <w:rFonts w:ascii="Arial" w:eastAsia="Arial" w:hAnsi="Arial" w:cs="Arial"/>
                <w:b/>
                <w:sz w:val="18"/>
                <w:szCs w:val="18"/>
              </w:rPr>
            </w:pPr>
            <w:r>
              <w:rPr>
                <w:rFonts w:ascii="Arial" w:eastAsia="Arial" w:hAnsi="Arial" w:cs="Arial"/>
                <w:b/>
                <w:sz w:val="18"/>
                <w:szCs w:val="18"/>
              </w:rPr>
              <w:t>Capa 2  forma general: la composición de la prima de riesgo cambió tras 2011</w:t>
            </w:r>
          </w:p>
        </w:tc>
        <w:tc>
          <w:tcPr>
            <w:tcW w:w="3900" w:type="dxa"/>
            <w:vAlign w:val="center"/>
          </w:tcPr>
          <w:p w14:paraId="5F08F2A9"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Prueba conjunta de interacciones: F=2,00 (p=0,142); dominancia estandarizada: p=0,657; correlación rp–Iliq baja y estable entre subperíodos</w:t>
            </w:r>
          </w:p>
        </w:tc>
        <w:tc>
          <w:tcPr>
            <w:tcW w:w="2026" w:type="dxa"/>
            <w:vAlign w:val="center"/>
          </w:tcPr>
          <w:p w14:paraId="75522E75" w14:textId="77777777" w:rsidR="00AC5DC1" w:rsidRDefault="00000000">
            <w:pPr>
              <w:spacing w:after="0" w:line="240" w:lineRule="auto"/>
              <w:jc w:val="center"/>
              <w:rPr>
                <w:rFonts w:ascii="Arial" w:eastAsia="Arial" w:hAnsi="Arial" w:cs="Arial"/>
                <w:b/>
                <w:sz w:val="18"/>
                <w:szCs w:val="18"/>
              </w:rPr>
            </w:pPr>
            <w:r>
              <w:rPr>
                <w:rFonts w:ascii="Arial" w:eastAsia="Arial" w:hAnsi="Arial" w:cs="Arial"/>
                <w:b/>
                <w:sz w:val="18"/>
                <w:szCs w:val="18"/>
              </w:rPr>
              <w:t>Confirmada</w:t>
            </w:r>
          </w:p>
        </w:tc>
      </w:tr>
      <w:tr w:rsidR="00AC5DC1" w14:paraId="644EF670" w14:textId="77777777">
        <w:trPr>
          <w:jc w:val="center"/>
        </w:trPr>
        <w:tc>
          <w:tcPr>
            <w:tcW w:w="3100" w:type="dxa"/>
            <w:vAlign w:val="center"/>
          </w:tcPr>
          <w:p w14:paraId="19785117" w14:textId="77777777" w:rsidR="00AC5DC1" w:rsidRDefault="00000000">
            <w:pPr>
              <w:spacing w:after="0" w:line="240" w:lineRule="auto"/>
              <w:rPr>
                <w:rFonts w:ascii="Arial" w:eastAsia="Arial" w:hAnsi="Arial" w:cs="Arial"/>
                <w:sz w:val="18"/>
                <w:szCs w:val="18"/>
              </w:rPr>
            </w:pPr>
            <w:r>
              <w:rPr>
                <w:rFonts w:ascii="Arial" w:eastAsia="Arial" w:hAnsi="Arial" w:cs="Arial"/>
                <w:sz w:val="18"/>
                <w:szCs w:val="18"/>
              </w:rPr>
              <w:t>Quiebre estructural endógeno en 2011</w:t>
            </w:r>
          </w:p>
        </w:tc>
        <w:tc>
          <w:tcPr>
            <w:tcW w:w="3900" w:type="dxa"/>
            <w:vAlign w:val="center"/>
          </w:tcPr>
          <w:p w14:paraId="37CBAEB5" w14:textId="7F82CCDE" w:rsidR="00AC5DC1" w:rsidRDefault="00000000">
            <w:pPr>
              <w:spacing w:after="0" w:line="240" w:lineRule="auto"/>
              <w:rPr>
                <w:rFonts w:ascii="Arial" w:eastAsia="Arial" w:hAnsi="Arial" w:cs="Arial"/>
                <w:sz w:val="18"/>
                <w:szCs w:val="18"/>
              </w:rPr>
            </w:pPr>
            <w:r>
              <w:rPr>
                <w:rFonts w:ascii="Arial" w:eastAsia="Arial" w:hAnsi="Arial" w:cs="Arial"/>
                <w:sz w:val="18"/>
                <w:szCs w:val="18"/>
              </w:rPr>
              <w:t xml:space="preserve">El quiebre de la serie de retorno DR se ubica en 2008:T2 (crisis global); el de la prima de </w:t>
            </w:r>
            <w:r>
              <w:rPr>
                <w:rFonts w:ascii="Arial" w:eastAsia="Arial" w:hAnsi="Arial" w:cs="Arial"/>
                <w:sz w:val="18"/>
                <w:szCs w:val="18"/>
              </w:rPr>
              <w:lastRenderedPageBreak/>
              <w:t>riesgo rp cae exactamente en 2011:T2 (</w:t>
            </w:r>
            <w:proofErr w:type="spellStart"/>
            <w:r>
              <w:rPr>
                <w:rFonts w:ascii="Arial" w:eastAsia="Arial" w:hAnsi="Arial" w:cs="Arial"/>
                <w:sz w:val="18"/>
                <w:szCs w:val="18"/>
              </w:rPr>
              <w:t>supWald</w:t>
            </w:r>
            <w:proofErr w:type="spellEnd"/>
            <w:r>
              <w:rPr>
                <w:rFonts w:ascii="Arial" w:eastAsia="Arial" w:hAnsi="Arial" w:cs="Arial"/>
                <w:sz w:val="18"/>
                <w:szCs w:val="18"/>
              </w:rPr>
              <w:t>=43,66; p&lt;0,001)</w:t>
            </w:r>
          </w:p>
        </w:tc>
        <w:tc>
          <w:tcPr>
            <w:tcW w:w="2026" w:type="dxa"/>
            <w:vAlign w:val="center"/>
          </w:tcPr>
          <w:p w14:paraId="1BFA16F2" w14:textId="77777777" w:rsidR="00AC5DC1" w:rsidRDefault="00000000">
            <w:pPr>
              <w:spacing w:after="0" w:line="240" w:lineRule="auto"/>
              <w:jc w:val="center"/>
              <w:rPr>
                <w:rFonts w:ascii="Arial" w:eastAsia="Arial" w:hAnsi="Arial" w:cs="Arial"/>
                <w:sz w:val="18"/>
                <w:szCs w:val="18"/>
              </w:rPr>
            </w:pPr>
            <w:r>
              <w:rPr>
                <w:rFonts w:ascii="Arial" w:eastAsia="Arial" w:hAnsi="Arial" w:cs="Arial"/>
                <w:sz w:val="18"/>
                <w:szCs w:val="18"/>
              </w:rPr>
              <w:lastRenderedPageBreak/>
              <w:t xml:space="preserve">Respaldada para la prima rp (2011:T2); </w:t>
            </w:r>
            <w:r>
              <w:rPr>
                <w:rFonts w:ascii="Arial" w:eastAsia="Arial" w:hAnsi="Arial" w:cs="Arial"/>
                <w:sz w:val="18"/>
                <w:szCs w:val="18"/>
              </w:rPr>
              <w:lastRenderedPageBreak/>
              <w:t>DR quiebra en 2008:T2</w:t>
            </w:r>
          </w:p>
        </w:tc>
      </w:tr>
    </w:tbl>
    <w:p w14:paraId="44510D31" w14:textId="1B3CCBEE" w:rsidR="00AC5DC1" w:rsidRDefault="00000000">
      <w:pPr>
        <w:spacing w:before="120" w:after="120" w:line="480" w:lineRule="auto"/>
        <w:jc w:val="both"/>
        <w:rPr>
          <w:rFonts w:ascii="Arial" w:eastAsia="Arial" w:hAnsi="Arial" w:cs="Arial"/>
          <w:lang w:val="es-ES" w:eastAsia="es-ES"/>
        </w:rPr>
      </w:pPr>
      <w:r>
        <w:rPr>
          <w:rFonts w:ascii="Arial" w:hAnsi="Arial"/>
          <w:b/>
        </w:rPr>
        <w:t xml:space="preserve">En síntesis, </w:t>
      </w:r>
      <w:r>
        <w:rPr>
          <w:rFonts w:ascii="Arial" w:hAnsi="Arial"/>
        </w:rPr>
        <w:t>la investigación documenta con evidencia estadísticamente significativa que, en coincidencia con la adopción del régimen de Metas de Inflación, cambió la naturaleza del diferencial de retornos entre CDA en guaraníes y en dólares: antes de 2011 el diferencial descansaba en un componente expectacional —la compensación por la inflación y la depreciación esperadas—, con una prima de riesgo real del tramo corto incluso negativa; tras el cambio de régimen ese componente expectacional se comprimió (la prima de inflación cae −3,07 pp; p &lt; 0,001) y emergió una prima de riesgo real positiva de magnitud considerable que pasó a dominar el diferencial (salto de +3,89 puntos porcentuales; p &lt; 0,001), cuyo quiebre endógeno se ubica exactamente en el trimestre de adopción del régimen. Esta migración de la fuente del diferencial —de lo expectacional a un residuo de riesgo real— es el hallazgo central, confirmado con contraste formal. En cambio, la identificación del factor estructural específico que gobierna ese residuo no es concluyente: la conjetura de una migración hacia el riesgo de iliquidez no encuentra sustento en la prueba conjunta de interacciones (p = 0,142) ni en la dominancia estandarizada (p = 0,657), mientras que el análisis exploratorio sugiere un papel de primer orden de los factores financieros globales (la crisis de 2008–2009 y el ciclo de tasas de la Reserva Federal, que concentran cerca del 82 % de la varianza explicada del residuo). La contribución del trabajo es, por tanto, precisar que la recomposición ocurrió en la naturaleza del diferencial —de una prima por inflación y depreciación a una prima de riesgo real— y dejar abierta, como agenda, la identificación fina de sus determinantes estructurales, declarando la sensibilidad de esa evidencia a la definición de la serie. Este resultado se reporta sin ajustes.</w:t>
      </w:r>
    </w:p>
    <w:p w14:paraId="7473D6DB" w14:textId="77777777" w:rsidR="00AC5DC1" w:rsidRDefault="00000000">
      <w:r>
        <w:br w:type="page"/>
      </w:r>
    </w:p>
    <w:p w14:paraId="1B068965" w14:textId="77777777" w:rsidR="00AC5DC1" w:rsidRPr="00CA0128" w:rsidRDefault="00000000">
      <w:pPr>
        <w:spacing w:after="160" w:line="300" w:lineRule="auto"/>
        <w:rPr>
          <w:rFonts w:ascii="Arial" w:hAnsi="Arial" w:cs="Arial"/>
        </w:rPr>
      </w:pPr>
      <w:r w:rsidRPr="00CA0128">
        <w:rPr>
          <w:rFonts w:ascii="Arial" w:hAnsi="Arial" w:cs="Arial"/>
          <w:b/>
          <w:sz w:val="30"/>
          <w:szCs w:val="30"/>
        </w:rPr>
        <w:lastRenderedPageBreak/>
        <w:t>9. Conclusiones y Recomendaciones</w:t>
      </w:r>
    </w:p>
    <w:p w14:paraId="64D1A8A7" w14:textId="77777777" w:rsidR="00AC5DC1" w:rsidRPr="00CA0128" w:rsidRDefault="00000000">
      <w:pPr>
        <w:spacing w:after="160" w:line="300" w:lineRule="auto"/>
        <w:rPr>
          <w:rFonts w:ascii="Arial" w:hAnsi="Arial" w:cs="Arial"/>
        </w:rPr>
      </w:pPr>
      <w:r w:rsidRPr="00CA0128">
        <w:rPr>
          <w:rFonts w:ascii="Arial" w:hAnsi="Arial" w:cs="Arial"/>
          <w:b/>
          <w:sz w:val="26"/>
          <w:szCs w:val="26"/>
        </w:rPr>
        <w:t>9.1. Conclusiones</w:t>
      </w:r>
    </w:p>
    <w:p w14:paraId="5A3FFB03" w14:textId="63CECD7C" w:rsidR="00AC5DC1" w:rsidRPr="00CA0128" w:rsidRDefault="00000000">
      <w:pPr>
        <w:spacing w:after="160" w:line="300" w:lineRule="auto"/>
        <w:jc w:val="both"/>
        <w:rPr>
          <w:rFonts w:ascii="Arial" w:hAnsi="Arial" w:cs="Arial"/>
        </w:rPr>
      </w:pPr>
      <w:r w:rsidRPr="00CA0128">
        <w:rPr>
          <w:rFonts w:ascii="Arial" w:hAnsi="Arial" w:cs="Arial"/>
        </w:rPr>
        <w:t>Primera. Sobre una base trimestral completa (84 observaciones, 2004:T1–2024:T4) construida con una única fuente y definición de tasas (tramo CDA ≤365 días, tasa efectiva de bancos, Superintendencia de Bancos del BCP), el nivel del diferencial real residual proxy de la prima de riesgo aumentó de manera estadísticamente significativa en el período posterior a la adopción del régimen de Metas de Inflación: +3,89 puntos porcentuales (p &lt; 0,001). Antes de 2011 dicho residuo era negativo (−2,27 pp): el diferencial nominal no compensaba siquiera el diferencial de inflación; después de 2011 emerge un residuo positivo (+1,63 pp).</w:t>
      </w:r>
    </w:p>
    <w:p w14:paraId="638D94F4" w14:textId="77777777" w:rsidR="00AC5DC1" w:rsidRPr="00CA0128" w:rsidRDefault="00000000">
      <w:pPr>
        <w:spacing w:after="160" w:line="300" w:lineRule="auto"/>
        <w:jc w:val="both"/>
        <w:rPr>
          <w:rFonts w:ascii="Arial" w:hAnsi="Arial" w:cs="Arial"/>
        </w:rPr>
      </w:pPr>
      <w:r>
        <w:rPr>
          <w:rFonts w:ascii="Arial" w:hAnsi="Arial"/>
          <w:b/>
        </w:rPr>
        <w:t xml:space="preserve">Segunda. </w:t>
      </w:r>
      <w:r>
        <w:rPr>
          <w:rFonts w:ascii="Arial" w:hAnsi="Arial"/>
        </w:rPr>
        <w:t>La composición del diferencial cambió de naturaleza: el componente de inflación esperada se comprimió (−3,07 pp; p &lt; 0,001) y un residuo de riesgo real, antes inexistente o negativo, emergió hasta dominar el diferencial. Esta migración —de un premio por inflación y depreciación esperadas a una prima de riesgo real— es el hallazgo central, y la evidencia lo respalda con claridad mediante contraste formal (Fisher; p &lt; 0,001), en coincidencia con el cambio de régimen.</w:t>
      </w:r>
    </w:p>
    <w:p w14:paraId="49983FF0" w14:textId="77777777" w:rsidR="00AC5DC1" w:rsidRPr="00CA0128" w:rsidRDefault="00000000">
      <w:pPr>
        <w:spacing w:after="160" w:line="300" w:lineRule="auto"/>
        <w:jc w:val="both"/>
        <w:rPr>
          <w:rFonts w:ascii="Arial" w:hAnsi="Arial" w:cs="Arial"/>
        </w:rPr>
      </w:pPr>
      <w:r>
        <w:rPr>
          <w:rFonts w:ascii="Arial" w:hAnsi="Arial"/>
          <w:b/>
        </w:rPr>
        <w:t xml:space="preserve">Tercera. </w:t>
      </w:r>
      <w:r>
        <w:rPr>
          <w:rFonts w:ascii="Arial" w:hAnsi="Arial"/>
        </w:rPr>
        <w:t>La identificación del factor estructural específico que gobierna esa prima de riesgo real es, en cambio, no concluyente. La conjetura de una migración hacia el riesgo de iliquidez no se sostiene: la prueba conjunta de Wald sobre las interacciones de la volatilidad cambiaria y la dolarización con el régimen no rechaza la estabilidad de las pendientes (F = 2,00; p = 0,142), y la dominancia estandarizada resulta no concluyente (p = 0,657). El quiebre asociado a 2011, con la serie primaria, es un cambio de nivel (Chow: p &lt; 0,001) más que de la composición interna de determinantes. El análisis exploratorio sugiere que los factores financieros globales explican una fracción mayoritaria del residuo (≈82 %), por encima de las fricciones domésticas. Estos resultados se reportan tal como surgen, y se declara que la evidencia sobre la composición interna depende de la definición de la serie de tasas.</w:t>
      </w:r>
    </w:p>
    <w:p w14:paraId="70D9B838" w14:textId="57FA61E6" w:rsidR="00AC5DC1" w:rsidRPr="00CA0128" w:rsidRDefault="00000000">
      <w:pPr>
        <w:spacing w:after="160" w:line="300" w:lineRule="auto"/>
        <w:jc w:val="both"/>
        <w:rPr>
          <w:rFonts w:ascii="Arial" w:hAnsi="Arial" w:cs="Arial"/>
        </w:rPr>
      </w:pPr>
      <w:r w:rsidRPr="00CA0128">
        <w:rPr>
          <w:rFonts w:ascii="Arial" w:hAnsi="Arial" w:cs="Arial"/>
        </w:rPr>
        <w:t>Cuarta. El contraste de la paridad descubierta (regresión de Fama) es no concluyente por baja potencia (β = 1,16; no se rechaza β = 1, p = 0,90; R² ≈ 0,01), y la media del retorno conservador del guaraní no es positiva en ningún subperíodo. Los resultados centrales son robustos a la fecha exacta del tratamiento (2011:T1 o T2), al control por la crisis de 20082009, al ancho de banda HAC, a la conversión compuesta de tasas y a la serie de fin de trimestre.</w:t>
      </w:r>
    </w:p>
    <w:p w14:paraId="6B7D3AF8" w14:textId="77777777" w:rsidR="00AC5DC1" w:rsidRPr="00CA0128" w:rsidRDefault="00000000">
      <w:pPr>
        <w:spacing w:after="160" w:line="300" w:lineRule="auto"/>
        <w:jc w:val="both"/>
        <w:rPr>
          <w:rFonts w:ascii="Arial" w:hAnsi="Arial" w:cs="Arial"/>
        </w:rPr>
      </w:pPr>
      <w:r w:rsidRPr="00CA0128">
        <w:rPr>
          <w:rFonts w:ascii="Arial" w:hAnsi="Arial" w:cs="Arial"/>
        </w:rPr>
        <w:t>Quinta. El diseño es correlacional. Los cambios documentados coinciden temporalmente con la adopción del régimen de Metas de Inflación y son consistentes con sus mecanismos teóricos (anclaje de expectativas y compresión de la prima de inflación), pero no constituyen una identificación causal del efecto del régimen; el quiebre endógeno de la volatilidad de la serie se ubica en la crisis financiera global (2008:T2), lo que refuerza la necesidad de esta cautela interpretativa.</w:t>
      </w:r>
    </w:p>
    <w:p w14:paraId="3E4C3B66" w14:textId="77777777" w:rsidR="00AC5DC1" w:rsidRPr="00CA0128" w:rsidRDefault="00000000">
      <w:pPr>
        <w:spacing w:after="160" w:line="300" w:lineRule="auto"/>
        <w:rPr>
          <w:rFonts w:ascii="Arial" w:hAnsi="Arial" w:cs="Arial"/>
        </w:rPr>
      </w:pPr>
      <w:r w:rsidRPr="00CA0128">
        <w:rPr>
          <w:rFonts w:ascii="Arial" w:hAnsi="Arial" w:cs="Arial"/>
          <w:b/>
          <w:sz w:val="26"/>
          <w:szCs w:val="26"/>
        </w:rPr>
        <w:t>9.2. Recomendaciones</w:t>
      </w:r>
    </w:p>
    <w:p w14:paraId="0D8F82E9" w14:textId="3B8A9B22" w:rsidR="00AC5DC1" w:rsidRPr="00CA0128" w:rsidRDefault="00000000">
      <w:pPr>
        <w:spacing w:after="160" w:line="300" w:lineRule="auto"/>
        <w:jc w:val="both"/>
        <w:rPr>
          <w:rFonts w:ascii="Arial" w:hAnsi="Arial" w:cs="Arial"/>
        </w:rPr>
      </w:pPr>
      <w:r w:rsidRPr="00CA0128">
        <w:rPr>
          <w:rFonts w:ascii="Arial" w:hAnsi="Arial" w:cs="Arial"/>
        </w:rPr>
        <w:t xml:space="preserve">Para la política y el análisis: monitorear el residuo real del diferencial como indicador de la fricción </w:t>
      </w:r>
      <w:proofErr w:type="spellStart"/>
      <w:r w:rsidRPr="00CA0128">
        <w:rPr>
          <w:rFonts w:ascii="Arial" w:hAnsi="Arial" w:cs="Arial"/>
        </w:rPr>
        <w:t>cambiariofinanciera</w:t>
      </w:r>
      <w:proofErr w:type="spellEnd"/>
      <w:r w:rsidRPr="00CA0128">
        <w:rPr>
          <w:rFonts w:ascii="Arial" w:hAnsi="Arial" w:cs="Arial"/>
        </w:rPr>
        <w:t xml:space="preserve"> del sistema, complementando el seguimiento tradicional del nivel de tasas; y avanzar en la publicación de series largas y homogéneas (encaje por </w:t>
      </w:r>
      <w:r w:rsidRPr="00CA0128">
        <w:rPr>
          <w:rFonts w:ascii="Arial" w:hAnsi="Arial" w:cs="Arial"/>
        </w:rPr>
        <w:lastRenderedPageBreak/>
        <w:t>moneda y plazo, operaciones forward) que permitan descomposiciones más finas del riesgo.</w:t>
      </w:r>
    </w:p>
    <w:p w14:paraId="559DE9BA" w14:textId="4F6E3461" w:rsidR="00AC5DC1" w:rsidRPr="00CA0128" w:rsidRDefault="00000000">
      <w:pPr>
        <w:spacing w:after="160" w:line="300" w:lineRule="auto"/>
        <w:jc w:val="both"/>
        <w:rPr>
          <w:rFonts w:ascii="Arial" w:hAnsi="Arial" w:cs="Arial"/>
        </w:rPr>
      </w:pPr>
      <w:r w:rsidRPr="00CA0128">
        <w:rPr>
          <w:rFonts w:ascii="Arial" w:hAnsi="Arial" w:cs="Arial"/>
        </w:rPr>
        <w:t>Para investigaciones futuras: (i) medir el componente expectacional con las encuestas de expectativas del BCP en lugar de la inflación observada; (ii) explotar la profundización del mercado forward para construir un precio del riesgo cambiario y contrastar la paridad cubierta; (iii) completar la cronología de encajes por resoluciones (20042012) para una robustez regulatoria de ventana completa; (iv) buscar identificación causal mediante control sintético o comparación con economías vecinas que no adoptaron metas de inflación en el período; y (v) explorar especificaciones de la prima con volatilidad implícita o medidas de riesgo de cola, cuando existan datos.</w:t>
      </w:r>
    </w:p>
    <w:p w14:paraId="261C708B" w14:textId="77777777" w:rsidR="00D27E85" w:rsidRPr="00CA0128" w:rsidRDefault="00D27E85" w:rsidP="00D27E85">
      <w:pPr>
        <w:spacing w:before="240" w:after="240" w:line="480" w:lineRule="auto"/>
        <w:jc w:val="center"/>
        <w:outlineLvl w:val="0"/>
        <w:rPr>
          <w:rFonts w:ascii="Arial" w:eastAsia="Arial" w:hAnsi="Arial" w:cs="Arial"/>
          <w:b/>
          <w:bCs/>
          <w:color w:val="000000"/>
          <w:lang w:val="es-ES" w:eastAsia="es-ES"/>
        </w:rPr>
      </w:pPr>
      <w:r w:rsidRPr="00CA0128">
        <w:rPr>
          <w:rFonts w:ascii="Arial" w:eastAsia="Arial" w:hAnsi="Arial" w:cs="Arial"/>
          <w:b/>
          <w:bCs/>
          <w:color w:val="000000"/>
          <w:lang w:val="es-ES" w:eastAsia="es-ES"/>
        </w:rPr>
        <w:t>Referencias</w:t>
      </w:r>
    </w:p>
    <w:p w14:paraId="2C165485"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Andrews, D. W. K. (1991). Heteroskedasticity and autocorrelation consistent covariance matrix estimation. </w:t>
      </w:r>
      <w:r w:rsidRPr="00CA0128">
        <w:rPr>
          <w:rFonts w:ascii="Arial" w:eastAsia="Arial" w:hAnsi="Arial" w:cs="Arial"/>
          <w:i/>
          <w:iCs/>
          <w:lang w:val="es-ES" w:eastAsia="es-ES"/>
        </w:rPr>
        <w:t>Econometrica, 59</w:t>
      </w:r>
      <w:r w:rsidRPr="00CA0128">
        <w:rPr>
          <w:rFonts w:ascii="Arial" w:eastAsia="Arial" w:hAnsi="Arial" w:cs="Arial"/>
          <w:lang w:val="es-ES" w:eastAsia="es-ES"/>
        </w:rPr>
        <w:t>(3), 817–858.</w:t>
      </w:r>
    </w:p>
    <w:p w14:paraId="6FB54BDA"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Bai, J., &amp; Perron, P. (1998). Estimating and testing linear models with multiple structural changes. </w:t>
      </w:r>
      <w:r w:rsidRPr="00CA0128">
        <w:rPr>
          <w:rFonts w:ascii="Arial" w:eastAsia="Arial" w:hAnsi="Arial" w:cs="Arial"/>
          <w:i/>
          <w:iCs/>
          <w:lang w:val="es-ES" w:eastAsia="es-ES"/>
        </w:rPr>
        <w:t>Econometrica, 66</w:t>
      </w:r>
      <w:r w:rsidRPr="00CA0128">
        <w:rPr>
          <w:rFonts w:ascii="Arial" w:eastAsia="Arial" w:hAnsi="Arial" w:cs="Arial"/>
          <w:lang w:val="es-ES" w:eastAsia="es-ES"/>
        </w:rPr>
        <w:t>(1), 47–78.</w:t>
      </w:r>
    </w:p>
    <w:p w14:paraId="192BECB9"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Banco Central del Paraguay. (2011). </w:t>
      </w:r>
      <w:r w:rsidRPr="00CA0128">
        <w:rPr>
          <w:rFonts w:ascii="Arial" w:eastAsia="Arial" w:hAnsi="Arial" w:cs="Arial"/>
          <w:i/>
          <w:iCs/>
          <w:lang w:val="es-ES" w:eastAsia="es-ES"/>
        </w:rPr>
        <w:t>Resolución N.º 22, Acta N.º 31: Adopción del régimen de Metas de Inflación</w:t>
      </w:r>
      <w:r w:rsidRPr="00CA0128">
        <w:rPr>
          <w:rFonts w:ascii="Arial" w:eastAsia="Arial" w:hAnsi="Arial" w:cs="Arial"/>
          <w:lang w:val="es-ES" w:eastAsia="es-ES"/>
        </w:rPr>
        <w:t>. https://www.bcp.gov.py</w:t>
      </w:r>
    </w:p>
    <w:p w14:paraId="452538DE"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Banco Central del Paraguay. (2024). </w:t>
      </w:r>
      <w:r w:rsidRPr="00CA0128">
        <w:rPr>
          <w:rFonts w:ascii="Arial" w:eastAsia="Arial" w:hAnsi="Arial" w:cs="Arial"/>
          <w:i/>
          <w:iCs/>
          <w:lang w:val="es-ES" w:eastAsia="es-ES"/>
        </w:rPr>
        <w:t>Estadísticas monetarias y financieras: tasas de interés pasivas, tipo de cambio nominal, dolarización de depósitos y encaje legal</w:t>
      </w:r>
      <w:r w:rsidRPr="00CA0128">
        <w:rPr>
          <w:rFonts w:ascii="Arial" w:eastAsia="Arial" w:hAnsi="Arial" w:cs="Arial"/>
          <w:lang w:val="es-ES" w:eastAsia="es-ES"/>
        </w:rPr>
        <w:t xml:space="preserve"> [Base de datos]. https://www.bcp.gov.py/estadisticas</w:t>
      </w:r>
    </w:p>
    <w:p w14:paraId="40037750" w14:textId="77777777" w:rsidR="00AC5DC1" w:rsidRPr="00CA0128" w:rsidRDefault="00000000">
      <w:pPr>
        <w:spacing w:after="160" w:line="300" w:lineRule="auto"/>
        <w:jc w:val="both"/>
        <w:rPr>
          <w:rFonts w:ascii="Arial" w:hAnsi="Arial" w:cs="Arial"/>
        </w:rPr>
      </w:pPr>
      <w:r w:rsidRPr="00CA0128">
        <w:rPr>
          <w:rFonts w:ascii="Arial" w:hAnsi="Arial" w:cs="Arial"/>
        </w:rPr>
        <w:t>Banco Central del Paraguay. (2024). Resolución N.º 48, Acta N.º 60 (16 de diciembre de 2024): meta de inflación de 3,5 % ± 2 pp. Banco Central del Paraguay. https://www.bcp.gov.py/</w:t>
      </w:r>
    </w:p>
    <w:p w14:paraId="600509A8" w14:textId="59AC36E2" w:rsidR="00AC5DC1" w:rsidRPr="00CA0128" w:rsidRDefault="00000000">
      <w:pPr>
        <w:spacing w:after="160" w:line="300" w:lineRule="auto"/>
        <w:jc w:val="both"/>
        <w:rPr>
          <w:rFonts w:ascii="Arial" w:hAnsi="Arial" w:cs="Arial"/>
        </w:rPr>
      </w:pPr>
      <w:r w:rsidRPr="00CA0128">
        <w:rPr>
          <w:rFonts w:ascii="Arial" w:hAnsi="Arial" w:cs="Arial"/>
        </w:rPr>
        <w:t>Banco Central del Paraguay. (2026). Tasa de Política Monetaria (serie histórica) [Conjunto de datos]. https://www.bcp.gov.py/tasadepoliticamonetaria</w:t>
      </w:r>
    </w:p>
    <w:p w14:paraId="3C506AD1"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Bansal, R., &amp; Dahlquist, M. (2000). The forward premium puzzle: Different tales from developed and emerging economies. </w:t>
      </w:r>
      <w:r w:rsidRPr="00CA0128">
        <w:rPr>
          <w:rFonts w:ascii="Arial" w:eastAsia="Arial" w:hAnsi="Arial" w:cs="Arial"/>
          <w:i/>
          <w:iCs/>
          <w:lang w:val="es-ES" w:eastAsia="es-ES"/>
        </w:rPr>
        <w:t>Journal of International Economics, 51</w:t>
      </w:r>
      <w:r w:rsidRPr="00CA0128">
        <w:rPr>
          <w:rFonts w:ascii="Arial" w:eastAsia="Arial" w:hAnsi="Arial" w:cs="Arial"/>
          <w:lang w:val="es-ES" w:eastAsia="es-ES"/>
        </w:rPr>
        <w:t>(1), 115–144.</w:t>
      </w:r>
    </w:p>
    <w:p w14:paraId="741EA645"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Brunnermeier, M. K., Nagel, S., &amp; Pedersen, L. H. (2009). Carry trades and currency crashes. En D. Acemoglu, K. Rogoff &amp; M. Woodford (Eds.), </w:t>
      </w:r>
      <w:r w:rsidRPr="00CA0128">
        <w:rPr>
          <w:rFonts w:ascii="Arial" w:eastAsia="Arial" w:hAnsi="Arial" w:cs="Arial"/>
          <w:i/>
          <w:iCs/>
          <w:lang w:val="es-ES" w:eastAsia="es-ES"/>
        </w:rPr>
        <w:t>NBER Macroeconomics Annual 2008</w:t>
      </w:r>
      <w:r w:rsidRPr="00CA0128">
        <w:rPr>
          <w:rFonts w:ascii="Arial" w:eastAsia="Arial" w:hAnsi="Arial" w:cs="Arial"/>
          <w:lang w:val="es-ES" w:eastAsia="es-ES"/>
        </w:rPr>
        <w:t xml:space="preserve"> (Vol. 23, pp. 313–347). University of Chicago Press.</w:t>
      </w:r>
    </w:p>
    <w:p w14:paraId="56DD96CE"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Calvo, G. A., &amp; Reinhart, C. M. (2002). Fear of floating. </w:t>
      </w:r>
      <w:r w:rsidRPr="00CA0128">
        <w:rPr>
          <w:rFonts w:ascii="Arial" w:eastAsia="Arial" w:hAnsi="Arial" w:cs="Arial"/>
          <w:i/>
          <w:iCs/>
          <w:lang w:val="es-ES" w:eastAsia="es-ES"/>
        </w:rPr>
        <w:t>The Quarterly Journal of Economics, 117</w:t>
      </w:r>
      <w:r w:rsidRPr="00CA0128">
        <w:rPr>
          <w:rFonts w:ascii="Arial" w:eastAsia="Arial" w:hAnsi="Arial" w:cs="Arial"/>
          <w:lang w:val="es-ES" w:eastAsia="es-ES"/>
        </w:rPr>
        <w:t>(2), 379–408.</w:t>
      </w:r>
    </w:p>
    <w:p w14:paraId="0DEF52DA"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Calvo, G. A., &amp; Végh, C. A. (1992). Currency substitution in developing countries: An introduction. </w:t>
      </w:r>
      <w:r w:rsidRPr="00CA0128">
        <w:rPr>
          <w:rFonts w:ascii="Arial" w:eastAsia="Arial" w:hAnsi="Arial" w:cs="Arial"/>
          <w:i/>
          <w:iCs/>
          <w:lang w:val="es-ES" w:eastAsia="es-ES"/>
        </w:rPr>
        <w:t>Revista de Análisis Económico, 7</w:t>
      </w:r>
      <w:r w:rsidRPr="00CA0128">
        <w:rPr>
          <w:rFonts w:ascii="Arial" w:eastAsia="Arial" w:hAnsi="Arial" w:cs="Arial"/>
          <w:lang w:val="es-ES" w:eastAsia="es-ES"/>
        </w:rPr>
        <w:t>(1), 3–27.</w:t>
      </w:r>
    </w:p>
    <w:p w14:paraId="314A2BE5"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Ditzen, J., Karavias, Y., &amp; Westerlund, J. (2021). </w:t>
      </w:r>
      <w:r w:rsidRPr="00CA0128">
        <w:rPr>
          <w:rFonts w:ascii="Arial" w:eastAsia="Arial" w:hAnsi="Arial" w:cs="Arial"/>
          <w:i/>
          <w:iCs/>
          <w:lang w:val="es-ES" w:eastAsia="es-ES"/>
        </w:rPr>
        <w:t>Testing and estimating structural breaks in time series and panel data in Stata</w:t>
      </w:r>
      <w:r w:rsidRPr="00CA0128">
        <w:rPr>
          <w:rFonts w:ascii="Arial" w:eastAsia="Arial" w:hAnsi="Arial" w:cs="Arial"/>
          <w:lang w:val="es-ES" w:eastAsia="es-ES"/>
        </w:rPr>
        <w:t xml:space="preserve"> (arXiv: 2110.14550). arXiv.</w:t>
      </w:r>
    </w:p>
    <w:p w14:paraId="0582BA99"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Engel, C. (1996). The forward discount anomaly and the risk premium: A survey of recent evidence. </w:t>
      </w:r>
      <w:r w:rsidRPr="00CA0128">
        <w:rPr>
          <w:rFonts w:ascii="Arial" w:eastAsia="Arial" w:hAnsi="Arial" w:cs="Arial"/>
          <w:i/>
          <w:iCs/>
          <w:lang w:val="es-ES" w:eastAsia="es-ES"/>
        </w:rPr>
        <w:t>Journal of Empirical Finance, 3</w:t>
      </w:r>
      <w:r w:rsidRPr="00CA0128">
        <w:rPr>
          <w:rFonts w:ascii="Arial" w:eastAsia="Arial" w:hAnsi="Arial" w:cs="Arial"/>
          <w:lang w:val="es-ES" w:eastAsia="es-ES"/>
        </w:rPr>
        <w:t>(2), 123–192.</w:t>
      </w:r>
    </w:p>
    <w:p w14:paraId="033D4139"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Fama, E. F. (1984). Forward and spot exchange rates. </w:t>
      </w:r>
      <w:r w:rsidRPr="00CA0128">
        <w:rPr>
          <w:rFonts w:ascii="Arial" w:eastAsia="Arial" w:hAnsi="Arial" w:cs="Arial"/>
          <w:i/>
          <w:iCs/>
          <w:lang w:val="es-ES" w:eastAsia="es-ES"/>
        </w:rPr>
        <w:t>Journal of Monetary Economics, 14</w:t>
      </w:r>
      <w:r w:rsidRPr="00CA0128">
        <w:rPr>
          <w:rFonts w:ascii="Arial" w:eastAsia="Arial" w:hAnsi="Arial" w:cs="Arial"/>
          <w:lang w:val="es-ES" w:eastAsia="es-ES"/>
        </w:rPr>
        <w:t>(3), 319–338.</w:t>
      </w:r>
    </w:p>
    <w:p w14:paraId="5FFBDFAD"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lastRenderedPageBreak/>
        <w:t xml:space="preserve">Federal Reserve System. (2024). </w:t>
      </w:r>
      <w:r w:rsidRPr="00CA0128">
        <w:rPr>
          <w:rFonts w:ascii="Arial" w:eastAsia="Arial" w:hAnsi="Arial" w:cs="Arial"/>
          <w:i/>
          <w:iCs/>
          <w:lang w:val="es-ES" w:eastAsia="es-ES"/>
        </w:rPr>
        <w:t>Federal funds effective rate</w:t>
      </w:r>
      <w:r w:rsidRPr="00CA0128">
        <w:rPr>
          <w:rFonts w:ascii="Arial" w:eastAsia="Arial" w:hAnsi="Arial" w:cs="Arial"/>
          <w:lang w:val="es-ES" w:eastAsia="es-ES"/>
        </w:rPr>
        <w:t xml:space="preserve"> [Base de datos]. FRED Economic Data. https://fred.stlouisfed.org/series/FEDFUNDS</w:t>
      </w:r>
    </w:p>
    <w:p w14:paraId="5CC0E3FD"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Fisher, I. (1930). </w:t>
      </w:r>
      <w:r w:rsidRPr="00CA0128">
        <w:rPr>
          <w:rFonts w:ascii="Arial" w:eastAsia="Arial" w:hAnsi="Arial" w:cs="Arial"/>
          <w:i/>
          <w:iCs/>
          <w:lang w:val="es-ES" w:eastAsia="es-ES"/>
        </w:rPr>
        <w:t>The theory of interest</w:t>
      </w:r>
      <w:r w:rsidRPr="00CA0128">
        <w:rPr>
          <w:rFonts w:ascii="Arial" w:eastAsia="Arial" w:hAnsi="Arial" w:cs="Arial"/>
          <w:lang w:val="es-ES" w:eastAsia="es-ES"/>
        </w:rPr>
        <w:t>. Macmillan.</w:t>
      </w:r>
    </w:p>
    <w:p w14:paraId="6EF74037"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Frenkel, J. A. (1973). Elasticities and the interest parity theory. </w:t>
      </w:r>
      <w:r w:rsidRPr="00CA0128">
        <w:rPr>
          <w:rFonts w:ascii="Arial" w:eastAsia="Arial" w:hAnsi="Arial" w:cs="Arial"/>
          <w:i/>
          <w:iCs/>
          <w:lang w:val="es-ES" w:eastAsia="es-ES"/>
        </w:rPr>
        <w:t>Journal of Political Economy, 81</w:t>
      </w:r>
      <w:r w:rsidRPr="00CA0128">
        <w:rPr>
          <w:rFonts w:ascii="Arial" w:eastAsia="Arial" w:hAnsi="Arial" w:cs="Arial"/>
          <w:lang w:val="es-ES" w:eastAsia="es-ES"/>
        </w:rPr>
        <w:t>(3), 741–747.</w:t>
      </w:r>
    </w:p>
    <w:p w14:paraId="1E677FFC"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Hansen, L. P., &amp; Hodrick, R. J. (1980). Forward exchange rates as optimal predictors of future spot rates: An econometric analysis. </w:t>
      </w:r>
      <w:r w:rsidRPr="00CA0128">
        <w:rPr>
          <w:rFonts w:ascii="Arial" w:eastAsia="Arial" w:hAnsi="Arial" w:cs="Arial"/>
          <w:i/>
          <w:iCs/>
          <w:lang w:val="es-ES" w:eastAsia="es-ES"/>
        </w:rPr>
        <w:t>Journal of Political Economy, 88</w:t>
      </w:r>
      <w:r w:rsidRPr="00CA0128">
        <w:rPr>
          <w:rFonts w:ascii="Arial" w:eastAsia="Arial" w:hAnsi="Arial" w:cs="Arial"/>
          <w:lang w:val="es-ES" w:eastAsia="es-ES"/>
        </w:rPr>
        <w:t>(5), 829–853.</w:t>
      </w:r>
    </w:p>
    <w:p w14:paraId="03A59FB9" w14:textId="3EC2629B"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Ize, A., &amp; </w:t>
      </w:r>
      <w:proofErr w:type="spellStart"/>
      <w:r w:rsidRPr="00CA0128">
        <w:rPr>
          <w:rFonts w:ascii="Arial" w:eastAsia="Arial" w:hAnsi="Arial" w:cs="Arial"/>
          <w:lang w:val="es-ES" w:eastAsia="es-ES"/>
        </w:rPr>
        <w:t>LevyYeyati</w:t>
      </w:r>
      <w:proofErr w:type="spellEnd"/>
      <w:r w:rsidRPr="00CA0128">
        <w:rPr>
          <w:rFonts w:ascii="Arial" w:eastAsia="Arial" w:hAnsi="Arial" w:cs="Arial"/>
          <w:lang w:val="es-ES" w:eastAsia="es-ES"/>
        </w:rPr>
        <w:t xml:space="preserve">, E. (2003). Financial dollarization. </w:t>
      </w:r>
      <w:r w:rsidRPr="00CA0128">
        <w:rPr>
          <w:rFonts w:ascii="Arial" w:eastAsia="Arial" w:hAnsi="Arial" w:cs="Arial"/>
          <w:i/>
          <w:iCs/>
          <w:lang w:val="es-ES" w:eastAsia="es-ES"/>
        </w:rPr>
        <w:t>Journal of International Economics, 59</w:t>
      </w:r>
      <w:r w:rsidRPr="00CA0128">
        <w:rPr>
          <w:rFonts w:ascii="Arial" w:eastAsia="Arial" w:hAnsi="Arial" w:cs="Arial"/>
          <w:lang w:val="es-ES" w:eastAsia="es-ES"/>
        </w:rPr>
        <w:t>(2), 323–347.</w:t>
      </w:r>
    </w:p>
    <w:p w14:paraId="03ED2007"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Keynes, J. M. (1923). </w:t>
      </w:r>
      <w:r w:rsidRPr="00CA0128">
        <w:rPr>
          <w:rFonts w:ascii="Arial" w:eastAsia="Arial" w:hAnsi="Arial" w:cs="Arial"/>
          <w:i/>
          <w:iCs/>
          <w:lang w:val="es-ES" w:eastAsia="es-ES"/>
        </w:rPr>
        <w:t>A tract on monetary reform</w:t>
      </w:r>
      <w:r w:rsidRPr="00CA0128">
        <w:rPr>
          <w:rFonts w:ascii="Arial" w:eastAsia="Arial" w:hAnsi="Arial" w:cs="Arial"/>
          <w:lang w:val="es-ES" w:eastAsia="es-ES"/>
        </w:rPr>
        <w:t>. Macmillan.</w:t>
      </w:r>
    </w:p>
    <w:p w14:paraId="3AF25947"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Krasker, W. S. (1980). The peso problem in testing the efficiency of forward exchange markets. </w:t>
      </w:r>
      <w:r w:rsidRPr="00CA0128">
        <w:rPr>
          <w:rFonts w:ascii="Arial" w:eastAsia="Arial" w:hAnsi="Arial" w:cs="Arial"/>
          <w:i/>
          <w:iCs/>
          <w:lang w:val="es-ES" w:eastAsia="es-ES"/>
        </w:rPr>
        <w:t>Journal of Monetary Economics, 6</w:t>
      </w:r>
      <w:r w:rsidRPr="00CA0128">
        <w:rPr>
          <w:rFonts w:ascii="Arial" w:eastAsia="Arial" w:hAnsi="Arial" w:cs="Arial"/>
          <w:lang w:val="es-ES" w:eastAsia="es-ES"/>
        </w:rPr>
        <w:t>(2), 269–276.</w:t>
      </w:r>
    </w:p>
    <w:p w14:paraId="7E57BD20"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Leiderman, L., Maino, R., &amp; Parrado, E. (2006). </w:t>
      </w:r>
      <w:r w:rsidRPr="00CA0128">
        <w:rPr>
          <w:rFonts w:ascii="Arial" w:eastAsia="Arial" w:hAnsi="Arial" w:cs="Arial"/>
          <w:i/>
          <w:iCs/>
          <w:lang w:val="es-ES" w:eastAsia="es-ES"/>
        </w:rPr>
        <w:t>Inflation targeting in dollarized economies</w:t>
      </w:r>
      <w:r w:rsidRPr="00CA0128">
        <w:rPr>
          <w:rFonts w:ascii="Arial" w:eastAsia="Arial" w:hAnsi="Arial" w:cs="Arial"/>
          <w:lang w:val="es-ES" w:eastAsia="es-ES"/>
        </w:rPr>
        <w:t xml:space="preserve"> (IMF Working Paper No. 06/157). International Monetary Fund.</w:t>
      </w:r>
    </w:p>
    <w:p w14:paraId="06FF67A5"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Lewis, K. K. (1995). Puzzles in international financial markets. En G. M. Grossman &amp; K. Rogoff (Eds.), </w:t>
      </w:r>
      <w:r w:rsidRPr="00CA0128">
        <w:rPr>
          <w:rFonts w:ascii="Arial" w:eastAsia="Arial" w:hAnsi="Arial" w:cs="Arial"/>
          <w:i/>
          <w:iCs/>
          <w:lang w:val="es-ES" w:eastAsia="es-ES"/>
        </w:rPr>
        <w:t>Handbook of International Economics</w:t>
      </w:r>
      <w:r w:rsidRPr="00CA0128">
        <w:rPr>
          <w:rFonts w:ascii="Arial" w:eastAsia="Arial" w:hAnsi="Arial" w:cs="Arial"/>
          <w:lang w:val="es-ES" w:eastAsia="es-ES"/>
        </w:rPr>
        <w:t xml:space="preserve"> (Vol. 3, pp. 1913–1971). Elsevier.</w:t>
      </w:r>
    </w:p>
    <w:p w14:paraId="0F37D187"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Ley N.º 489/95, Orgánica del Banco Central del Paraguay (1995). </w:t>
      </w:r>
      <w:r w:rsidRPr="00CA0128">
        <w:rPr>
          <w:rFonts w:ascii="Arial" w:eastAsia="Arial" w:hAnsi="Arial" w:cs="Arial"/>
          <w:i/>
          <w:iCs/>
          <w:lang w:val="es-ES" w:eastAsia="es-ES"/>
        </w:rPr>
        <w:t>Gaceta Oficial de la República del Paraguay</w:t>
      </w:r>
      <w:r w:rsidRPr="00CA0128">
        <w:rPr>
          <w:rFonts w:ascii="Arial" w:eastAsia="Arial" w:hAnsi="Arial" w:cs="Arial"/>
          <w:lang w:val="es-ES" w:eastAsia="es-ES"/>
        </w:rPr>
        <w:t>.</w:t>
      </w:r>
    </w:p>
    <w:p w14:paraId="6B6DDE70"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Lustig, H., &amp; Verdelhan, A. (2007). The cross section of foreign currency risk premia and consumption growth risk. </w:t>
      </w:r>
      <w:r w:rsidRPr="00CA0128">
        <w:rPr>
          <w:rFonts w:ascii="Arial" w:eastAsia="Arial" w:hAnsi="Arial" w:cs="Arial"/>
          <w:i/>
          <w:iCs/>
          <w:lang w:val="es-ES" w:eastAsia="es-ES"/>
        </w:rPr>
        <w:t>American Economic Review, 97</w:t>
      </w:r>
      <w:r w:rsidRPr="00CA0128">
        <w:rPr>
          <w:rFonts w:ascii="Arial" w:eastAsia="Arial" w:hAnsi="Arial" w:cs="Arial"/>
          <w:lang w:val="es-ES" w:eastAsia="es-ES"/>
        </w:rPr>
        <w:t>(1), 89–117.</w:t>
      </w:r>
    </w:p>
    <w:p w14:paraId="70FB69F1" w14:textId="77777777" w:rsidR="00AC5DC1" w:rsidRPr="00CA0128" w:rsidRDefault="00000000">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Malmendier, U., &amp; Nagel, S. (2011). Depression babies: Do macroeconomic experiences affect risk taking? </w:t>
      </w:r>
      <w:r w:rsidRPr="00CA0128">
        <w:rPr>
          <w:rFonts w:ascii="Arial" w:eastAsia="Arial" w:hAnsi="Arial" w:cs="Arial"/>
          <w:i/>
          <w:iCs/>
          <w:lang w:val="es-ES" w:eastAsia="es-ES"/>
        </w:rPr>
        <w:t>Quarterly Journal of Economics, 126</w:t>
      </w:r>
      <w:r w:rsidRPr="00CA0128">
        <w:rPr>
          <w:rFonts w:ascii="Arial" w:eastAsia="Arial" w:hAnsi="Arial" w:cs="Arial"/>
          <w:lang w:val="es-ES" w:eastAsia="es-ES"/>
        </w:rPr>
        <w:t>(1), 373–416.</w:t>
      </w:r>
    </w:p>
    <w:p w14:paraId="781C3B1B"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Mishkin, F. S. (2004). </w:t>
      </w:r>
      <w:r w:rsidRPr="00CA0128">
        <w:rPr>
          <w:rFonts w:ascii="Arial" w:eastAsia="Arial" w:hAnsi="Arial" w:cs="Arial"/>
          <w:i/>
          <w:iCs/>
          <w:lang w:val="es-ES" w:eastAsia="es-ES"/>
        </w:rPr>
        <w:t>Can inflation targeting work in emerging market countries?</w:t>
      </w:r>
      <w:r w:rsidRPr="00CA0128">
        <w:rPr>
          <w:rFonts w:ascii="Arial" w:eastAsia="Arial" w:hAnsi="Arial" w:cs="Arial"/>
          <w:lang w:val="es-ES" w:eastAsia="es-ES"/>
        </w:rPr>
        <w:t xml:space="preserve"> (NBER Working Paper No. 10646). National Bureau of Economic Research.</w:t>
      </w:r>
    </w:p>
    <w:p w14:paraId="6E14850C" w14:textId="3627DB9F"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Mishkin, F. S., &amp; </w:t>
      </w:r>
      <w:proofErr w:type="spellStart"/>
      <w:r w:rsidRPr="00CA0128">
        <w:rPr>
          <w:rFonts w:ascii="Arial" w:eastAsia="Arial" w:hAnsi="Arial" w:cs="Arial"/>
          <w:lang w:val="es-ES" w:eastAsia="es-ES"/>
        </w:rPr>
        <w:t>SchmidtHebbel</w:t>
      </w:r>
      <w:proofErr w:type="spellEnd"/>
      <w:r w:rsidRPr="00CA0128">
        <w:rPr>
          <w:rFonts w:ascii="Arial" w:eastAsia="Arial" w:hAnsi="Arial" w:cs="Arial"/>
          <w:lang w:val="es-ES" w:eastAsia="es-ES"/>
        </w:rPr>
        <w:t xml:space="preserve">, K. (2007). Does inflation targeting make a difference? En F. S. Mishkin &amp; K. </w:t>
      </w:r>
      <w:proofErr w:type="spellStart"/>
      <w:r w:rsidRPr="00CA0128">
        <w:rPr>
          <w:rFonts w:ascii="Arial" w:eastAsia="Arial" w:hAnsi="Arial" w:cs="Arial"/>
          <w:lang w:val="es-ES" w:eastAsia="es-ES"/>
        </w:rPr>
        <w:t>SchmidtHebbel</w:t>
      </w:r>
      <w:proofErr w:type="spellEnd"/>
      <w:r w:rsidRPr="00CA0128">
        <w:rPr>
          <w:rFonts w:ascii="Arial" w:eastAsia="Arial" w:hAnsi="Arial" w:cs="Arial"/>
          <w:lang w:val="es-ES" w:eastAsia="es-ES"/>
        </w:rPr>
        <w:t xml:space="preserve"> (Eds.), </w:t>
      </w:r>
      <w:r w:rsidRPr="00CA0128">
        <w:rPr>
          <w:rFonts w:ascii="Arial" w:eastAsia="Arial" w:hAnsi="Arial" w:cs="Arial"/>
          <w:i/>
          <w:iCs/>
          <w:lang w:val="es-ES" w:eastAsia="es-ES"/>
        </w:rPr>
        <w:t>Monetary policy under inflation targeting</w:t>
      </w:r>
      <w:r w:rsidRPr="00CA0128">
        <w:rPr>
          <w:rFonts w:ascii="Arial" w:eastAsia="Arial" w:hAnsi="Arial" w:cs="Arial"/>
          <w:lang w:val="es-ES" w:eastAsia="es-ES"/>
        </w:rPr>
        <w:t xml:space="preserve"> (pp. 291–372). Banco Central de Chile.</w:t>
      </w:r>
    </w:p>
    <w:p w14:paraId="24412282"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Mundell, R. A. (1963). Capital mobility and stabilization policy under fixed and flexible exchange rates. </w:t>
      </w:r>
      <w:r w:rsidRPr="00CA0128">
        <w:rPr>
          <w:rFonts w:ascii="Arial" w:eastAsia="Arial" w:hAnsi="Arial" w:cs="Arial"/>
          <w:i/>
          <w:iCs/>
          <w:lang w:val="es-ES" w:eastAsia="es-ES"/>
        </w:rPr>
        <w:t>Canadian Journal of Economics and Political Science, 29</w:t>
      </w:r>
      <w:r w:rsidRPr="00CA0128">
        <w:rPr>
          <w:rFonts w:ascii="Arial" w:eastAsia="Arial" w:hAnsi="Arial" w:cs="Arial"/>
          <w:lang w:val="es-ES" w:eastAsia="es-ES"/>
        </w:rPr>
        <w:t>(4), 475–485.</w:t>
      </w:r>
    </w:p>
    <w:p w14:paraId="71D5A685" w14:textId="32212393"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Newey, W. K., &amp; West, K. D. (1987). A simple, positive </w:t>
      </w:r>
      <w:proofErr w:type="spellStart"/>
      <w:r w:rsidRPr="00CA0128">
        <w:rPr>
          <w:rFonts w:ascii="Arial" w:eastAsia="Arial" w:hAnsi="Arial" w:cs="Arial"/>
          <w:lang w:val="es-ES" w:eastAsia="es-ES"/>
        </w:rPr>
        <w:t>semidefinite</w:t>
      </w:r>
      <w:proofErr w:type="spellEnd"/>
      <w:r w:rsidRPr="00CA0128">
        <w:rPr>
          <w:rFonts w:ascii="Arial" w:eastAsia="Arial" w:hAnsi="Arial" w:cs="Arial"/>
          <w:lang w:val="es-ES" w:eastAsia="es-ES"/>
        </w:rPr>
        <w:t xml:space="preserve">, </w:t>
      </w:r>
      <w:proofErr w:type="spellStart"/>
      <w:r w:rsidRPr="00CA0128">
        <w:rPr>
          <w:rFonts w:ascii="Arial" w:eastAsia="Arial" w:hAnsi="Arial" w:cs="Arial"/>
          <w:lang w:val="es-ES" w:eastAsia="es-ES"/>
        </w:rPr>
        <w:t>heteroskedasticity</w:t>
      </w:r>
      <w:proofErr w:type="spellEnd"/>
      <w:r w:rsidRPr="00CA0128">
        <w:rPr>
          <w:rFonts w:ascii="Arial" w:eastAsia="Arial" w:hAnsi="Arial" w:cs="Arial"/>
          <w:lang w:val="es-ES" w:eastAsia="es-ES"/>
        </w:rPr>
        <w:t xml:space="preserve"> and </w:t>
      </w:r>
      <w:proofErr w:type="spellStart"/>
      <w:r w:rsidRPr="00CA0128">
        <w:rPr>
          <w:rFonts w:ascii="Arial" w:eastAsia="Arial" w:hAnsi="Arial" w:cs="Arial"/>
          <w:lang w:val="es-ES" w:eastAsia="es-ES"/>
        </w:rPr>
        <w:t>autocorrelation</w:t>
      </w:r>
      <w:proofErr w:type="spellEnd"/>
      <w:r w:rsidRPr="00CA0128">
        <w:rPr>
          <w:rFonts w:ascii="Arial" w:eastAsia="Arial" w:hAnsi="Arial" w:cs="Arial"/>
          <w:lang w:val="es-ES" w:eastAsia="es-ES"/>
        </w:rPr>
        <w:t xml:space="preserve"> consistent covariance matrix. </w:t>
      </w:r>
      <w:r w:rsidRPr="00CA0128">
        <w:rPr>
          <w:rFonts w:ascii="Arial" w:eastAsia="Arial" w:hAnsi="Arial" w:cs="Arial"/>
          <w:i/>
          <w:iCs/>
          <w:lang w:val="es-ES" w:eastAsia="es-ES"/>
        </w:rPr>
        <w:t>Econometrica, 55</w:t>
      </w:r>
      <w:r w:rsidRPr="00CA0128">
        <w:rPr>
          <w:rFonts w:ascii="Arial" w:eastAsia="Arial" w:hAnsi="Arial" w:cs="Arial"/>
          <w:lang w:val="es-ES" w:eastAsia="es-ES"/>
        </w:rPr>
        <w:t>(3), 703–708.</w:t>
      </w:r>
    </w:p>
    <w:p w14:paraId="2C623F98" w14:textId="77777777" w:rsidR="00D27E85" w:rsidRPr="00CA0128" w:rsidRDefault="00D27E85" w:rsidP="00D27E85">
      <w:pPr>
        <w:spacing w:after="120" w:line="240" w:lineRule="auto"/>
        <w:ind w:left="720" w:hanging="720"/>
        <w:jc w:val="both"/>
        <w:rPr>
          <w:rFonts w:ascii="Arial" w:eastAsia="Arial" w:hAnsi="Arial" w:cs="Arial"/>
          <w:lang w:val="es-ES" w:eastAsia="es-ES"/>
        </w:rPr>
      </w:pPr>
      <w:r w:rsidRPr="00CA0128">
        <w:rPr>
          <w:rFonts w:ascii="Arial" w:eastAsia="Arial" w:hAnsi="Arial" w:cs="Arial"/>
          <w:lang w:val="es-ES" w:eastAsia="es-ES"/>
        </w:rPr>
        <w:t xml:space="preserve">Svensson, L. E. O. (1997). Inflation forecast targeting: Implementing and monitoring inflation targets. </w:t>
      </w:r>
      <w:r w:rsidRPr="00CA0128">
        <w:rPr>
          <w:rFonts w:ascii="Arial" w:eastAsia="Arial" w:hAnsi="Arial" w:cs="Arial"/>
          <w:i/>
          <w:iCs/>
          <w:lang w:val="es-ES" w:eastAsia="es-ES"/>
        </w:rPr>
        <w:t>European Economic Review, 41</w:t>
      </w:r>
      <w:r w:rsidRPr="00CA0128">
        <w:rPr>
          <w:rFonts w:ascii="Arial" w:eastAsia="Arial" w:hAnsi="Arial" w:cs="Arial"/>
          <w:lang w:val="es-ES" w:eastAsia="es-ES"/>
        </w:rPr>
        <w:t>(6), 1111–1146.</w:t>
      </w:r>
    </w:p>
    <w:p w14:paraId="502E66AF" w14:textId="77777777" w:rsidR="00AC5DC1" w:rsidRPr="00CA0128" w:rsidRDefault="00000000">
      <w:pPr>
        <w:spacing w:after="160" w:line="300" w:lineRule="auto"/>
        <w:jc w:val="both"/>
        <w:rPr>
          <w:rFonts w:ascii="Arial" w:hAnsi="Arial" w:cs="Arial"/>
        </w:rPr>
      </w:pPr>
      <w:r w:rsidRPr="00CA0128">
        <w:rPr>
          <w:rFonts w:ascii="Arial" w:hAnsi="Arial" w:cs="Arial"/>
        </w:rPr>
        <w:t>U.S. Bureau of Labor Statistics. (2026). Consumer Price Index for All Urban Consumers: All Items in U.S. City Average (CPIAUCSL) [Conjunto de datos]. FRED, Federal Reserve Bank of St. Louis. https://fred.stlouisfed.org/series/CPIAUCSL</w:t>
      </w:r>
    </w:p>
    <w:p w14:paraId="1F2637D2" w14:textId="77777777" w:rsidR="00D27E85" w:rsidRPr="00CA0128" w:rsidRDefault="00D27E85" w:rsidP="00D27E85">
      <w:pPr>
        <w:spacing w:after="0" w:line="360" w:lineRule="auto"/>
        <w:jc w:val="both"/>
        <w:rPr>
          <w:rFonts w:ascii="Arial" w:hAnsi="Arial" w:cs="Arial"/>
          <w:color w:val="000000" w:themeColor="text1"/>
        </w:rPr>
      </w:pPr>
    </w:p>
    <w:p w14:paraId="18382A84" w14:textId="77777777" w:rsidR="0076436A" w:rsidRPr="00CA0128" w:rsidRDefault="0076436A" w:rsidP="00DF3903">
      <w:pPr>
        <w:spacing w:after="0" w:line="360" w:lineRule="auto"/>
        <w:jc w:val="both"/>
        <w:rPr>
          <w:rFonts w:ascii="Arial" w:hAnsi="Arial" w:cs="Arial"/>
          <w:color w:val="000000" w:themeColor="text1"/>
        </w:rPr>
      </w:pPr>
    </w:p>
    <w:sectPr w:rsidR="0076436A" w:rsidRPr="00CA0128" w:rsidSect="00D27E85">
      <w:footerReference w:type="default" r:id="rId19"/>
      <w:pgSz w:w="11906" w:h="16838"/>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74AD" w14:textId="77777777" w:rsidR="00386039" w:rsidRDefault="00386039" w:rsidP="005924D5">
      <w:pPr>
        <w:spacing w:after="0" w:line="240" w:lineRule="auto"/>
      </w:pPr>
      <w:r>
        <w:separator/>
      </w:r>
    </w:p>
  </w:endnote>
  <w:endnote w:type="continuationSeparator" w:id="0">
    <w:p w14:paraId="1F830A6F" w14:textId="77777777" w:rsidR="00386039" w:rsidRDefault="00386039" w:rsidP="00592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D05E" w14:textId="77777777" w:rsidR="00B62E0F" w:rsidRDefault="00B62E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CBD9" w14:textId="77777777" w:rsidR="005924D5" w:rsidRPr="005924D5" w:rsidRDefault="005924D5">
    <w:pPr>
      <w:pStyle w:val="Piedepgina"/>
      <w:jc w:val="center"/>
      <w:rPr>
        <w:caps/>
      </w:rPr>
    </w:pPr>
  </w:p>
  <w:p w14:paraId="1B990DCA" w14:textId="77777777" w:rsidR="005924D5" w:rsidRDefault="005924D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61E4" w14:textId="77777777" w:rsidR="00B62E0F" w:rsidRDefault="00B62E0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8D72" w14:textId="77777777" w:rsidR="00DF3903" w:rsidRDefault="00DF3903">
    <w:pPr>
      <w:jc w:val="center"/>
    </w:pPr>
    <w:r>
      <w:rPr>
        <w:sz w:val="18"/>
        <w:szCs w:val="18"/>
      </w:rPr>
      <w:fldChar w:fldCharType="begin"/>
    </w:r>
    <w:r>
      <w:rPr>
        <w:sz w:val="18"/>
        <w:szCs w:val="18"/>
      </w:rPr>
      <w:instrText>PAGE</w:instrText>
    </w:r>
    <w:r>
      <w:rPr>
        <w:sz w:val="18"/>
        <w:szCs w:val="18"/>
      </w:rPr>
      <w:fldChar w:fldCharType="separate"/>
    </w:r>
    <w:r>
      <w:rPr>
        <w:noProof/>
        <w:sz w:val="18"/>
        <w:szCs w:val="18"/>
      </w:rPr>
      <w:t>i</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143D" w14:textId="77777777" w:rsidR="00D27E85" w:rsidRDefault="00D27E85">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2FC55" w14:textId="77777777" w:rsidR="00386039" w:rsidRDefault="00386039" w:rsidP="005924D5">
      <w:pPr>
        <w:spacing w:after="0" w:line="240" w:lineRule="auto"/>
      </w:pPr>
      <w:r>
        <w:separator/>
      </w:r>
    </w:p>
  </w:footnote>
  <w:footnote w:type="continuationSeparator" w:id="0">
    <w:p w14:paraId="6C29A17D" w14:textId="77777777" w:rsidR="00386039" w:rsidRDefault="00386039" w:rsidP="00592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5B11" w14:textId="77777777" w:rsidR="00B62E0F" w:rsidRDefault="00B62E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4D7E" w14:textId="77777777" w:rsidR="00B62E0F" w:rsidRDefault="00B62E0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241A" w14:textId="77777777" w:rsidR="00B62E0F" w:rsidRDefault="00B62E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409"/>
    <w:multiLevelType w:val="hybridMultilevel"/>
    <w:tmpl w:val="DDACC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0D69E0"/>
    <w:multiLevelType w:val="multilevel"/>
    <w:tmpl w:val="1A7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73E8"/>
    <w:multiLevelType w:val="multilevel"/>
    <w:tmpl w:val="CF044EE6"/>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144CE"/>
    <w:multiLevelType w:val="multilevel"/>
    <w:tmpl w:val="A0902D18"/>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EA34A0"/>
    <w:multiLevelType w:val="hybridMultilevel"/>
    <w:tmpl w:val="121C317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BB76EF7"/>
    <w:multiLevelType w:val="hybridMultilevel"/>
    <w:tmpl w:val="92E4A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922A7B"/>
    <w:multiLevelType w:val="multilevel"/>
    <w:tmpl w:val="D62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A3EB3"/>
    <w:multiLevelType w:val="multilevel"/>
    <w:tmpl w:val="3198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C4999"/>
    <w:multiLevelType w:val="hybridMultilevel"/>
    <w:tmpl w:val="C12C2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AB5FBA"/>
    <w:multiLevelType w:val="multilevel"/>
    <w:tmpl w:val="580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6199B"/>
    <w:multiLevelType w:val="multilevel"/>
    <w:tmpl w:val="FE4A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82A51"/>
    <w:multiLevelType w:val="hybridMultilevel"/>
    <w:tmpl w:val="1C0098B2"/>
    <w:lvl w:ilvl="0" w:tplc="49DC036E">
      <w:start w:val="1"/>
      <w:numFmt w:val="decimal"/>
      <w:lvlText w:val="%1)"/>
      <w:lvlJc w:val="left"/>
      <w:pPr>
        <w:ind w:left="720" w:hanging="360"/>
      </w:pPr>
    </w:lvl>
    <w:lvl w:ilvl="1" w:tplc="0C848C0A">
      <w:numFmt w:val="decimal"/>
      <w:lvlText w:val=""/>
      <w:lvlJc w:val="left"/>
    </w:lvl>
    <w:lvl w:ilvl="2" w:tplc="FAD0B3D6">
      <w:numFmt w:val="decimal"/>
      <w:lvlText w:val=""/>
      <w:lvlJc w:val="left"/>
    </w:lvl>
    <w:lvl w:ilvl="3" w:tplc="AD6EF8E0">
      <w:numFmt w:val="decimal"/>
      <w:lvlText w:val=""/>
      <w:lvlJc w:val="left"/>
    </w:lvl>
    <w:lvl w:ilvl="4" w:tplc="2D847522">
      <w:numFmt w:val="decimal"/>
      <w:lvlText w:val=""/>
      <w:lvlJc w:val="left"/>
    </w:lvl>
    <w:lvl w:ilvl="5" w:tplc="2CFE4FEE">
      <w:numFmt w:val="decimal"/>
      <w:lvlText w:val=""/>
      <w:lvlJc w:val="left"/>
    </w:lvl>
    <w:lvl w:ilvl="6" w:tplc="ADB8E8B6">
      <w:numFmt w:val="decimal"/>
      <w:lvlText w:val=""/>
      <w:lvlJc w:val="left"/>
    </w:lvl>
    <w:lvl w:ilvl="7" w:tplc="38547F8C">
      <w:numFmt w:val="decimal"/>
      <w:lvlText w:val=""/>
      <w:lvlJc w:val="left"/>
    </w:lvl>
    <w:lvl w:ilvl="8" w:tplc="89A851FA">
      <w:numFmt w:val="decimal"/>
      <w:lvlText w:val=""/>
      <w:lvlJc w:val="left"/>
    </w:lvl>
  </w:abstractNum>
  <w:abstractNum w:abstractNumId="12" w15:restartNumberingAfterBreak="0">
    <w:nsid w:val="423C30E4"/>
    <w:multiLevelType w:val="multilevel"/>
    <w:tmpl w:val="C7F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F727A"/>
    <w:multiLevelType w:val="multilevel"/>
    <w:tmpl w:val="0CB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255E7"/>
    <w:multiLevelType w:val="hybridMultilevel"/>
    <w:tmpl w:val="1D76BC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AA60834"/>
    <w:multiLevelType w:val="multilevel"/>
    <w:tmpl w:val="A9CEE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6D3894"/>
    <w:multiLevelType w:val="multilevel"/>
    <w:tmpl w:val="A48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B7229"/>
    <w:multiLevelType w:val="hybridMultilevel"/>
    <w:tmpl w:val="D7F6A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A744B3"/>
    <w:multiLevelType w:val="hybridMultilevel"/>
    <w:tmpl w:val="5EDEF8EC"/>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9" w15:restartNumberingAfterBreak="0">
    <w:nsid w:val="58660C86"/>
    <w:multiLevelType w:val="hybridMultilevel"/>
    <w:tmpl w:val="C81C7A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91F30D7"/>
    <w:multiLevelType w:val="hybridMultilevel"/>
    <w:tmpl w:val="A92A23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A843AE4"/>
    <w:multiLevelType w:val="multilevel"/>
    <w:tmpl w:val="FC5E4852"/>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641CD1"/>
    <w:multiLevelType w:val="hybridMultilevel"/>
    <w:tmpl w:val="50B21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DD33F82"/>
    <w:multiLevelType w:val="hybridMultilevel"/>
    <w:tmpl w:val="604EE7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ECF66A0"/>
    <w:multiLevelType w:val="hybridMultilevel"/>
    <w:tmpl w:val="C4B00AFE"/>
    <w:lvl w:ilvl="0" w:tplc="01CC713A">
      <w:start w:val="1"/>
      <w:numFmt w:val="bullet"/>
      <w:lvlText w:val="•"/>
      <w:lvlJc w:val="left"/>
      <w:pPr>
        <w:ind w:left="720" w:hanging="360"/>
      </w:pPr>
    </w:lvl>
    <w:lvl w:ilvl="1" w:tplc="1B9C85B4">
      <w:numFmt w:val="decimal"/>
      <w:lvlText w:val=""/>
      <w:lvlJc w:val="left"/>
    </w:lvl>
    <w:lvl w:ilvl="2" w:tplc="C2D86CBA">
      <w:numFmt w:val="decimal"/>
      <w:lvlText w:val=""/>
      <w:lvlJc w:val="left"/>
    </w:lvl>
    <w:lvl w:ilvl="3" w:tplc="776025FE">
      <w:numFmt w:val="decimal"/>
      <w:lvlText w:val=""/>
      <w:lvlJc w:val="left"/>
    </w:lvl>
    <w:lvl w:ilvl="4" w:tplc="F01878A6">
      <w:numFmt w:val="decimal"/>
      <w:lvlText w:val=""/>
      <w:lvlJc w:val="left"/>
    </w:lvl>
    <w:lvl w:ilvl="5" w:tplc="D664406A">
      <w:numFmt w:val="decimal"/>
      <w:lvlText w:val=""/>
      <w:lvlJc w:val="left"/>
    </w:lvl>
    <w:lvl w:ilvl="6" w:tplc="B2529B72">
      <w:numFmt w:val="decimal"/>
      <w:lvlText w:val=""/>
      <w:lvlJc w:val="left"/>
    </w:lvl>
    <w:lvl w:ilvl="7" w:tplc="E3B42CB4">
      <w:numFmt w:val="decimal"/>
      <w:lvlText w:val=""/>
      <w:lvlJc w:val="left"/>
    </w:lvl>
    <w:lvl w:ilvl="8" w:tplc="62B09956">
      <w:numFmt w:val="decimal"/>
      <w:lvlText w:val=""/>
      <w:lvlJc w:val="left"/>
    </w:lvl>
  </w:abstractNum>
  <w:abstractNum w:abstractNumId="25" w15:restartNumberingAfterBreak="0">
    <w:nsid w:val="60D763F6"/>
    <w:multiLevelType w:val="multilevel"/>
    <w:tmpl w:val="2C04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61386"/>
    <w:multiLevelType w:val="hybridMultilevel"/>
    <w:tmpl w:val="8182C1B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6A3126D4"/>
    <w:multiLevelType w:val="hybridMultilevel"/>
    <w:tmpl w:val="AE941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EAB771A"/>
    <w:multiLevelType w:val="hybridMultilevel"/>
    <w:tmpl w:val="CD1C4D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EBB3F3E"/>
    <w:multiLevelType w:val="hybridMultilevel"/>
    <w:tmpl w:val="FA9CB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B7A57C5"/>
    <w:multiLevelType w:val="hybridMultilevel"/>
    <w:tmpl w:val="F1169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59002709">
    <w:abstractNumId w:val="3"/>
  </w:num>
  <w:num w:numId="2" w16cid:durableId="2018195631">
    <w:abstractNumId w:val="21"/>
  </w:num>
  <w:num w:numId="3" w16cid:durableId="1080561271">
    <w:abstractNumId w:val="15"/>
  </w:num>
  <w:num w:numId="4" w16cid:durableId="999116314">
    <w:abstractNumId w:val="2"/>
  </w:num>
  <w:num w:numId="5" w16cid:durableId="682325247">
    <w:abstractNumId w:val="9"/>
  </w:num>
  <w:num w:numId="6" w16cid:durableId="1460877108">
    <w:abstractNumId w:val="7"/>
  </w:num>
  <w:num w:numId="7" w16cid:durableId="1482388623">
    <w:abstractNumId w:val="1"/>
  </w:num>
  <w:num w:numId="8" w16cid:durableId="334574368">
    <w:abstractNumId w:val="13"/>
  </w:num>
  <w:num w:numId="9" w16cid:durableId="794756877">
    <w:abstractNumId w:val="6"/>
  </w:num>
  <w:num w:numId="10" w16cid:durableId="1753119181">
    <w:abstractNumId w:val="28"/>
  </w:num>
  <w:num w:numId="11" w16cid:durableId="2085250096">
    <w:abstractNumId w:val="22"/>
  </w:num>
  <w:num w:numId="12" w16cid:durableId="1943105213">
    <w:abstractNumId w:val="14"/>
  </w:num>
  <w:num w:numId="13" w16cid:durableId="102893857">
    <w:abstractNumId w:val="23"/>
  </w:num>
  <w:num w:numId="14" w16cid:durableId="1988240198">
    <w:abstractNumId w:val="30"/>
  </w:num>
  <w:num w:numId="15" w16cid:durableId="1103182610">
    <w:abstractNumId w:val="20"/>
  </w:num>
  <w:num w:numId="16" w16cid:durableId="2078283609">
    <w:abstractNumId w:val="29"/>
  </w:num>
  <w:num w:numId="17" w16cid:durableId="812138178">
    <w:abstractNumId w:val="18"/>
  </w:num>
  <w:num w:numId="18" w16cid:durableId="1885174343">
    <w:abstractNumId w:val="17"/>
  </w:num>
  <w:num w:numId="19" w16cid:durableId="908929060">
    <w:abstractNumId w:val="5"/>
  </w:num>
  <w:num w:numId="20" w16cid:durableId="1600022457">
    <w:abstractNumId w:val="27"/>
  </w:num>
  <w:num w:numId="21" w16cid:durableId="224754728">
    <w:abstractNumId w:val="26"/>
  </w:num>
  <w:num w:numId="22" w16cid:durableId="95446462">
    <w:abstractNumId w:val="0"/>
  </w:num>
  <w:num w:numId="23" w16cid:durableId="1842574671">
    <w:abstractNumId w:val="4"/>
  </w:num>
  <w:num w:numId="24" w16cid:durableId="1168323414">
    <w:abstractNumId w:val="8"/>
  </w:num>
  <w:num w:numId="25" w16cid:durableId="578640140">
    <w:abstractNumId w:val="19"/>
  </w:num>
  <w:num w:numId="26" w16cid:durableId="377315136">
    <w:abstractNumId w:val="25"/>
  </w:num>
  <w:num w:numId="27" w16cid:durableId="645472846">
    <w:abstractNumId w:val="10"/>
  </w:num>
  <w:num w:numId="28" w16cid:durableId="1471048745">
    <w:abstractNumId w:val="16"/>
  </w:num>
  <w:num w:numId="29" w16cid:durableId="1918978332">
    <w:abstractNumId w:val="12"/>
  </w:num>
  <w:num w:numId="30" w16cid:durableId="1863083116">
    <w:abstractNumId w:val="24"/>
    <w:lvlOverride w:ilvl="0">
      <w:startOverride w:val="1"/>
    </w:lvlOverride>
  </w:num>
  <w:num w:numId="31" w16cid:durableId="11950007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6D"/>
    <w:rsid w:val="0004002F"/>
    <w:rsid w:val="00040762"/>
    <w:rsid w:val="00041D45"/>
    <w:rsid w:val="0007329D"/>
    <w:rsid w:val="00076974"/>
    <w:rsid w:val="000A53F0"/>
    <w:rsid w:val="000E2809"/>
    <w:rsid w:val="000E68FE"/>
    <w:rsid w:val="001444A5"/>
    <w:rsid w:val="00176CC8"/>
    <w:rsid w:val="00220D82"/>
    <w:rsid w:val="00246CE0"/>
    <w:rsid w:val="002C132D"/>
    <w:rsid w:val="002C66E2"/>
    <w:rsid w:val="002D0124"/>
    <w:rsid w:val="00343C57"/>
    <w:rsid w:val="0034415A"/>
    <w:rsid w:val="00375663"/>
    <w:rsid w:val="00386039"/>
    <w:rsid w:val="003A3121"/>
    <w:rsid w:val="003C22ED"/>
    <w:rsid w:val="0046189E"/>
    <w:rsid w:val="00463786"/>
    <w:rsid w:val="004774E7"/>
    <w:rsid w:val="004819F1"/>
    <w:rsid w:val="00482951"/>
    <w:rsid w:val="0048634D"/>
    <w:rsid w:val="004E3819"/>
    <w:rsid w:val="00503C6D"/>
    <w:rsid w:val="00506EAD"/>
    <w:rsid w:val="005376FA"/>
    <w:rsid w:val="00552C8C"/>
    <w:rsid w:val="00560AB0"/>
    <w:rsid w:val="00565195"/>
    <w:rsid w:val="005924D5"/>
    <w:rsid w:val="005A3181"/>
    <w:rsid w:val="005B629F"/>
    <w:rsid w:val="00634B9B"/>
    <w:rsid w:val="00674B79"/>
    <w:rsid w:val="006D50DE"/>
    <w:rsid w:val="006E11BD"/>
    <w:rsid w:val="00756DCF"/>
    <w:rsid w:val="0076436A"/>
    <w:rsid w:val="007B7381"/>
    <w:rsid w:val="007D5982"/>
    <w:rsid w:val="00813C89"/>
    <w:rsid w:val="00823BC9"/>
    <w:rsid w:val="0087060D"/>
    <w:rsid w:val="0089092C"/>
    <w:rsid w:val="00913C5F"/>
    <w:rsid w:val="009536EB"/>
    <w:rsid w:val="00956014"/>
    <w:rsid w:val="009C03D9"/>
    <w:rsid w:val="00A33EAE"/>
    <w:rsid w:val="00A366BF"/>
    <w:rsid w:val="00A44E5C"/>
    <w:rsid w:val="00A8604F"/>
    <w:rsid w:val="00AC5DC1"/>
    <w:rsid w:val="00AD6D48"/>
    <w:rsid w:val="00B62E0F"/>
    <w:rsid w:val="00B96214"/>
    <w:rsid w:val="00BB7406"/>
    <w:rsid w:val="00BE1155"/>
    <w:rsid w:val="00BE23A4"/>
    <w:rsid w:val="00C017EB"/>
    <w:rsid w:val="00C06098"/>
    <w:rsid w:val="00C11208"/>
    <w:rsid w:val="00C17E2B"/>
    <w:rsid w:val="00C3119F"/>
    <w:rsid w:val="00C436E2"/>
    <w:rsid w:val="00C575C6"/>
    <w:rsid w:val="00C67026"/>
    <w:rsid w:val="00CA0128"/>
    <w:rsid w:val="00CD2EEC"/>
    <w:rsid w:val="00CE634B"/>
    <w:rsid w:val="00D05C05"/>
    <w:rsid w:val="00D27E85"/>
    <w:rsid w:val="00D333E8"/>
    <w:rsid w:val="00D37295"/>
    <w:rsid w:val="00D62A12"/>
    <w:rsid w:val="00DD3FC0"/>
    <w:rsid w:val="00DF3903"/>
    <w:rsid w:val="00E06030"/>
    <w:rsid w:val="00E5134A"/>
    <w:rsid w:val="00E56315"/>
    <w:rsid w:val="00E57AB0"/>
    <w:rsid w:val="00E77C05"/>
    <w:rsid w:val="00EA7AF6"/>
    <w:rsid w:val="00EB6469"/>
    <w:rsid w:val="00EE63BC"/>
    <w:rsid w:val="00F21FCC"/>
    <w:rsid w:val="00F82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9C8D4"/>
  <w15:chartTrackingRefBased/>
  <w15:docId w15:val="{4A258DD8-2CDA-4208-AB7E-45EB5350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C6D"/>
    <w:pPr>
      <w:spacing w:after="200" w:line="276" w:lineRule="auto"/>
    </w:pPr>
    <w:rPr>
      <w:rFonts w:ascii="Cambria" w:eastAsia="Cambria" w:hAnsi="Cambria" w:cs="Cambria"/>
      <w:kern w:val="0"/>
      <w:sz w:val="22"/>
      <w:szCs w:val="22"/>
      <w:lang w:val="es-PY" w:eastAsia="es-PY"/>
      <w14:ligatures w14:val="none"/>
    </w:rPr>
  </w:style>
  <w:style w:type="paragraph" w:styleId="Ttulo1">
    <w:name w:val="heading 1"/>
    <w:basedOn w:val="Normal"/>
    <w:next w:val="Normal"/>
    <w:link w:val="Ttulo1Car"/>
    <w:uiPriority w:val="9"/>
    <w:qFormat/>
    <w:rsid w:val="004E3819"/>
    <w:pPr>
      <w:keepNext/>
      <w:keepLines/>
      <w:spacing w:before="360" w:after="80" w:line="278" w:lineRule="auto"/>
      <w:outlineLvl w:val="0"/>
    </w:pPr>
    <w:rPr>
      <w:rFonts w:ascii="Times New Roman" w:eastAsiaTheme="majorEastAsia" w:hAnsi="Times New Roman" w:cstheme="majorBidi"/>
      <w:color w:val="0D0D0D" w:themeColor="text1" w:themeTint="F2"/>
      <w:kern w:val="2"/>
      <w:sz w:val="32"/>
      <w:szCs w:val="40"/>
      <w:lang w:val="en-US" w:eastAsia="en-US"/>
      <w14:ligatures w14:val="standardContextual"/>
    </w:rPr>
  </w:style>
  <w:style w:type="paragraph" w:styleId="Ttulo2">
    <w:name w:val="heading 2"/>
    <w:basedOn w:val="Normal"/>
    <w:next w:val="Normal"/>
    <w:link w:val="Ttulo2Car"/>
    <w:uiPriority w:val="9"/>
    <w:unhideWhenUsed/>
    <w:qFormat/>
    <w:rsid w:val="004E3819"/>
    <w:pPr>
      <w:keepNext/>
      <w:keepLines/>
      <w:spacing w:before="160" w:after="80" w:line="278" w:lineRule="auto"/>
      <w:outlineLvl w:val="1"/>
    </w:pPr>
    <w:rPr>
      <w:rFonts w:ascii="Times New Roman" w:eastAsiaTheme="majorEastAsia" w:hAnsi="Times New Roman" w:cstheme="majorBidi"/>
      <w:color w:val="000000" w:themeColor="text1"/>
      <w:kern w:val="2"/>
      <w:sz w:val="28"/>
      <w:szCs w:val="32"/>
      <w:lang w:val="en-US" w:eastAsia="en-US"/>
      <w14:ligatures w14:val="standardContextual"/>
    </w:rPr>
  </w:style>
  <w:style w:type="paragraph" w:styleId="Ttulo3">
    <w:name w:val="heading 3"/>
    <w:basedOn w:val="Normal"/>
    <w:next w:val="Normal"/>
    <w:link w:val="Ttulo3Car"/>
    <w:uiPriority w:val="9"/>
    <w:unhideWhenUsed/>
    <w:qFormat/>
    <w:rsid w:val="004E3819"/>
    <w:pPr>
      <w:keepNext/>
      <w:keepLines/>
      <w:spacing w:before="160" w:after="80" w:line="278" w:lineRule="auto"/>
      <w:outlineLvl w:val="2"/>
    </w:pPr>
    <w:rPr>
      <w:rFonts w:ascii="Times New Roman" w:eastAsiaTheme="majorEastAsia" w:hAnsi="Times New Roman" w:cstheme="majorBidi"/>
      <w:color w:val="000000" w:themeColor="text1"/>
      <w:kern w:val="2"/>
      <w:sz w:val="24"/>
      <w:szCs w:val="28"/>
      <w:lang w:val="en-US" w:eastAsia="en-US"/>
      <w14:ligatures w14:val="standardContextual"/>
    </w:rPr>
  </w:style>
  <w:style w:type="paragraph" w:styleId="Ttulo4">
    <w:name w:val="heading 4"/>
    <w:basedOn w:val="Normal"/>
    <w:next w:val="Normal"/>
    <w:link w:val="Ttulo4Car"/>
    <w:uiPriority w:val="9"/>
    <w:semiHidden/>
    <w:unhideWhenUsed/>
    <w:qFormat/>
    <w:rsid w:val="00503C6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eastAsia="en-US"/>
      <w14:ligatures w14:val="standardContextual"/>
    </w:rPr>
  </w:style>
  <w:style w:type="paragraph" w:styleId="Ttulo5">
    <w:name w:val="heading 5"/>
    <w:basedOn w:val="Normal"/>
    <w:next w:val="Normal"/>
    <w:link w:val="Ttulo5Car"/>
    <w:uiPriority w:val="9"/>
    <w:semiHidden/>
    <w:unhideWhenUsed/>
    <w:qFormat/>
    <w:rsid w:val="00503C6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eastAsia="en-US"/>
      <w14:ligatures w14:val="standardContextual"/>
    </w:rPr>
  </w:style>
  <w:style w:type="paragraph" w:styleId="Ttulo6">
    <w:name w:val="heading 6"/>
    <w:basedOn w:val="Normal"/>
    <w:next w:val="Normal"/>
    <w:link w:val="Ttulo6Car"/>
    <w:uiPriority w:val="9"/>
    <w:semiHidden/>
    <w:unhideWhenUsed/>
    <w:qFormat/>
    <w:rsid w:val="00503C6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Ttulo7">
    <w:name w:val="heading 7"/>
    <w:basedOn w:val="Normal"/>
    <w:next w:val="Normal"/>
    <w:link w:val="Ttulo7Car"/>
    <w:uiPriority w:val="9"/>
    <w:semiHidden/>
    <w:unhideWhenUsed/>
    <w:qFormat/>
    <w:rsid w:val="00503C6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Ttulo8">
    <w:name w:val="heading 8"/>
    <w:basedOn w:val="Normal"/>
    <w:next w:val="Normal"/>
    <w:link w:val="Ttulo8Car"/>
    <w:uiPriority w:val="9"/>
    <w:semiHidden/>
    <w:unhideWhenUsed/>
    <w:qFormat/>
    <w:rsid w:val="00503C6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Ttulo9">
    <w:name w:val="heading 9"/>
    <w:basedOn w:val="Normal"/>
    <w:next w:val="Normal"/>
    <w:link w:val="Ttulo9Car"/>
    <w:uiPriority w:val="9"/>
    <w:semiHidden/>
    <w:unhideWhenUsed/>
    <w:qFormat/>
    <w:rsid w:val="00503C6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819"/>
    <w:rPr>
      <w:rFonts w:ascii="Times New Roman" w:eastAsiaTheme="majorEastAsia" w:hAnsi="Times New Roman" w:cstheme="majorBidi"/>
      <w:color w:val="0D0D0D" w:themeColor="text1" w:themeTint="F2"/>
      <w:sz w:val="32"/>
      <w:szCs w:val="40"/>
    </w:rPr>
  </w:style>
  <w:style w:type="character" w:customStyle="1" w:styleId="Ttulo2Car">
    <w:name w:val="Título 2 Car"/>
    <w:basedOn w:val="Fuentedeprrafopredeter"/>
    <w:link w:val="Ttulo2"/>
    <w:uiPriority w:val="9"/>
    <w:rsid w:val="004E3819"/>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4E3819"/>
    <w:rPr>
      <w:rFonts w:ascii="Times New Roman" w:eastAsiaTheme="majorEastAsia" w:hAnsi="Times New Roman" w:cstheme="majorBidi"/>
      <w:color w:val="000000" w:themeColor="text1"/>
      <w:szCs w:val="28"/>
    </w:rPr>
  </w:style>
  <w:style w:type="character" w:customStyle="1" w:styleId="Ttulo4Car">
    <w:name w:val="Título 4 Car"/>
    <w:basedOn w:val="Fuentedeprrafopredeter"/>
    <w:link w:val="Ttulo4"/>
    <w:uiPriority w:val="9"/>
    <w:semiHidden/>
    <w:rsid w:val="00503C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3C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3C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3C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3C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3C6D"/>
    <w:rPr>
      <w:rFonts w:eastAsiaTheme="majorEastAsia" w:cstheme="majorBidi"/>
      <w:color w:val="272727" w:themeColor="text1" w:themeTint="D8"/>
    </w:rPr>
  </w:style>
  <w:style w:type="paragraph" w:styleId="Ttulo">
    <w:name w:val="Title"/>
    <w:basedOn w:val="Normal"/>
    <w:next w:val="Normal"/>
    <w:link w:val="TtuloCar"/>
    <w:uiPriority w:val="10"/>
    <w:qFormat/>
    <w:rsid w:val="00503C6D"/>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tuloCar">
    <w:name w:val="Título Car"/>
    <w:basedOn w:val="Fuentedeprrafopredeter"/>
    <w:link w:val="Ttulo"/>
    <w:uiPriority w:val="10"/>
    <w:rsid w:val="00503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3C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tuloCar">
    <w:name w:val="Subtítulo Car"/>
    <w:basedOn w:val="Fuentedeprrafopredeter"/>
    <w:link w:val="Subttulo"/>
    <w:uiPriority w:val="11"/>
    <w:rsid w:val="00503C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3C6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CitaCar">
    <w:name w:val="Cita Car"/>
    <w:basedOn w:val="Fuentedeprrafopredeter"/>
    <w:link w:val="Cita"/>
    <w:uiPriority w:val="29"/>
    <w:rsid w:val="00503C6D"/>
    <w:rPr>
      <w:i/>
      <w:iCs/>
      <w:color w:val="404040" w:themeColor="text1" w:themeTint="BF"/>
    </w:rPr>
  </w:style>
  <w:style w:type="paragraph" w:styleId="Prrafodelista">
    <w:name w:val="List Paragraph"/>
    <w:basedOn w:val="Normal"/>
    <w:uiPriority w:val="34"/>
    <w:qFormat/>
    <w:rsid w:val="00503C6D"/>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nfasisintenso">
    <w:name w:val="Intense Emphasis"/>
    <w:basedOn w:val="Fuentedeprrafopredeter"/>
    <w:uiPriority w:val="21"/>
    <w:qFormat/>
    <w:rsid w:val="00503C6D"/>
    <w:rPr>
      <w:i/>
      <w:iCs/>
      <w:color w:val="2F5496" w:themeColor="accent1" w:themeShade="BF"/>
    </w:rPr>
  </w:style>
  <w:style w:type="paragraph" w:styleId="Citadestacada">
    <w:name w:val="Intense Quote"/>
    <w:basedOn w:val="Normal"/>
    <w:next w:val="Normal"/>
    <w:link w:val="CitadestacadaCar"/>
    <w:uiPriority w:val="30"/>
    <w:qFormat/>
    <w:rsid w:val="00503C6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eastAsia="en-US"/>
      <w14:ligatures w14:val="standardContextual"/>
    </w:rPr>
  </w:style>
  <w:style w:type="character" w:customStyle="1" w:styleId="CitadestacadaCar">
    <w:name w:val="Cita destacada Car"/>
    <w:basedOn w:val="Fuentedeprrafopredeter"/>
    <w:link w:val="Citadestacada"/>
    <w:uiPriority w:val="30"/>
    <w:rsid w:val="00503C6D"/>
    <w:rPr>
      <w:i/>
      <w:iCs/>
      <w:color w:val="2F5496" w:themeColor="accent1" w:themeShade="BF"/>
    </w:rPr>
  </w:style>
  <w:style w:type="character" w:styleId="Referenciaintensa">
    <w:name w:val="Intense Reference"/>
    <w:basedOn w:val="Fuentedeprrafopredeter"/>
    <w:uiPriority w:val="32"/>
    <w:qFormat/>
    <w:rsid w:val="00503C6D"/>
    <w:rPr>
      <w:b/>
      <w:bCs/>
      <w:smallCaps/>
      <w:color w:val="2F5496" w:themeColor="accent1" w:themeShade="BF"/>
      <w:spacing w:val="5"/>
    </w:rPr>
  </w:style>
  <w:style w:type="paragraph" w:styleId="Listaconvietas2">
    <w:name w:val="List Bullet 2"/>
    <w:basedOn w:val="Normal"/>
    <w:uiPriority w:val="99"/>
    <w:unhideWhenUsed/>
    <w:rsid w:val="00BB7406"/>
    <w:pPr>
      <w:numPr>
        <w:numId w:val="1"/>
      </w:numPr>
      <w:ind w:left="0" w:firstLine="0"/>
      <w:contextualSpacing/>
    </w:pPr>
  </w:style>
  <w:style w:type="paragraph" w:styleId="Listaconvietas3">
    <w:name w:val="List Bullet 3"/>
    <w:basedOn w:val="Normal"/>
    <w:uiPriority w:val="99"/>
    <w:unhideWhenUsed/>
    <w:rsid w:val="00BB7406"/>
    <w:pPr>
      <w:numPr>
        <w:numId w:val="2"/>
      </w:numPr>
      <w:ind w:left="0" w:firstLine="0"/>
      <w:contextualSpacing/>
    </w:pPr>
  </w:style>
  <w:style w:type="paragraph" w:styleId="Listaconnmeros">
    <w:name w:val="List Number"/>
    <w:basedOn w:val="Normal"/>
    <w:uiPriority w:val="99"/>
    <w:unhideWhenUsed/>
    <w:rsid w:val="00BB7406"/>
    <w:pPr>
      <w:numPr>
        <w:numId w:val="4"/>
      </w:numPr>
      <w:ind w:left="0" w:firstLine="0"/>
      <w:contextualSpacing/>
    </w:pPr>
  </w:style>
  <w:style w:type="paragraph" w:styleId="Textoindependiente">
    <w:name w:val="Body Text"/>
    <w:basedOn w:val="Normal"/>
    <w:link w:val="TextoindependienteCar"/>
    <w:qFormat/>
    <w:rsid w:val="00463786"/>
    <w:pPr>
      <w:spacing w:before="180" w:after="180" w:line="240" w:lineRule="auto"/>
    </w:pPr>
    <w:rPr>
      <w:rFonts w:asciiTheme="minorHAnsi" w:eastAsiaTheme="minorHAnsi" w:hAnsiTheme="minorHAnsi" w:cstheme="minorBidi"/>
      <w:sz w:val="24"/>
      <w:szCs w:val="24"/>
      <w:lang w:val="es" w:eastAsia="en-US"/>
    </w:rPr>
  </w:style>
  <w:style w:type="character" w:customStyle="1" w:styleId="TextoindependienteCar">
    <w:name w:val="Texto independiente Car"/>
    <w:basedOn w:val="Fuentedeprrafopredeter"/>
    <w:link w:val="Textoindependiente"/>
    <w:rsid w:val="00463786"/>
    <w:rPr>
      <w:kern w:val="0"/>
      <w:lang w:val="es"/>
      <w14:ligatures w14:val="none"/>
    </w:rPr>
  </w:style>
  <w:style w:type="table" w:styleId="Tablaconcuadrcula">
    <w:name w:val="Table Grid"/>
    <w:basedOn w:val="Tablanormal"/>
    <w:uiPriority w:val="59"/>
    <w:rsid w:val="00463786"/>
    <w:pPr>
      <w:spacing w:after="0" w:line="240" w:lineRule="auto"/>
    </w:pPr>
    <w:rPr>
      <w:kern w:val="0"/>
      <w:lang w:val="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20D82"/>
    <w:rPr>
      <w:color w:val="666666"/>
    </w:rPr>
  </w:style>
  <w:style w:type="character" w:styleId="Fuerte">
    <w:name w:val="Strong"/>
    <w:basedOn w:val="Fuentedeprrafopredeter"/>
    <w:uiPriority w:val="22"/>
    <w:qFormat/>
    <w:rsid w:val="001444A5"/>
    <w:rPr>
      <w:b/>
      <w:bCs/>
    </w:rPr>
  </w:style>
  <w:style w:type="paragraph" w:styleId="NormalWeb">
    <w:name w:val="Normal (Web)"/>
    <w:basedOn w:val="Normal"/>
    <w:uiPriority w:val="99"/>
    <w:unhideWhenUsed/>
    <w:rsid w:val="001444A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nfasis">
    <w:name w:val="Emphasis"/>
    <w:basedOn w:val="Fuentedeprrafopredeter"/>
    <w:uiPriority w:val="20"/>
    <w:qFormat/>
    <w:rsid w:val="001444A5"/>
    <w:rPr>
      <w:i/>
      <w:iCs/>
    </w:rPr>
  </w:style>
  <w:style w:type="character" w:styleId="CdigoHTML">
    <w:name w:val="HTML Code"/>
    <w:basedOn w:val="Fuentedeprrafopredeter"/>
    <w:uiPriority w:val="99"/>
    <w:semiHidden/>
    <w:unhideWhenUsed/>
    <w:rsid w:val="001444A5"/>
    <w:rPr>
      <w:rFonts w:ascii="Courier New" w:eastAsia="Times New Roman" w:hAnsi="Courier New" w:cs="Courier New"/>
      <w:sz w:val="20"/>
      <w:szCs w:val="20"/>
    </w:rPr>
  </w:style>
  <w:style w:type="paragraph" w:styleId="Encabezado">
    <w:name w:val="header"/>
    <w:basedOn w:val="Normal"/>
    <w:link w:val="EncabezadoCar"/>
    <w:uiPriority w:val="99"/>
    <w:unhideWhenUsed/>
    <w:rsid w:val="005924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24D5"/>
    <w:rPr>
      <w:rFonts w:ascii="Cambria" w:eastAsia="Cambria" w:hAnsi="Cambria" w:cs="Cambria"/>
      <w:kern w:val="0"/>
      <w:sz w:val="22"/>
      <w:szCs w:val="22"/>
      <w:lang w:val="es-PY" w:eastAsia="es-PY"/>
      <w14:ligatures w14:val="none"/>
    </w:rPr>
  </w:style>
  <w:style w:type="paragraph" w:styleId="Piedepgina">
    <w:name w:val="footer"/>
    <w:basedOn w:val="Normal"/>
    <w:link w:val="PiedepginaCar"/>
    <w:uiPriority w:val="99"/>
    <w:unhideWhenUsed/>
    <w:rsid w:val="005924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24D5"/>
    <w:rPr>
      <w:rFonts w:ascii="Cambria" w:eastAsia="Cambria" w:hAnsi="Cambria" w:cs="Cambria"/>
      <w:kern w:val="0"/>
      <w:sz w:val="22"/>
      <w:szCs w:val="22"/>
      <w:lang w:val="es-PY" w:eastAsia="es-PY"/>
      <w14:ligatures w14:val="none"/>
    </w:rPr>
  </w:style>
  <w:style w:type="character" w:styleId="Hipervnculo">
    <w:name w:val="Hyperlink"/>
    <w:basedOn w:val="Fuentedeprrafopredeter"/>
    <w:uiPriority w:val="99"/>
    <w:unhideWhenUsed/>
    <w:rsid w:val="00375663"/>
    <w:rPr>
      <w:color w:val="0563C1" w:themeColor="hyperlink"/>
      <w:u w:val="single"/>
    </w:rPr>
  </w:style>
  <w:style w:type="character" w:styleId="Mencinsinresolver">
    <w:name w:val="Unresolved Mention"/>
    <w:basedOn w:val="Fuentedeprrafopredeter"/>
    <w:uiPriority w:val="99"/>
    <w:semiHidden/>
    <w:unhideWhenUsed/>
    <w:rsid w:val="00375663"/>
    <w:rPr>
      <w:color w:val="605E5C"/>
      <w:shd w:val="clear" w:color="auto" w:fill="E1DFDD"/>
    </w:rPr>
  </w:style>
  <w:style w:type="paragraph" w:styleId="TtuloTDC">
    <w:name w:val="TOC Heading"/>
    <w:basedOn w:val="Ttulo1"/>
    <w:next w:val="Normal"/>
    <w:uiPriority w:val="39"/>
    <w:unhideWhenUsed/>
    <w:qFormat/>
    <w:rsid w:val="004E3819"/>
    <w:pPr>
      <w:spacing w:before="240" w:after="0" w:line="259" w:lineRule="auto"/>
      <w:outlineLvl w:val="9"/>
    </w:pPr>
    <w:rPr>
      <w:kern w:val="0"/>
      <w:szCs w:val="32"/>
      <w:lang w:val="es-ES" w:eastAsia="es-ES"/>
      <w14:ligatures w14:val="none"/>
    </w:rPr>
  </w:style>
  <w:style w:type="paragraph" w:styleId="TDC2">
    <w:name w:val="toc 2"/>
    <w:basedOn w:val="Normal"/>
    <w:next w:val="Normal"/>
    <w:autoRedefine/>
    <w:uiPriority w:val="39"/>
    <w:unhideWhenUsed/>
    <w:rsid w:val="004E3819"/>
    <w:pPr>
      <w:spacing w:after="100" w:line="259" w:lineRule="auto"/>
      <w:ind w:left="220"/>
    </w:pPr>
    <w:rPr>
      <w:rFonts w:asciiTheme="minorHAnsi" w:eastAsiaTheme="minorEastAsia" w:hAnsiTheme="minorHAnsi" w:cs="Times New Roman"/>
      <w:lang w:val="es-ES" w:eastAsia="es-ES"/>
    </w:rPr>
  </w:style>
  <w:style w:type="paragraph" w:styleId="TDC1">
    <w:name w:val="toc 1"/>
    <w:basedOn w:val="Normal"/>
    <w:next w:val="Normal"/>
    <w:autoRedefine/>
    <w:uiPriority w:val="39"/>
    <w:unhideWhenUsed/>
    <w:rsid w:val="004E3819"/>
    <w:pPr>
      <w:spacing w:after="100" w:line="259" w:lineRule="auto"/>
    </w:pPr>
    <w:rPr>
      <w:rFonts w:asciiTheme="minorHAnsi" w:eastAsiaTheme="minorEastAsia" w:hAnsiTheme="minorHAnsi" w:cs="Times New Roman"/>
      <w:lang w:val="es-ES" w:eastAsia="es-ES"/>
    </w:rPr>
  </w:style>
  <w:style w:type="paragraph" w:styleId="TDC3">
    <w:name w:val="toc 3"/>
    <w:basedOn w:val="Normal"/>
    <w:next w:val="Normal"/>
    <w:autoRedefine/>
    <w:uiPriority w:val="39"/>
    <w:unhideWhenUsed/>
    <w:rsid w:val="004E3819"/>
    <w:pPr>
      <w:spacing w:after="100" w:line="259" w:lineRule="auto"/>
      <w:ind w:left="440"/>
    </w:pPr>
    <w:rPr>
      <w:rFonts w:asciiTheme="minorHAnsi" w:eastAsiaTheme="minorEastAsia" w:hAnsiTheme="minorHAnsi" w:cs="Times New Roman"/>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16594">
      <w:bodyDiv w:val="1"/>
      <w:marLeft w:val="0"/>
      <w:marRight w:val="0"/>
      <w:marTop w:val="0"/>
      <w:marBottom w:val="0"/>
      <w:divBdr>
        <w:top w:val="none" w:sz="0" w:space="0" w:color="auto"/>
        <w:left w:val="none" w:sz="0" w:space="0" w:color="auto"/>
        <w:bottom w:val="none" w:sz="0" w:space="0" w:color="auto"/>
        <w:right w:val="none" w:sz="0" w:space="0" w:color="auto"/>
      </w:divBdr>
    </w:div>
    <w:div w:id="214689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BCP25</b:Tag>
    <b:SourceType>InternetSite</b:SourceType>
    <b:Guid>{BAD38D9E-596F-4FC7-BD8F-9381295E0187}</b:Guid>
    <b:Author>
      <b:Author>
        <b:NameList>
          <b:Person>
            <b:Last>BCP</b:Last>
          </b:Person>
        </b:NameList>
      </b:Author>
    </b:Author>
    <b:Title>BCP</b:Title>
    <b:InternetSiteTitle>Informe estadístico de IPC</b:InternetSiteTitle>
    <b:URL>www.bcp.gov.py</b:URL>
    <b:RefOrder>1</b:RefOrder>
  </b:Source>
  <b:Source>
    <b:Tag>OPE</b:Tag>
    <b:SourceType>Book</b:SourceType>
    <b:Guid>{3F934C00-9822-4F25-8960-6D2F4F9777C2}</b:Guid>
    <b:Author>
      <b:Author>
        <b:NameList>
          <b:Person>
            <b:Last>OPEP</b:Last>
          </b:Person>
        </b:NameList>
      </b:Author>
    </b:Author>
    <b:Title>OPEP</b:Title>
    <b:URL>https://asb.opec.org</b:URL>
    <b:RefOrder>2</b:RefOrder>
  </b:Source>
  <b:Source>
    <b:Tag>Kru18</b:Tag>
    <b:SourceType>Book</b:SourceType>
    <b:Guid>{28DCA1C3-969E-4257-8C68-503DFAAF6B17}</b:Guid>
    <b:Title>Economia Internacional: Teoría y Política (11º Ed)</b:Title>
    <b:Year>2018</b:Year>
    <b:Author>
      <b:Author>
        <b:NameList>
          <b:Person>
            <b:Last>Krugman</b:Last>
            <b:First>P.,</b:First>
            <b:Middle>Obstfeld, M., &amp; Melitz, M.</b:Middle>
          </b:Person>
        </b:NameList>
      </b:Author>
    </b:Author>
    <b:RefOrder>5</b:RefOrder>
  </b:Source>
  <b:Source>
    <b:Tag>MarcadorDePosición1</b:Tag>
    <b:SourceType>InternetSite</b:SourceType>
    <b:Guid>{1B9E2540-5462-4865-86B9-72EFC750E440}</b:Guid>
    <b:Author>
      <b:Author>
        <b:NameList>
          <b:Person>
            <b:Last>BCP</b:Last>
          </b:Person>
        </b:NameList>
      </b:Author>
    </b:Author>
    <b:Title>BCP</b:Title>
    <b:InternetSiteTitle>Informe estadístico de IPC</b:InternetSiteTitle>
    <b:URL>www.bcp.gov.py</b:URL>
    <b:Year>2025</b:Year>
    <b:RefOrder>3</b:RefOrder>
  </b:Source>
  <b:Source>
    <b:Tag>MarcadorDePosición2</b:Tag>
    <b:SourceType>InternetSite</b:SourceType>
    <b:Guid>{8B5C4EC6-E433-4ADA-BE91-95E30CA4D2D1}</b:Guid>
    <b:Author>
      <b:Author>
        <b:NameList>
          <b:Person>
            <b:Last>OPEP</b:Last>
          </b:Person>
        </b:NameList>
      </b:Author>
    </b:Author>
    <b:Title>OPEP</b:Title>
    <b:URL>https://asb.opec.org</b:URL>
    <b:InternetSiteTitle>Annual Statistical Bulletin. Viena: OPEC Secretariat</b:InternetSiteTitle>
    <b:Year>2023</b:Year>
    <b:RefOrder>4</b:RefOrder>
  </b:Source>
</b:Sources>
</file>

<file path=customXml/itemProps1.xml><?xml version="1.0" encoding="utf-8"?>
<ds:datastoreItem xmlns:ds="http://schemas.openxmlformats.org/officeDocument/2006/customXml" ds:itemID="{B14B10B8-0EBD-4C39-A0A2-1585FDEC2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17057</Words>
  <Characters>93819</Characters>
  <Application>Microsoft Office Word</Application>
  <DocSecurity>0</DocSecurity>
  <Lines>781</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Mirta Camacho</dc:creator>
  <cp:keywords/>
  <dc:description/>
  <cp:lastModifiedBy>Laviero Scavera</cp:lastModifiedBy>
  <cp:revision>10</cp:revision>
  <dcterms:created xsi:type="dcterms:W3CDTF">2025-11-18T21:17:00Z</dcterms:created>
  <dcterms:modified xsi:type="dcterms:W3CDTF">2026-07-17T17:56:00Z</dcterms:modified>
</cp:coreProperties>
</file>