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64F0B" w14:textId="77777777" w:rsidR="00503C6D" w:rsidRPr="00EA7AF6" w:rsidRDefault="00503C6D" w:rsidP="00503C6D">
      <w:pPr>
        <w:spacing w:after="0" w:line="360" w:lineRule="auto"/>
        <w:rPr>
          <w:rFonts w:ascii="Times New Roman" w:eastAsia="Times New Roman" w:hAnsi="Times New Roman" w:cs="Times New Roman"/>
          <w:sz w:val="24"/>
          <w:szCs w:val="24"/>
        </w:rPr>
      </w:pPr>
      <w:bookmarkStart w:id="0" w:name="_Hlk208257908"/>
      <w:r>
        <w:rPr>
          <w:rFonts w:ascii="Times New Roman" w:hAnsi="Times New Roman" w:cs="Times New Roman"/>
          <w:noProof/>
          <w:sz w:val="24"/>
          <w:szCs w:val="24"/>
        </w:rPr>
        <w:drawing>
          <wp:anchor distT="0" distB="0" distL="0" distR="0" simplePos="0" relativeHeight="251659264" behindDoc="1" locked="0" layoutInCell="1" hidden="0" allowOverlap="1" wp14:anchorId="60D1DA2B" wp14:editId="6DAB9AAE">
            <wp:simplePos x="0" y="0"/>
            <wp:positionH relativeFrom="margin">
              <wp:align>center</wp:align>
            </wp:positionH>
            <wp:positionV relativeFrom="paragraph">
              <wp:posOffset>52</wp:posOffset>
            </wp:positionV>
            <wp:extent cx="1877291" cy="1357745"/>
            <wp:effectExtent l="0" t="0" r="8890" b="0"/>
            <wp:wrapNone/>
            <wp:docPr id="18437607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877291" cy="1357745"/>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sz w:val="24"/>
          <w:szCs w:val="24"/>
        </w:rPr>
        <w:br/>
        <w:br/>
        <w:br/>
      </w:r>
    </w:p>
    <w:p w14:paraId="0A334772" w14:textId="77777777" w:rsidR="00503C6D" w:rsidRPr="00EA7AF6" w:rsidRDefault="00503C6D" w:rsidP="00503C6D">
      <w:pPr>
        <w:spacing w:after="0" w:line="360" w:lineRule="auto"/>
        <w:rPr>
          <w:rFonts w:ascii="Times New Roman" w:eastAsia="Times New Roman" w:hAnsi="Times New Roman" w:cs="Times New Roman"/>
          <w:b/>
          <w:sz w:val="24"/>
          <w:szCs w:val="24"/>
        </w:rPr>
      </w:pPr>
    </w:p>
    <w:p w14:paraId="6C4889D9" w14:textId="77777777" w:rsidR="00503C6D" w:rsidRPr="00EA7AF6" w:rsidRDefault="00503C6D" w:rsidP="00503C6D">
      <w:pPr>
        <w:spacing w:after="0" w:line="360" w:lineRule="auto"/>
        <w:jc w:val="center"/>
        <w:rPr>
          <w:rFonts w:ascii="Times New Roman" w:eastAsia="Times New Roman" w:hAnsi="Times New Roman" w:cs="Times New Roman"/>
          <w:b/>
          <w:sz w:val="24"/>
          <w:szCs w:val="24"/>
        </w:rPr>
      </w:pPr>
    </w:p>
    <w:p w14:paraId="35DD34D5" w14:textId="77777777" w:rsidR="00503C6D" w:rsidRPr="00D27E85" w:rsidRDefault="00503C6D" w:rsidP="00503C6D">
      <w:pPr>
        <w:spacing w:after="0" w:line="360" w:lineRule="auto"/>
        <w:jc w:val="center"/>
        <w:rPr>
          <w:rFonts w:ascii="Arial" w:eastAsia="Times New Roman" w:hAnsi="Arial" w:cs="Arial"/>
          <w:sz w:val="24"/>
          <w:szCs w:val="24"/>
        </w:rPr>
      </w:pPr>
      <w:r>
        <w:rPr>
          <w:rFonts w:ascii="Arial" w:eastAsia="Times New Roman" w:hAnsi="Arial" w:cs="Arial"/>
          <w:b/>
          <w:sz w:val="24"/>
          <w:szCs w:val="24"/>
        </w:rPr>
        <w:t xml:space="preserve">Universidad Católica Nuestra Señora de la Asunción </w:t>
      </w:r>
    </w:p>
    <w:p w14:paraId="0240918B" w14:textId="77777777" w:rsidR="00503C6D" w:rsidRPr="00D27E85" w:rsidRDefault="00503C6D" w:rsidP="00503C6D">
      <w:pPr>
        <w:spacing w:after="0" w:line="360" w:lineRule="auto"/>
        <w:jc w:val="center"/>
        <w:rPr>
          <w:rFonts w:ascii="Arial" w:eastAsia="Times New Roman" w:hAnsi="Arial" w:cs="Arial"/>
          <w:b/>
          <w:sz w:val="24"/>
          <w:szCs w:val="24"/>
        </w:rPr>
      </w:pPr>
      <w:r>
        <w:rPr>
          <w:rFonts w:ascii="Arial" w:eastAsia="Times New Roman" w:hAnsi="Arial" w:cs="Arial"/>
          <w:b/>
          <w:sz w:val="24"/>
          <w:szCs w:val="24"/>
        </w:rPr>
        <w:t>Facultad de Ciencias Contables, Administrativas y Económicas — Carrera de Economía</w:t>
      </w:r>
    </w:p>
    <w:p w14:paraId="33E42ECB" w14:textId="77777777" w:rsidR="00DF3903" w:rsidRPr="00D27E85" w:rsidRDefault="00DF3903" w:rsidP="00DF3903">
      <w:pPr>
        <w:spacing w:after="600"/>
        <w:jc w:val="center"/>
        <w:rPr>
          <w:rFonts w:ascii="Arial" w:hAnsi="Arial" w:cs="Arial"/>
        </w:rPr>
      </w:pPr>
      <w:r>
        <w:rPr>
          <w:rFonts w:ascii="Arial" w:hAnsi="Arial" w:cs="Arial"/>
          <w:b/>
          <w:bCs/>
          <w:sz w:val="24"/>
          <w:szCs w:val="24"/>
        </w:rPr>
        <w:t>TRABAJO FINAL DE GRADO</w:t>
      </w:r>
    </w:p>
    <w:p w14:paraId="53E403C0" w14:textId="77777777" w:rsidR="00DF3903" w:rsidRPr="00D27E85" w:rsidRDefault="00DF3903" w:rsidP="00DF3903">
      <w:pPr>
        <w:spacing w:before="400" w:after="400"/>
        <w:jc w:val="center"/>
        <w:rPr>
          <w:rFonts w:ascii="Arial" w:hAnsi="Arial" w:cs="Arial"/>
        </w:rPr>
      </w:pPr>
      <w:r>
        <w:rPr>
          <w:rFonts w:ascii="Arial" w:hAnsi="Arial" w:cs="Arial"/>
          <w:b/>
          <w:bCs/>
          <w:sz w:val="28"/>
          <w:szCs w:val="28"/>
        </w:rPr>
        <w:t>Cambio de Nivel y Composición del Diferencial de Retornos entre Certificados de Depósito en Guaraníes y Dólares durante la Transición al Régimen de Metas de Inflación: Sistema Bancario Paraguayo, 2004–2024</w:t>
      </w:r>
    </w:p>
    <w:p w14:paraId="531C6F1F" w14:textId="77777777" w:rsidR="00503C6D" w:rsidRPr="00D27E85" w:rsidRDefault="00503C6D" w:rsidP="00503C6D">
      <w:pPr>
        <w:spacing w:after="0" w:line="360" w:lineRule="auto"/>
        <w:rPr>
          <w:rFonts w:ascii="Arial" w:eastAsia="Times New Roman" w:hAnsi="Arial" w:cs="Arial"/>
          <w:sz w:val="24"/>
          <w:szCs w:val="24"/>
        </w:rPr>
      </w:pPr>
    </w:p>
    <w:p w14:paraId="04DFEB48" w14:textId="77777777" w:rsidR="00503C6D" w:rsidRPr="00D27E85" w:rsidRDefault="00503C6D" w:rsidP="00503C6D">
      <w:pPr>
        <w:spacing w:after="0" w:line="360" w:lineRule="auto"/>
        <w:rPr>
          <w:rFonts w:ascii="Arial" w:eastAsia="Times New Roman" w:hAnsi="Arial" w:cs="Arial"/>
          <w:sz w:val="24"/>
          <w:szCs w:val="24"/>
        </w:rPr>
      </w:pPr>
    </w:p>
    <w:p w14:paraId="1D51D5AB" w14:textId="54250858" w:rsidR="00503C6D" w:rsidRPr="00D27E85" w:rsidRDefault="00503C6D" w:rsidP="00503C6D">
      <w:pPr>
        <w:spacing w:after="0" w:line="360" w:lineRule="auto"/>
        <w:jc w:val="center"/>
        <w:rPr>
          <w:rFonts w:ascii="Arial" w:eastAsia="Times New Roman" w:hAnsi="Arial" w:cs="Arial"/>
          <w:b/>
          <w:sz w:val="24"/>
          <w:szCs w:val="24"/>
        </w:rPr>
      </w:pPr>
      <w:r>
        <w:rPr>
          <w:rFonts w:ascii="Arial" w:eastAsia="Times New Roman" w:hAnsi="Arial" w:cs="Arial"/>
          <w:b/>
          <w:sz w:val="24"/>
          <w:szCs w:val="24"/>
        </w:rPr>
        <w:t>Alumnos:</w:t>
        <w:br/>
        <w:t xml:space="preserve"> Laviero Scavone </w:t>
      </w:r>
    </w:p>
    <w:p w14:paraId="677EB08C" w14:textId="385A828A" w:rsidR="00503C6D" w:rsidRPr="00D27E85" w:rsidRDefault="00503C6D" w:rsidP="00503C6D">
      <w:pPr>
        <w:spacing w:after="0" w:line="360" w:lineRule="auto"/>
        <w:jc w:val="center"/>
        <w:rPr>
          <w:rFonts w:ascii="Arial" w:eastAsia="Times New Roman" w:hAnsi="Arial" w:cs="Arial"/>
          <w:b/>
          <w:sz w:val="24"/>
          <w:szCs w:val="24"/>
        </w:rPr>
      </w:pPr>
      <w:r>
        <w:rPr>
          <w:rFonts w:ascii="Arial" w:eastAsia="Times New Roman" w:hAnsi="Arial" w:cs="Arial"/>
          <w:b/>
          <w:sz w:val="24"/>
          <w:szCs w:val="24"/>
        </w:rPr>
        <w:t>Matías Fernández</w:t>
        <w:br/>
      </w:r>
    </w:p>
    <w:p w14:paraId="0247EA3E" w14:textId="77777777" w:rsidR="00503C6D" w:rsidRPr="00D27E85" w:rsidRDefault="00503C6D" w:rsidP="00503C6D">
      <w:pPr>
        <w:spacing w:after="0" w:line="360" w:lineRule="auto"/>
        <w:jc w:val="center"/>
        <w:rPr>
          <w:rFonts w:ascii="Arial" w:eastAsia="Times New Roman" w:hAnsi="Arial" w:cs="Arial"/>
          <w:b/>
          <w:sz w:val="24"/>
          <w:szCs w:val="24"/>
        </w:rPr>
      </w:pPr>
    </w:p>
    <w:p w14:paraId="1BF1F7E9" w14:textId="77777777" w:rsidR="00503C6D" w:rsidRPr="00D27E85" w:rsidRDefault="00503C6D" w:rsidP="00503C6D">
      <w:pPr>
        <w:spacing w:after="0" w:line="360" w:lineRule="auto"/>
        <w:jc w:val="center"/>
        <w:rPr>
          <w:rFonts w:ascii="Arial" w:eastAsia="Times New Roman" w:hAnsi="Arial" w:cs="Arial"/>
          <w:b/>
          <w:sz w:val="24"/>
          <w:szCs w:val="24"/>
        </w:rPr>
      </w:pPr>
    </w:p>
    <w:p w14:paraId="2CC05FA5" w14:textId="5D7C8970" w:rsidR="00503C6D" w:rsidRPr="00D27E85" w:rsidRDefault="00DF3903" w:rsidP="00DF3903">
      <w:pPr>
        <w:spacing w:after="40"/>
        <w:jc w:val="center"/>
        <w:rPr>
          <w:rFonts w:ascii="Arial" w:hAnsi="Arial" w:cs="Arial"/>
        </w:rPr>
      </w:pPr>
      <w:r>
        <w:rPr>
          <w:rFonts w:ascii="Arial" w:eastAsia="Times New Roman" w:hAnsi="Arial" w:cs="Arial"/>
          <w:b/>
          <w:sz w:val="24"/>
          <w:szCs w:val="24"/>
        </w:rPr>
        <w:t xml:space="preserve">Tutor: </w:t>
      </w:r>
      <w:r>
        <w:rPr>
          <w:rFonts w:ascii="Arial" w:hAnsi="Arial" w:cs="Arial"/>
          <w:sz w:val="24"/>
          <w:szCs w:val="24"/>
        </w:rPr>
        <w:t>Prof. Marcelo Wagner</w:t>
      </w:r>
    </w:p>
    <w:p w14:paraId="6B21F7AF" w14:textId="77777777" w:rsidR="00503C6D" w:rsidRPr="00D27E85" w:rsidRDefault="00503C6D" w:rsidP="00503C6D">
      <w:pPr>
        <w:spacing w:after="0" w:line="360" w:lineRule="auto"/>
        <w:rPr>
          <w:rFonts w:ascii="Arial" w:eastAsia="Times New Roman" w:hAnsi="Arial" w:cs="Arial"/>
          <w:sz w:val="24"/>
          <w:szCs w:val="24"/>
        </w:rPr>
      </w:pPr>
    </w:p>
    <w:p w14:paraId="6B58E6A4" w14:textId="77777777" w:rsidR="00DF3903" w:rsidRPr="00D27E85" w:rsidRDefault="00DF3903" w:rsidP="00503C6D">
      <w:pPr>
        <w:spacing w:after="0" w:line="360" w:lineRule="auto"/>
        <w:rPr>
          <w:rFonts w:ascii="Arial" w:eastAsia="Times New Roman" w:hAnsi="Arial" w:cs="Arial"/>
          <w:sz w:val="24"/>
          <w:szCs w:val="24"/>
        </w:rPr>
      </w:pPr>
    </w:p>
    <w:p w14:paraId="1127DE00" w14:textId="77777777" w:rsidR="00503C6D" w:rsidRPr="00D27E85" w:rsidRDefault="00503C6D" w:rsidP="00503C6D">
      <w:pPr>
        <w:spacing w:after="0" w:line="360" w:lineRule="auto"/>
        <w:rPr>
          <w:rFonts w:ascii="Arial" w:eastAsia="Times New Roman" w:hAnsi="Arial" w:cs="Arial"/>
          <w:b/>
          <w:bCs/>
          <w:sz w:val="24"/>
          <w:szCs w:val="24"/>
        </w:rPr>
      </w:pPr>
    </w:p>
    <w:p w14:paraId="6A682246" w14:textId="77777777" w:rsidR="002C66E2" w:rsidRPr="00D27E85" w:rsidRDefault="00503C6D" w:rsidP="00503C6D">
      <w:pPr>
        <w:spacing w:after="0" w:line="360" w:lineRule="auto"/>
        <w:jc w:val="center"/>
        <w:rPr>
          <w:rFonts w:ascii="Arial" w:eastAsia="Times New Roman" w:hAnsi="Arial" w:cs="Arial"/>
          <w:b/>
          <w:bCs/>
          <w:sz w:val="24"/>
          <w:szCs w:val="24"/>
        </w:rPr>
      </w:pPr>
      <w:r>
        <w:rPr>
          <w:rFonts w:ascii="Arial" w:eastAsia="Times New Roman" w:hAnsi="Arial" w:cs="Arial"/>
          <w:b/>
          <w:bCs/>
          <w:sz w:val="24"/>
          <w:szCs w:val="24"/>
        </w:rPr>
        <w:t>Asunción, Paraguay</w:t>
      </w:r>
    </w:p>
    <w:p w14:paraId="69A63F07" w14:textId="7C0EEC8A" w:rsidR="00375663" w:rsidRPr="00D27E85" w:rsidRDefault="00503C6D" w:rsidP="00375663">
      <w:pPr>
        <w:spacing w:after="0" w:line="360" w:lineRule="auto"/>
        <w:jc w:val="center"/>
        <w:rPr>
          <w:rFonts w:ascii="Arial" w:eastAsia="Times New Roman" w:hAnsi="Arial" w:cs="Arial"/>
          <w:b/>
          <w:bCs/>
          <w:sz w:val="24"/>
          <w:szCs w:val="24"/>
        </w:rPr>
        <w:sectPr w:rsidR="00375663" w:rsidRPr="00D27E85">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08"/>
          <w:docGrid w:linePitch="360"/>
        </w:sectPr>
      </w:pPr>
      <w:r>
        <w:rPr>
          <w:rFonts w:ascii="Arial" w:eastAsia="Times New Roman" w:hAnsi="Arial" w:cs="Arial"/>
          <w:b/>
          <w:bCs/>
          <w:sz w:val="24"/>
          <w:szCs w:val="24"/>
        </w:rPr>
        <w:br/>
        <w:t>Julio de 2026</w:t>
      </w:r>
      <w:bookmarkEnd w:id="0"/>
    </w:p>
    <w:p w14:paraId="2DD2FE5D" w14:textId="77777777" w:rsidR="00375663" w:rsidRPr="00D27E85" w:rsidRDefault="00375663" w:rsidP="007B7381">
      <w:pPr>
        <w:spacing w:after="0" w:line="360" w:lineRule="auto"/>
        <w:jc w:val="both"/>
        <w:rPr>
          <w:rFonts w:ascii="Arial" w:eastAsia="Times New Roman" w:hAnsi="Arial" w:cs="Arial"/>
          <w:sz w:val="24"/>
          <w:szCs w:val="24"/>
        </w:rPr>
        <w:sectPr w:rsidR="00375663" w:rsidRPr="00D27E85" w:rsidSect="00375663">
          <w:type w:val="continuous"/>
          <w:pgSz w:w="12240" w:h="15840"/>
          <w:pgMar w:top="1440" w:right="1440" w:bottom="1440" w:left="1440" w:header="708" w:footer="708" w:gutter="0"/>
          <w:cols w:space="708"/>
          <w:docGrid w:linePitch="360"/>
        </w:sectPr>
      </w:pPr>
    </w:p>
    <w:p>
      <w:r>
        <w:br w:type="page"/>
      </w:r>
    </w:p>
    <w:p>
      <w:pPr>
        <w:spacing w:after="160" w:line="300" w:lineRule="auto"/>
      </w:pPr>
      <w:r>
        <w:rPr>
          <w:b/>
          <w:sz w:val="30"/>
          <w:szCs w:val="30"/>
        </w:rPr>
        <w:t xml:space="preserve">Resumen</w:t>
      </w:r>
    </w:p>
    <w:p>
      <w:pPr>
        <w:spacing w:after="160" w:line="300" w:lineRule="auto"/>
        <w:jc w:val="both"/>
      </w:pPr>
      <w:r>
        <w:t xml:space="preserve">Esta investigación examina el diferencial de retornos entre certificados de depósito de ahorro (CDA) en guaraníes y en dólares del sistema bancario paraguayo entre 2004 y 2024 (84 trimestres), a partir de series oficiales del Banco Central del Paraguay y de la Reserva Federal de San Luis (FRED). Mediante la descomposición de Fisher y un modelo MCO con errores HAC de Newey-West e interacciones de régimen, se documenta que, tras la adopción del esquema de Metas de Inflación (mayo de 2011), el nivel del diferencial real residual —empleado como proxy de la prima de riesgo— aumentó de forma significativa (+3,70 puntos porcentuales; p &lt; 0,001), mientras el componente de inflación se comprimió (−2,83 pp; p &lt; 0,001). La prueba conjunta sobre las interacciones no permite rechazar la estabilidad de las pendientes asociadas a la volatilidad cambiaria y a la dolarización (F = 0,33; p = 0,717): la evidencia respalda una recomposición entre el componente inflacionario y el residual, y un cambio de nivel, pero no un cambio identificable en la composición interna de dicho residuo. Los resultados son robustos a la fecha exacta del tratamiento, al control por la crisis financiera de 2008-2009, al ancho de banda del estimador y a la forma de conversión de tasas, y su sensibilidad a la definición de la serie de tasas se declara y analiza. El diseño es correlacional: los hallazgos se interpretan como cambios coincidentes con el régimen, no como efectos causales identificados.</w:t>
      </w:r>
    </w:p>
    <w:p>
      <w:pPr>
        <w:spacing w:after="160" w:line="300" w:lineRule="auto"/>
        <w:jc w:val="both"/>
      </w:pPr>
      <w:r>
        <w:t xml:space="preserve">Palabras clave: diferencial de tasas, prima de riesgo, metas de inflación, dolarización financiera, Paraguay, Newey-West.</w:t>
      </w:r>
    </w:p>
    <w:p>
      <w:pPr>
        <w:spacing w:after="160" w:line="300" w:lineRule="auto"/>
      </w:pPr>
      <w:r>
        <w:rPr>
          <w:b/>
          <w:sz w:val="30"/>
          <w:szCs w:val="30"/>
        </w:rPr>
        <w:t xml:space="preserve">Abstract</w:t>
      </w:r>
    </w:p>
    <w:p>
      <w:pPr>
        <w:spacing w:after="160" w:line="300" w:lineRule="auto"/>
        <w:jc w:val="both"/>
      </w:pPr>
      <w:r>
        <w:t xml:space="preserve">This thesis examines the return differential between local-currency (guaraní) and dollar-denominated savings certificates of deposit (CDA) in the Paraguayan banking system over 2004–2024 (84 quarters), using official data from the Central Bank of Paraguay and FRED. Using a Fisher decomposition and OLS models with Newey-West HAC errors and regime interactions, we document that, following the adoption of inflation targeting (May 2011), the level of the real residual differential —used as a proxy for the risk premium— rose significantly (+3.70 percentage points; p &lt; 0.001), while the inflation component compressed (−2.83 pp; p &lt; 0.001). A joint Wald test cannot reject the stability of the slopes on exchange-rate volatility and deposit dollarization (F = 0.33; p = 0.717): the evidence supports a recomposition between the inflation component and the residual, and a level shift, but not an identifiable change in the internal composition of that residual. Results are robust to treatment timing, to controlling for the 2008-09 global financial crisis, to the HAC bandwidth, and to compound rate conversion; sensitivity to the rate-series definition is declared and analyzed. The design is correlational: findings are interpreted as changes coincident with the regime, not as identified causal effects.</w:t>
      </w:r>
    </w:p>
    <w:p>
      <w:pPr>
        <w:spacing w:after="160" w:line="300" w:lineRule="auto"/>
        <w:jc w:val="both"/>
      </w:pPr>
      <w:r>
        <w:t xml:space="preserve">Keywords: interest rate differential, risk premium, inflation targeting, financial dollarization, Paraguay, Newey-West.</w:t>
      </w:r>
    </w:p>
    <w:p>
      <w:r>
        <w:br w:type="page"/>
      </w:r>
    </w:p>
    <w:p w14:paraId="4E7BB6EC" w14:textId="77777777" w:rsidR="00DF3903" w:rsidRPr="00DF3903" w:rsidRDefault="00DF3903" w:rsidP="00DF3903">
      <w:pPr>
        <w:spacing w:line="240" w:lineRule="auto"/>
        <w:rPr>
          <w:rFonts w:ascii="Arial" w:eastAsia="Arial" w:hAnsi="Arial" w:cs="Arial"/>
          <w:lang w:val="es-ES" w:eastAsia="es-ES"/>
        </w:rPr>
      </w:pPr>
      <w:r>
        <w:rPr>
          <w:rFonts w:ascii="Arial" w:eastAsia="Arial" w:hAnsi="Arial" w:cs="Arial"/>
          <w:b/>
          <w:bCs/>
          <w:sz w:val="32"/>
          <w:szCs w:val="32"/>
          <w:lang w:val="es-ES" w:eastAsia="es-ES"/>
        </w:rPr>
        <w:lastRenderedPageBreak/>
        <w:t>Índice</w:t>
      </w:r>
    </w:p>
    <w:sdt>
      <w:sdtPr>
        <w:rPr>
          <w:rFonts w:ascii="Arial" w:eastAsia="Arial" w:hAnsi="Arial" w:cs="Arial"/>
          <w:lang w:val="es-ES" w:eastAsia="es-ES"/>
        </w:rPr>
        <w:alias w:val="Tabla de Contenido"/>
        <w:id w:val="-1655061917"/>
      </w:sdtPr>
      <w:sdtContent>
        <w:p w14:paraId="7B256082"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r>
            <w:rPr>
              <w:rFonts w:ascii="Arial" w:eastAsia="Arial" w:hAnsi="Arial" w:cs="Arial"/>
              <w:color w:val="000000" w:themeColor="text1"/>
              <w:lang w:val="es-ES" w:eastAsia="es-ES"/>
            </w:rPr>
            <w:fldChar w:fldCharType="begin"/>
            <w:instrText>TOC \h \o "1-3"</w:instrText>
            <w:fldChar w:fldCharType="separate"/>
          </w:r>
          <w:hyperlink w:anchor="_Toc233474049" w:history="1">
            <w:r>
              <w:rPr>
                <w:rFonts w:ascii="Arial" w:eastAsia="Arial" w:hAnsi="Arial" w:cs="Arial"/>
                <w:noProof/>
                <w:color w:val="000000" w:themeColor="text1"/>
                <w:lang w:val="es-ES" w:eastAsia="es-ES"/>
              </w:rPr>
              <w:t>1. Título de la Investigación</w:t>
              <w:tab/>
              <w:fldChar w:fldCharType="begin"/>
              <w:instrText xml:space="preserve"> PAGEREF _Toc233474049 \h </w:instrText>
              <w:fldChar w:fldCharType="separate"/>
              <w:t>1</w:t>
              <w:fldChar w:fldCharType="end"/>
            </w:r>
          </w:hyperlink>
        </w:p>
        <w:p w14:paraId="63F46731"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0" w:history="1">
            <w:r>
              <w:rPr>
                <w:rFonts w:ascii="Arial" w:eastAsia="Arial" w:hAnsi="Arial" w:cs="Arial"/>
                <w:noProof/>
                <w:color w:val="000000" w:themeColor="text1"/>
                <w:lang w:val="es-ES" w:eastAsia="es-ES"/>
              </w:rPr>
              <w:t>2. Planteamiento del Problema</w:t>
              <w:tab/>
              <w:fldChar w:fldCharType="begin"/>
              <w:instrText xml:space="preserve"> PAGEREF _Toc233474050 \h </w:instrText>
              <w:fldChar w:fldCharType="separate"/>
              <w:t>1</w:t>
              <w:fldChar w:fldCharType="end"/>
            </w:r>
          </w:hyperlink>
        </w:p>
        <w:p w14:paraId="3227A854"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1" w:history="1">
            <w:r>
              <w:rPr>
                <w:rFonts w:ascii="Arial" w:eastAsia="Arial" w:hAnsi="Arial" w:cs="Arial"/>
                <w:noProof/>
                <w:color w:val="000000" w:themeColor="text1"/>
                <w:lang w:val="es-ES" w:eastAsia="es-ES"/>
              </w:rPr>
              <w:t>3. Pregunta de Investigación</w:t>
              <w:tab/>
              <w:fldChar w:fldCharType="begin"/>
              <w:instrText xml:space="preserve"> PAGEREF _Toc233474051 \h </w:instrText>
              <w:fldChar w:fldCharType="separate"/>
              <w:t>3</w:t>
              <w:fldChar w:fldCharType="end"/>
            </w:r>
          </w:hyperlink>
        </w:p>
        <w:p w14:paraId="36717D13"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2" w:history="1">
            <w:r>
              <w:rPr>
                <w:rFonts w:ascii="Arial" w:eastAsia="Arial" w:hAnsi="Arial" w:cs="Arial"/>
                <w:noProof/>
                <w:color w:val="000000" w:themeColor="text1"/>
                <w:lang w:val="es-ES" w:eastAsia="es-ES"/>
              </w:rPr>
              <w:t>Pregunta general</w:t>
              <w:tab/>
              <w:fldChar w:fldCharType="begin"/>
              <w:instrText xml:space="preserve"> PAGEREF _Toc233474052 \h </w:instrText>
              <w:fldChar w:fldCharType="separate"/>
              <w:t>3</w:t>
              <w:fldChar w:fldCharType="end"/>
            </w:r>
          </w:hyperlink>
        </w:p>
        <w:p w14:paraId="3AD82495"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3" w:history="1">
            <w:r>
              <w:rPr>
                <w:rFonts w:ascii="Arial" w:eastAsia="Arial" w:hAnsi="Arial" w:cs="Arial"/>
                <w:noProof/>
                <w:color w:val="000000" w:themeColor="text1"/>
                <w:lang w:val="es-ES" w:eastAsia="es-ES"/>
              </w:rPr>
              <w:t>4. Justificación y Alcance de la Investigación</w:t>
              <w:tab/>
              <w:fldChar w:fldCharType="begin"/>
              <w:instrText xml:space="preserve"> PAGEREF _Toc233474053 \h </w:instrText>
              <w:fldChar w:fldCharType="separate"/>
              <w:t>3</w:t>
              <w:fldChar w:fldCharType="end"/>
            </w:r>
          </w:hyperlink>
        </w:p>
        <w:p w14:paraId="11004A70"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4" w:history="1">
            <w:r>
              <w:rPr>
                <w:rFonts w:ascii="Arial" w:eastAsia="Arial" w:hAnsi="Arial" w:cs="Arial"/>
                <w:noProof/>
                <w:color w:val="000000" w:themeColor="text1"/>
                <w:lang w:val="es-ES" w:eastAsia="es-ES"/>
              </w:rPr>
              <w:t>Justificación</w:t>
              <w:tab/>
              <w:fldChar w:fldCharType="begin"/>
              <w:instrText xml:space="preserve"> PAGEREF _Toc233474054 \h </w:instrText>
              <w:fldChar w:fldCharType="separate"/>
              <w:t>3</w:t>
              <w:fldChar w:fldCharType="end"/>
            </w:r>
          </w:hyperlink>
        </w:p>
        <w:p w14:paraId="53346A27"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5" w:history="1">
            <w:r>
              <w:rPr>
                <w:rFonts w:ascii="Arial" w:eastAsia="Arial" w:hAnsi="Arial" w:cs="Arial"/>
                <w:noProof/>
                <w:color w:val="000000" w:themeColor="text1"/>
                <w:lang w:val="es-ES" w:eastAsia="es-ES"/>
              </w:rPr>
              <w:t>Alcance</w:t>
              <w:tab/>
              <w:fldChar w:fldCharType="begin"/>
              <w:instrText xml:space="preserve"> PAGEREF _Toc233474055 \h </w:instrText>
              <w:fldChar w:fldCharType="separate"/>
              <w:t>3</w:t>
              <w:fldChar w:fldCharType="end"/>
            </w:r>
          </w:hyperlink>
        </w:p>
        <w:p w14:paraId="1CD92E3D"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6" w:history="1">
            <w:r>
              <w:rPr>
                <w:rFonts w:ascii="Arial" w:eastAsia="Arial" w:hAnsi="Arial" w:cs="Arial"/>
                <w:noProof/>
                <w:color w:val="000000" w:themeColor="text1"/>
                <w:lang w:val="es-ES" w:eastAsia="es-ES"/>
              </w:rPr>
              <w:t>5. Objetivos de la Investigación</w:t>
              <w:tab/>
              <w:fldChar w:fldCharType="begin"/>
              <w:instrText xml:space="preserve"> PAGEREF _Toc233474056 \h </w:instrText>
              <w:fldChar w:fldCharType="separate"/>
              <w:t>4</w:t>
              <w:fldChar w:fldCharType="end"/>
            </w:r>
          </w:hyperlink>
        </w:p>
        <w:p w14:paraId="52CFAC5B"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7" w:history="1">
            <w:r>
              <w:rPr>
                <w:rFonts w:ascii="Arial" w:eastAsia="Arial" w:hAnsi="Arial" w:cs="Arial"/>
                <w:noProof/>
                <w:color w:val="000000" w:themeColor="text1"/>
                <w:lang w:val="es-ES" w:eastAsia="es-ES"/>
              </w:rPr>
              <w:t>Objetivo general</w:t>
              <w:tab/>
              <w:fldChar w:fldCharType="begin"/>
              <w:instrText xml:space="preserve"> PAGEREF _Toc233474057 \h </w:instrText>
              <w:fldChar w:fldCharType="separate"/>
              <w:t>4</w:t>
              <w:fldChar w:fldCharType="end"/>
            </w:r>
          </w:hyperlink>
        </w:p>
        <w:p w14:paraId="041402DE"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8" w:history="1">
            <w:r>
              <w:rPr>
                <w:rFonts w:ascii="Arial" w:eastAsia="Arial" w:hAnsi="Arial" w:cs="Arial"/>
                <w:noProof/>
                <w:color w:val="000000" w:themeColor="text1"/>
                <w:lang w:val="es-ES" w:eastAsia="es-ES"/>
              </w:rPr>
              <w:t>Objetivos específicos</w:t>
              <w:tab/>
              <w:fldChar w:fldCharType="begin"/>
              <w:instrText xml:space="preserve"> PAGEREF _Toc233474058 \h </w:instrText>
              <w:fldChar w:fldCharType="separate"/>
              <w:t>4</w:t>
              <w:fldChar w:fldCharType="end"/>
            </w:r>
          </w:hyperlink>
        </w:p>
        <w:p w14:paraId="0EBEB008"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9" w:history="1">
            <w:r>
              <w:rPr>
                <w:rFonts w:ascii="Arial" w:eastAsia="Arial" w:hAnsi="Arial" w:cs="Arial"/>
                <w:noProof/>
                <w:color w:val="000000" w:themeColor="text1"/>
                <w:lang w:val="es-ES" w:eastAsia="es-ES"/>
              </w:rPr>
              <w:t>6. Hipótesis de Investigación</w:t>
              <w:tab/>
              <w:fldChar w:fldCharType="begin"/>
              <w:instrText xml:space="preserve"> PAGEREF _Toc233474059 \h </w:instrText>
              <w:fldChar w:fldCharType="separate"/>
              <w:t>5</w:t>
              <w:fldChar w:fldCharType="end"/>
            </w:r>
          </w:hyperlink>
        </w:p>
        <w:p w14:paraId="4473CAEB"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0" w:history="1">
            <w:r>
              <w:rPr>
                <w:rFonts w:ascii="Arial" w:eastAsia="Arial" w:hAnsi="Arial" w:cs="Arial"/>
                <w:noProof/>
                <w:color w:val="000000" w:themeColor="text1"/>
                <w:lang w:val="es-ES" w:eastAsia="es-ES"/>
              </w:rPr>
              <w:t>7. Marco Teórico y Metodológico</w:t>
              <w:tab/>
              <w:fldChar w:fldCharType="begin"/>
              <w:instrText xml:space="preserve"> PAGEREF _Toc233474060 \h </w:instrText>
              <w:fldChar w:fldCharType="separate"/>
              <w:t>6</w:t>
              <w:fldChar w:fldCharType="end"/>
            </w:r>
          </w:hyperlink>
        </w:p>
        <w:p w14:paraId="293C7310"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1" w:history="1">
            <w:r>
              <w:rPr>
                <w:rFonts w:ascii="Arial" w:eastAsia="Arial" w:hAnsi="Arial" w:cs="Arial"/>
                <w:noProof/>
                <w:color w:val="000000" w:themeColor="text1"/>
                <w:lang w:val="es-ES" w:eastAsia="es-ES"/>
              </w:rPr>
              <w:t>7.1. Marco teórico</w:t>
              <w:tab/>
              <w:fldChar w:fldCharType="begin"/>
              <w:instrText xml:space="preserve"> PAGEREF _Toc233474061 \h </w:instrText>
              <w:fldChar w:fldCharType="separate"/>
              <w:t>6</w:t>
              <w:fldChar w:fldCharType="end"/>
            </w:r>
          </w:hyperlink>
        </w:p>
        <w:p>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100" w:history="1">
            <w:r>
              <w:rPr>
                <w:rFonts w:ascii="Arial" w:eastAsia="Arial" w:hAnsi="Arial" w:cs="Arial"/>
                <w:noProof/>
                <w:color w:val="000000" w:themeColor="text1"/>
                <w:lang w:val="es-ES" w:eastAsia="es-ES"/>
              </w:rPr>
              <w:t>Pilar preliminar: Antecedentes histórico-institucionales del sistema financiero paraguayo</w:t>
              <w:tab/>
              <w:fldChar w:fldCharType="begin"/>
              <w:instrText xml:space="preserve"> PAGEREF _Toc233474100 \h </w:instrText>
              <w:fldChar w:fldCharType="separate"/>
              <w:t>0</w:t>
              <w:fldChar w:fldCharType="end"/>
            </w:r>
          </w:hyperlink>
        </w:p>
        <w:p w14:paraId="0F16F08D"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2" w:history="1">
            <w:r>
              <w:rPr>
                <w:rFonts w:ascii="Arial" w:eastAsia="Arial" w:hAnsi="Arial" w:cs="Arial"/>
                <w:noProof/>
                <w:color w:val="000000" w:themeColor="text1"/>
                <w:lang w:val="es-ES" w:eastAsia="es-ES"/>
              </w:rPr>
              <w:t>Pilar 1: Paridad Descubierta de Tasas de Interés (UIP)</w:t>
              <w:tab/>
              <w:fldChar w:fldCharType="begin"/>
              <w:instrText xml:space="preserve"> PAGEREF _Toc233474062 \h </w:instrText>
              <w:fldChar w:fldCharType="separate"/>
              <w:t>6</w:t>
              <w:fldChar w:fldCharType="end"/>
            </w:r>
          </w:hyperlink>
        </w:p>
        <w:p w14:paraId="7E170C7D"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3" w:history="1">
            <w:r>
              <w:rPr>
                <w:rFonts w:ascii="Arial" w:eastAsia="Arial" w:hAnsi="Arial" w:cs="Arial"/>
                <w:noProof/>
                <w:color w:val="000000" w:themeColor="text1"/>
                <w:lang w:val="es-ES" w:eastAsia="es-ES"/>
              </w:rPr>
              <w:t>Pilar 2: El «forward premium puzzle» y el coeficiente de Fama</w:t>
              <w:tab/>
              <w:fldChar w:fldCharType="begin"/>
              <w:instrText xml:space="preserve"> PAGEREF _Toc233474063 \h </w:instrText>
              <w:fldChar w:fldCharType="separate"/>
              <w:t>7</w:t>
              <w:fldChar w:fldCharType="end"/>
            </w:r>
          </w:hyperlink>
        </w:p>
        <w:p w14:paraId="55470B40"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4" w:history="1">
            <w:r>
              <w:rPr>
                <w:rFonts w:ascii="Arial" w:eastAsia="Arial" w:hAnsi="Arial" w:cs="Arial"/>
                <w:noProof/>
                <w:color w:val="000000" w:themeColor="text1"/>
                <w:lang w:val="es-ES" w:eastAsia="es-ES"/>
              </w:rPr>
              <w:t>Pilar 3: Descomposición de Fisher — prima de inflación vs. prima de riesgo</w:t>
              <w:tab/>
              <w:fldChar w:fldCharType="begin"/>
              <w:instrText xml:space="preserve"> PAGEREF _Toc233474064 \h </w:instrText>
              <w:fldChar w:fldCharType="separate"/>
              <w:t>7</w:t>
              <w:fldChar w:fldCharType="end"/>
            </w:r>
          </w:hyperlink>
        </w:p>
        <w:p w14:paraId="21876933"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5" w:history="1">
            <w:r>
              <w:rPr>
                <w:rFonts w:ascii="Arial" w:eastAsia="Arial" w:hAnsi="Arial" w:cs="Arial"/>
                <w:noProof/>
                <w:color w:val="000000" w:themeColor="text1"/>
                <w:lang w:val="es-ES" w:eastAsia="es-ES"/>
              </w:rPr>
              <w:t>Pilar 4: El régimen de Metas de Inflación en Paraguay — qué pasó en 2011</w:t>
              <w:tab/>
              <w:fldChar w:fldCharType="begin"/>
              <w:instrText xml:space="preserve"> PAGEREF _Toc233474065 \h </w:instrText>
              <w:fldChar w:fldCharType="separate"/>
              <w:t>8</w:t>
              <w:fldChar w:fldCharType="end"/>
            </w:r>
          </w:hyperlink>
        </w:p>
        <w:p w14:paraId="62DB7FEC"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6" w:history="1">
            <w:r>
              <w:rPr>
                <w:rFonts w:ascii="Arial" w:eastAsia="Arial" w:hAnsi="Arial" w:cs="Arial"/>
                <w:noProof/>
                <w:color w:val="000000" w:themeColor="text1"/>
                <w:lang w:val="es-ES" w:eastAsia="es-ES"/>
              </w:rPr>
              <w:t>Pilar 5: Determinantes estructurales del diferencial en Paraguay</w:t>
              <w:tab/>
              <w:fldChar w:fldCharType="begin"/>
              <w:instrText xml:space="preserve"> PAGEREF _Toc233474066 \h </w:instrText>
              <w:fldChar w:fldCharType="separate"/>
              <w:t>10</w:t>
              <w:fldChar w:fldCharType="end"/>
            </w:r>
          </w:hyperlink>
        </w:p>
        <w:p>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101" w:history="1">
            <w:r>
              <w:rPr>
                <w:rFonts w:ascii="Arial" w:eastAsia="Arial" w:hAnsi="Arial" w:cs="Arial"/>
                <w:noProof/>
                <w:color w:val="000000" w:themeColor="text1"/>
                <w:lang w:val="es-ES" w:eastAsia="es-ES"/>
              </w:rPr>
              <w:t>Pilar 6: La dolarización financiera en Paraguay — anatomía de un fenómeno estructural</w:t>
              <w:tab/>
              <w:fldChar w:fldCharType="begin"/>
              <w:instrText xml:space="preserve"> PAGEREF _Toc233474101 \h </w:instrText>
              <w:fldChar w:fldCharType="separate"/>
              <w:t>0</w:t>
              <w:fldChar w:fldCharType="end"/>
            </w:r>
          </w:hyperlink>
        </w:p>
        <w:p w14:paraId="19C77BFE"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7" w:history="1">
            <w:r>
              <w:rPr>
                <w:rFonts w:ascii="Arial" w:eastAsia="Arial" w:hAnsi="Arial" w:cs="Arial"/>
                <w:noProof/>
                <w:color w:val="000000" w:themeColor="text1"/>
                <w:lang w:val="es-ES" w:eastAsia="es-ES"/>
              </w:rPr>
              <w:t>7.2. Marco metodológico</w:t>
              <w:tab/>
              <w:fldChar w:fldCharType="begin"/>
              <w:instrText xml:space="preserve"> PAGEREF _Toc233474067 \h </w:instrText>
              <w:fldChar w:fldCharType="separate"/>
              <w:t>11</w:t>
              <w:fldChar w:fldCharType="end"/>
            </w:r>
          </w:hyperlink>
        </w:p>
        <w:p w14:paraId="14EC9166"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8" w:history="1">
            <w:r>
              <w:rPr>
                <w:rFonts w:ascii="Arial" w:eastAsia="Arial" w:hAnsi="Arial" w:cs="Arial"/>
                <w:noProof/>
                <w:color w:val="000000" w:themeColor="text1"/>
                <w:lang w:val="es-ES" w:eastAsia="es-ES"/>
              </w:rPr>
              <w:t>Etapa 1: Construcción de las series de retorno</w:t>
              <w:tab/>
              <w:fldChar w:fldCharType="begin"/>
              <w:instrText xml:space="preserve"> PAGEREF _Toc233474068 \h </w:instrText>
              <w:fldChar w:fldCharType="separate"/>
              <w:t>12</w:t>
              <w:fldChar w:fldCharType="end"/>
            </w:r>
          </w:hyperlink>
        </w:p>
        <w:p w14:paraId="5292AC87"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9" w:history="1">
            <w:r>
              <w:rPr>
                <w:rFonts w:ascii="Arial" w:eastAsia="Arial" w:hAnsi="Arial" w:cs="Arial"/>
                <w:noProof/>
                <w:color w:val="000000" w:themeColor="text1"/>
                <w:lang w:val="es-ES" w:eastAsia="es-ES"/>
              </w:rPr>
              <w:t>Etapa 2: Coeficiente de Fama y validación de la medida conservadora</w:t>
              <w:tab/>
              <w:fldChar w:fldCharType="begin"/>
              <w:instrText xml:space="preserve"> PAGEREF _Toc233474069 \h </w:instrText>
              <w:fldChar w:fldCharType="separate"/>
              <w:t>13</w:t>
              <w:fldChar w:fldCharType="end"/>
            </w:r>
          </w:hyperlink>
        </w:p>
        <w:p w14:paraId="5FF192E7"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0" w:history="1">
            <w:r>
              <w:rPr>
                <w:rFonts w:ascii="Arial" w:eastAsia="Arial" w:hAnsi="Arial" w:cs="Arial"/>
                <w:noProof/>
                <w:color w:val="000000" w:themeColor="text1"/>
                <w:lang w:val="es-ES" w:eastAsia="es-ES"/>
              </w:rPr>
              <w:t>Etapa 3: Estacionariedad y análisis de quiebre estructural</w:t>
              <w:tab/>
              <w:fldChar w:fldCharType="begin"/>
              <w:instrText xml:space="preserve"> PAGEREF _Toc233474070 \h </w:instrText>
              <w:fldChar w:fldCharType="separate"/>
              <w:t>14</w:t>
              <w:fldChar w:fldCharType="end"/>
            </w:r>
          </w:hyperlink>
        </w:p>
        <w:p w14:paraId="519D9C48"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1" w:history="1">
            <w:r>
              <w:rPr>
                <w:rFonts w:ascii="Arial" w:eastAsia="Arial" w:hAnsi="Arial" w:cs="Arial"/>
                <w:noProof/>
                <w:color w:val="000000" w:themeColor="text1"/>
                <w:lang w:val="es-ES" w:eastAsia="es-ES"/>
              </w:rPr>
              <w:t>Etapa 4: Descomposición del diferencial — Fisher vs. prima de riesgo</w:t>
              <w:tab/>
              <w:fldChar w:fldCharType="begin"/>
              <w:instrText xml:space="preserve"> PAGEREF _Toc233474071 \h </w:instrText>
              <w:fldChar w:fldCharType="separate"/>
              <w:t>15</w:t>
              <w:fldChar w:fldCharType="end"/>
            </w:r>
          </w:hyperlink>
        </w:p>
        <w:p w14:paraId="2681535E"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2" w:history="1">
            <w:r>
              <w:rPr>
                <w:rFonts w:ascii="Arial" w:eastAsia="Arial" w:hAnsi="Arial" w:cs="Arial"/>
                <w:noProof/>
                <w:color w:val="000000" w:themeColor="text1"/>
                <w:lang w:val="es-ES" w:eastAsia="es-ES"/>
              </w:rPr>
              <w:t>Etapa 5: Modelo de regresión MCO-HAC con interacciones</w:t>
              <w:tab/>
              <w:fldChar w:fldCharType="begin"/>
              <w:instrText xml:space="preserve"> PAGEREF _Toc233474072 \h </w:instrText>
              <w:fldChar w:fldCharType="separate"/>
              <w:t>15</w:t>
              <w:fldChar w:fldCharType="end"/>
            </w:r>
          </w:hyperlink>
        </w:p>
        <w:p w14:paraId="4A68157D"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3" w:history="1">
            <w:r>
              <w:rPr>
                <w:rFonts w:ascii="Arial" w:eastAsia="Arial" w:hAnsi="Arial" w:cs="Arial"/>
                <w:noProof/>
                <w:color w:val="000000" w:themeColor="text1"/>
                <w:lang w:val="es-ES" w:eastAsia="es-ES"/>
              </w:rPr>
              <w:t>Etapa 6: Diagnóstico y robustez</w:t>
              <w:tab/>
              <w:fldChar w:fldCharType="begin"/>
              <w:instrText xml:space="preserve"> PAGEREF _Toc233474073 \h </w:instrText>
              <w:fldChar w:fldCharType="separate"/>
              <w:t>17</w:t>
              <w:fldChar w:fldCharType="end"/>
            </w:r>
          </w:hyperlink>
        </w:p>
        <w:p w14:paraId="160D3C2C"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4" w:history="1">
            <w:r>
              <w:rPr>
                <w:rFonts w:ascii="Arial" w:eastAsia="Arial" w:hAnsi="Arial" w:cs="Arial"/>
                <w:noProof/>
                <w:color w:val="000000" w:themeColor="text1"/>
                <w:lang w:val="es-ES" w:eastAsia="es-ES"/>
              </w:rPr>
              <w:t>Referencias</w:t>
              <w:tab/>
              <w:fldChar w:fldCharType="begin"/>
              <w:instrText xml:space="preserve"> PAGEREF _Toc233474074 \h </w:instrText>
              <w:fldChar w:fldCharType="separate"/>
              <w:t>17</w:t>
              <w:fldChar w:fldCharType="end"/>
            </w:r>
          </w:hyperlink>
        </w:p>
        <w:p w14:paraId="14CA1CB5" w14:textId="77777777" w:rsidR="00DF3903" w:rsidRPr="00DF3903" w:rsidRDefault="00DF3903" w:rsidP="00DF3903">
          <w:pPr>
            <w:spacing w:after="0" w:line="240" w:lineRule="auto"/>
            <w:rPr>
              <w:rFonts w:ascii="Arial" w:eastAsia="Arial" w:hAnsi="Arial" w:cs="Arial"/>
              <w:lang w:val="es-ES" w:eastAsia="es-ES"/>
            </w:rPr>
          </w:pPr>
          <w:r>
            <w:rPr>
              <w:rFonts w:ascii="Arial" w:eastAsia="Arial" w:hAnsi="Arial" w:cs="Arial"/>
              <w:color w:val="000000" w:themeColor="text1"/>
              <w:lang w:val="es-ES" w:eastAsia="es-ES"/>
            </w:rPr>
            <w:fldChar w:fldCharType="end"/>
          </w:r>
        </w:p>
      </w:sdtContent>
    </w:sdt>
    <w:p w14:paraId="28BC127D" w14:textId="77777777" w:rsidR="00DF3903" w:rsidRPr="00DF3903" w:rsidRDefault="00DF3903" w:rsidP="00DF3903">
      <w:pPr>
        <w:spacing w:after="0" w:line="240" w:lineRule="auto"/>
        <w:rPr>
          <w:rFonts w:ascii="Arial" w:eastAsia="Arial" w:hAnsi="Arial" w:cs="Arial"/>
          <w:lang w:val="es-ES" w:eastAsia="es-ES"/>
        </w:rPr>
        <w:sectPr w:rsidR="00DF3903" w:rsidRPr="00DF3903" w:rsidSect="00DF3903">
          <w:footerReference w:type="default" r:id="rId15"/>
          <w:pgSz w:w="11906" w:h="16838"/>
          <w:pgMar w:top="1417" w:right="1417" w:bottom="1417" w:left="1701" w:header="708" w:footer="708" w:gutter="0"/>
          <w:pgNumType w:fmt="lowerRoman" w:start="1"/>
          <w:cols w:space="720"/>
          <w:docGrid w:linePitch="360"/>
        </w:sectPr>
      </w:pPr>
    </w:p>
    <w:p>
      <w:pPr>
        <w:spacing w:after="160" w:line="300" w:lineRule="auto"/>
      </w:pPr>
      <w:r>
        <w:rPr>
          <w:b/>
          <w:sz w:val="28"/>
          <w:szCs w:val="28"/>
        </w:rPr>
        <w:t xml:space="preserve">Lista de Tablas</w:t>
      </w:r>
    </w:p>
    <w:p>
      <w:pPr>
        <w:spacing w:after="160" w:line="300" w:lineRule="auto"/>
        <w:jc w:val="both"/>
      </w:pPr>
      <w:r>
        <w:t xml:space="preserve">Tabla 7.1 — Operacionalización de las variables. · Tabla 8.1 — Regresión de Fama con diferencial trimestralizado. · Tabla 8.2 — Descomposición de Fisher por subperíodo (niveles, pp). · Tabla 8.3 — Modelo MCO-HAC con interacciones (dependiente: diferencial real residual rp; variables centradas). · Tabla 8.4 — Evolución de la composición (ventana móvil de 20 trimestres). · Tabla 8.5 — Veredicto por componente de la hipótesis.</w:t>
      </w:r>
    </w:p>
    <w:p>
      <w:pPr>
        <w:spacing w:after="160" w:line="300" w:lineRule="auto"/>
      </w:pPr>
      <w:r>
        <w:rPr>
          <w:b/>
          <w:sz w:val="28"/>
          <w:szCs w:val="28"/>
        </w:rPr>
        <w:t xml:space="preserve">Lista de Figuras</w:t>
      </w:r>
    </w:p>
    <w:p>
      <w:pPr>
        <w:spacing w:after="160" w:line="300" w:lineRule="auto"/>
        <w:jc w:val="both"/>
      </w:pPr>
      <w:r>
        <w:t xml:space="preserve">Figura 8.1 — Diferencial de retorno trimestral DR (Gs vs. USD), 2004–2024. · Figura 8.2 — Descomposición de Fisher: prima de inflación vs. residuo real. · Figura 8.3 — Evolución de la composición de la prima (ventanas móviles).</w:t>
      </w:r>
    </w:p>
    <w:p>
      <w:r>
        <w:br w:type="page"/>
      </w:r>
    </w:p>
    <w:p w14:paraId="109F5221"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1" w:name="_Toc233474049"/>
      <w:r>
        <w:rPr>
          <w:rFonts w:ascii="Arial" w:eastAsia="Arial" w:hAnsi="Arial" w:cs="Arial"/>
          <w:b/>
          <w:bCs/>
          <w:color w:val="000000"/>
          <w:lang w:val="es-ES" w:eastAsia="es-ES"/>
        </w:rPr>
        <w:lastRenderedPageBreak/>
        <w:t>1. Título de la Investigación</w:t>
      </w:r>
      <w:bookmarkEnd w:id="1"/>
    </w:p>
    <w:p w14:paraId="4B1E7A07"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Cambio de Nivel y Composición del Diferencial de Retornos entre Certificados de Depósito en Guaraníes y Dólares durante la Transición al Régimen de Metas de Inflación: Sistema Bancario Paraguayo, 2004–2024.</w:t>
      </w:r>
    </w:p>
    <w:p w14:paraId="6B3C47AA"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2" w:name="_Toc233474050"/>
      <w:r>
        <w:rPr>
          <w:rFonts w:ascii="Arial" w:eastAsia="Arial" w:hAnsi="Arial" w:cs="Arial"/>
          <w:b/>
          <w:bCs/>
          <w:color w:val="000000"/>
          <w:lang w:val="es-ES" w:eastAsia="es-ES"/>
        </w:rPr>
        <w:t>2. Planteamiento del Problema</w:t>
      </w:r>
      <w:bookmarkEnd w:id="2"/>
    </w:p>
    <w:p w14:paraId="02963EE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En una economía pequeña, abierta y parcialmente dolarizada como la paraguaya, ahorristas, empresas y entidades financieras enfrentan cotidianamente una decisión concreta: en qué moneda constituir sus certificados de depósito de ahorro (CDA). La elección entre un CDA en guaraníes y uno en dólares depende, en última instancia, de cuál ofrece un mayor retorno una vez considerada la variación del tipo de cambio durante el plazo del depósito.</w:t>
      </w:r>
    </w:p>
    <w:p w14:paraId="58F78DA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teoría establece que, bajo libre movilidad de capitales y ausencia de fricciones, el retorno en moneda doméstica debería igualarse al retorno en moneda extranjera ajustado por la depreciación del tipo de cambio (condición conocida como Paridad Descubierta de Tasas de Interés, UIP) (Keynes, 1923; Frenkel, 1973). Esto implica que lo que el guaraní paga de más en tasa debería perderse, en promedio, por depreciación frente al dólar. Sin embargo, la evidencia observable en Paraguay durante 2004–2024 sugiere que esta condición no se cumple de manera estricta (Fama, 1984).</w:t>
      </w:r>
    </w:p>
    <w:p w14:paraId="2C028EA0"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problema central es doble: primero, cuantificar si los CDA en guaraníes efectivamente pagan más que los CDA en dólares una vez descontada la depreciación; y segundo, explicar por qué se sostiene ese mayor pago. Para que la medición sea conservadora, el diferencial debe medirse de manera conservadora: la depreciación se descuenta íntegramente del retorno del guaraní, pero los episodios de apreciación (en los que el guaraní gana valor frente al dólar) se excluyen del cálculo. Si, aun bajo ese criterio estricto, el guaraní continúa pagando más, el resultado no puede atribuirse a episodios favorables del tipo de cambio.</w:t>
      </w:r>
    </w:p>
    <w:p w14:paraId="79264EC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lastRenderedPageBreak/>
        <w:t>Esta pregunta es especialmente relevante a la luz del cambio de régimen monetario ocurrido el 18 de mayo de 2011, cuando el Banco Central del Paraguay (BCP) adoptó formalmente un esquema de Metas de Inflación (Banco Central del Paraguay, 2011), desplazando el control de agregados monetarios como instrumento principal de política y sustituyéndolo por la Tasa de Política Monetaria (TPM) en guaraníes. La teoría predice que un régimen de metas creíble reduce la incertidumbre inflacionaria y cambiaria y, con ello, debería comprimir la prima de inflación contenida en el diferencial de retornos entre las dos monedas (Svensson, 1997; Mishkin, 2004).</w:t>
      </w:r>
    </w:p>
    <w:p w14:paraId="4DA88959"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Ahora bien, el efecto de 2011 sobre el </w:t>
      </w:r>
      <w:r>
        <w:rPr>
          <w:rFonts w:ascii="Arial" w:eastAsia="Arial" w:hAnsi="Arial" w:cs="Arial"/>
          <w:i/>
          <w:iCs/>
          <w:lang w:val="es-ES" w:eastAsia="es-ES"/>
        </w:rPr>
        <w:t>nivel</w:t>
      </w:r>
      <w:r>
        <w:rPr>
          <w:rFonts w:ascii="Arial" w:eastAsia="Arial" w:hAnsi="Arial" w:cs="Arial"/>
          <w:lang w:val="es-ES" w:eastAsia="es-ES"/>
        </w:rPr>
        <w:t xml:space="preserve"> total del diferencial es teóricamente indeterminado: el régimen de metas opera sobre la prima de inflación, pero no necesariamente sobre la prima de riesgo real, que responde a factores estructurales del sistema financiero. Por ello, el problema no es únicamente si el diferencial </w:t>
      </w:r>
      <w:r>
        <w:rPr>
          <w:rFonts w:ascii="Arial" w:eastAsia="Arial" w:hAnsi="Arial" w:cs="Arial"/>
          <w:i/>
          <w:iCs/>
          <w:lang w:val="es-ES" w:eastAsia="es-ES"/>
        </w:rPr>
        <w:t>disminuyó</w:t>
      </w:r>
      <w:r>
        <w:rPr>
          <w:rFonts w:ascii="Arial" w:eastAsia="Arial" w:hAnsi="Arial" w:cs="Arial"/>
          <w:lang w:val="es-ES" w:eastAsia="es-ES"/>
        </w:rPr>
        <w:t xml:space="preserve">, sino si su </w:t>
      </w:r>
      <w:r>
        <w:rPr>
          <w:rFonts w:ascii="Arial" w:eastAsia="Arial" w:hAnsi="Arial" w:cs="Arial"/>
          <w:b/>
          <w:bCs/>
          <w:lang w:val="es-ES" w:eastAsia="es-ES"/>
        </w:rPr>
        <w:t>composición se recompuso</w:t>
      </w:r>
      <w:r>
        <w:rPr>
          <w:rFonts w:ascii="Arial" w:eastAsia="Arial" w:hAnsi="Arial" w:cs="Arial"/>
          <w:lang w:val="es-ES" w:eastAsia="es-ES"/>
        </w:rPr>
        <w:t>: determinar si, tras 2011, el diferencial dejó de estar dominado por la prima de inflación y pasó a estar sostenido por una prima de riesgo cuyo determinante principal migró del riesgo de depreciación cambiaria al riesgo de iliquidez del mercado de fondos prestables. Esta recomposición —y no una simple reducción de magnitud— es el fenómeno central que esta investigación busca documentar.</w:t>
      </w:r>
    </w:p>
    <w:p w14:paraId="55A9F492"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Paraguay presenta condiciones estructurales que hacen pertinente este análisis: elevada dolarización financiera, con depósitos en dólares que han representado entre el 38 % y el 60 % del total del sistema bancario a lo largo del período (Ize &amp; Levy-Yeyati, 2003); ausencia de un mercado de forward, que impide comparar retornos cubiertos; y un proceso gradual de consolidación del régimen monetario. A la fecha no existe evidencia empírica publicada que haya cuantificado y analizado sistemáticamente el diferencial de retornos entre CDA en ambas monedas para el mercado bancario paraguayo, configurando un vacío en la literatura.</w:t>
      </w:r>
    </w:p>
    <w:p w14:paraId="74186BB0" w14:textId="77777777" w:rsidR="00D27E85" w:rsidRPr="00DF3903" w:rsidRDefault="00D27E85" w:rsidP="00D27E85">
      <w:pPr>
        <w:spacing w:after="120" w:line="480" w:lineRule="auto"/>
        <w:jc w:val="both"/>
        <w:rPr>
          <w:rFonts w:ascii="Arial" w:eastAsia="Arial" w:hAnsi="Arial" w:cs="Arial"/>
          <w:lang w:val="es-ES" w:eastAsia="es-ES"/>
        </w:rPr>
      </w:pPr>
    </w:p>
    <w:p w14:paraId="67E8394B"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3" w:name="_Toc233474051"/>
      <w:r>
        <w:rPr>
          <w:rFonts w:ascii="Arial" w:eastAsia="Arial" w:hAnsi="Arial" w:cs="Arial"/>
          <w:b/>
          <w:bCs/>
          <w:color w:val="000000"/>
          <w:lang w:val="es-ES" w:eastAsia="es-ES"/>
        </w:rPr>
        <w:lastRenderedPageBreak/>
        <w:t>3. Pregunta de Investigación</w:t>
      </w:r>
      <w:bookmarkEnd w:id="3"/>
    </w:p>
    <w:p w14:paraId="52EAE3E9"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4" w:name="_Toc233474052"/>
      <w:r>
        <w:rPr>
          <w:rFonts w:ascii="Arial" w:eastAsia="Arial" w:hAnsi="Arial" w:cs="Arial"/>
          <w:b/>
          <w:bCs/>
          <w:color w:val="000000"/>
          <w:lang w:val="es-ES" w:eastAsia="es-ES"/>
        </w:rPr>
        <w:t>Pregunta general</w:t>
      </w:r>
      <w:bookmarkEnd w:id="4"/>
    </w:p>
    <w:p w14:paraId="1836508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Tras la adopción del régimen de Metas de Inflación en 2011, ¿cómo se recompuso la estructura de determinantes de la prima de riesgo que sostiene el diferencial de retornos entre certificados en guaraníes y en dólares del sistema bancario paraguayo entre 2004 y 2024; en qué medida cayó la incidencia del riesgo de depreciación cambiaria y aumentó la del riesgo de iliquidez del mercado de fondos prestables?</w:t>
      </w:r>
    </w:p>
    <w:p w14:paraId="76BC9160"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5" w:name="_Toc233474053"/>
      <w:r>
        <w:rPr>
          <w:rFonts w:ascii="Arial" w:eastAsia="Arial" w:hAnsi="Arial" w:cs="Arial"/>
          <w:b/>
          <w:bCs/>
          <w:color w:val="000000"/>
          <w:lang w:val="es-ES" w:eastAsia="es-ES"/>
        </w:rPr>
        <w:t>4. Justificación y Alcance de la Investigación</w:t>
      </w:r>
      <w:bookmarkEnd w:id="5"/>
    </w:p>
    <w:p w14:paraId="3B220883"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6" w:name="_Toc233474054"/>
      <w:r>
        <w:rPr>
          <w:rFonts w:ascii="Arial" w:eastAsia="Arial" w:hAnsi="Arial" w:cs="Arial"/>
          <w:b/>
          <w:bCs/>
          <w:color w:val="000000"/>
          <w:lang w:val="es-ES" w:eastAsia="es-ES"/>
        </w:rPr>
        <w:t>Justificación</w:t>
      </w:r>
      <w:bookmarkEnd w:id="6"/>
    </w:p>
    <w:p w14:paraId="23AD4E27"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Desde el punto de vista teórico, la investigación permite contrastar empíricamente la UIP en una economía emergente con alta dolarización y un régimen de metas en consolidación. Las desviaciones sistemáticas respecto de esta condición constituyen evidencia de una prima de riesgo cambiaria persistente, con implicancias directas para el mecanismo de transmisión de la política monetaria (Hansen &amp; Hodrick, 1980).</w:t>
      </w:r>
    </w:p>
    <w:p w14:paraId="4A9BE95C"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Desde la perspectiva práctica, los resultados son de utilidad para el BCP (en tanto permiten evaluar no solo si la adopción de Metas de Inflación en 2011 comprimió el diferencial, sino cómo recompuso sus determinantes) y para ahorristas, empresas y entidades financieras que toman decisiones de cartera en un contexto de dolarización parcial.</w:t>
      </w:r>
    </w:p>
    <w:p w14:paraId="5A545B4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En términos metodológicos, la construcción de una serie histórica del diferencial bajo el criterio conservador de excluir la apreciación aporta una cota inferior robusta del premio estructural del guaraní. La descomposición del diferencial en prima de inflación y prima de riesgo, junto con la identificación econométrica de la recomposición de sus determinantes mediante términos de interacción, añade rigor al análisis y permite contrastar formalmente una hipótesis que la mera comparación de medias no podría capturar. Finalmente, la ausencia de evidencia empírica publicada para el mercado de CDA paraguayo hace de este trabajo la primera cuantificación sistemática disponible: un insumo directo para la autoridad monetaria, que necesita saber sobre qué componente del diferencial actúa su régimen, y para los ahorristas y tesorerías que hoy eligen moneda de depósito sin ese dato.</w:t>
      </w:r>
    </w:p>
    <w:p w14:paraId="713F2329" w14:textId="77777777" w:rsidR="00D27E85" w:rsidRPr="00DF3903" w:rsidRDefault="00D27E85" w:rsidP="00D27E85">
      <w:pPr>
        <w:spacing w:after="120" w:line="480" w:lineRule="auto"/>
        <w:jc w:val="both"/>
        <w:rPr>
          <w:rFonts w:ascii="Arial" w:eastAsia="Arial" w:hAnsi="Arial" w:cs="Arial"/>
          <w:lang w:val="es-ES" w:eastAsia="es-ES"/>
        </w:rPr>
      </w:pPr>
    </w:p>
    <w:p w14:paraId="1E34D0B6" w14:textId="77777777" w:rsidR="00D27E85" w:rsidRPr="00DF3903" w:rsidRDefault="00D27E85" w:rsidP="00D27E85">
      <w:pPr>
        <w:spacing w:after="120" w:line="480" w:lineRule="auto"/>
        <w:jc w:val="both"/>
        <w:rPr>
          <w:rFonts w:ascii="Arial" w:eastAsia="Arial" w:hAnsi="Arial" w:cs="Arial"/>
          <w:lang w:val="es-ES" w:eastAsia="es-ES"/>
        </w:rPr>
      </w:pPr>
    </w:p>
    <w:p w14:paraId="6B37907C"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7" w:name="_Toc233474055"/>
      <w:r>
        <w:rPr>
          <w:rFonts w:ascii="Arial" w:eastAsia="Arial" w:hAnsi="Arial" w:cs="Arial"/>
          <w:b/>
          <w:bCs/>
          <w:color w:val="000000"/>
          <w:lang w:val="es-ES" w:eastAsia="es-ES"/>
        </w:rPr>
        <w:lastRenderedPageBreak/>
        <w:t>Alcance</w:t>
      </w:r>
      <w:bookmarkEnd w:id="7"/>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alcance temático comprende el mercado de certificados de depósito de ahorro (CDA) del sistema bancario; se excluyen otros instrumentos financieros y la evaluación de la Paridad Cubierta, dado que el mercado forward de divisas local —cuyas operaciones y curva publica el BCP— carece de la profundidad y de la cobertura histórica 2004–2024 necesarias para ese contraste. El alcance espacial es el sistema bancario paraguayo en su conjunto (tasas promedio del sistema, no entidades individuales). El alcance temporal abarca 2004–2024 (84 trimestres), justificado por la disponibilidad de cobertura homogénea y reglamentada de las tasas pasivas por moneda desde 2004. La unidad de análisis es el diferencial trimestral de retornos y, dentro de él, la prima de riesgo que lo sostiene. La profundidad del estudio es correlacional, de incidencia: el diseño —una única serie observada antes y después del cambio de régimen, sin grupo de control— mide asociación a través de un quiebre, no efectos causales. Se utilizan datos de acceso público del BCP (tasas pasivas de CDA por moneda, tipo de cambio nominal y ratio de dolarización de depósitos), de la Reserva Federal (tasa de fondos federales) y de FRED (el índice de precios al consumidor de los Estados Unidos; el IPC del Paraguay proviene del BCP).</w:t>
      </w:r>
    </w:p>
    <w:p w14:paraId="46BADB4F"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8" w:name="_Toc233474056"/>
      <w:r>
        <w:rPr>
          <w:rFonts w:ascii="Arial" w:eastAsia="Arial" w:hAnsi="Arial" w:cs="Arial"/>
          <w:b/>
          <w:bCs/>
          <w:color w:val="000000"/>
          <w:lang w:val="es-ES" w:eastAsia="es-ES"/>
        </w:rPr>
        <w:t>5. Objetivos de la Investigación</w:t>
      </w:r>
      <w:bookmarkEnd w:id="8"/>
    </w:p>
    <w:p w14:paraId="097C3DF8"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9" w:name="_Toc233474057"/>
      <w:r>
        <w:rPr>
          <w:rFonts w:ascii="Arial" w:eastAsia="Arial" w:hAnsi="Arial" w:cs="Arial"/>
          <w:b/>
          <w:bCs/>
          <w:color w:val="000000"/>
          <w:lang w:val="es-ES" w:eastAsia="es-ES"/>
        </w:rPr>
        <w:t>Objetivo general</w:t>
      </w:r>
      <w:bookmarkEnd w:id="9"/>
    </w:p>
    <w:p w14:paraId="7E62058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Determinar cómo se recompuso la incidencia relativa de los determinantes de la prima de riesgo del diferencial de retornos entre certificados en guaraníes y dólares tras la adopción de las Metas de Inflación en 2011, en el sistema bancario paraguayo, 2004–2024.</w:t>
      </w:r>
    </w:p>
    <w:p w14:paraId="117AA286"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10" w:name="_Toc233474058"/>
      <w:r>
        <w:rPr>
          <w:rFonts w:ascii="Arial" w:eastAsia="Arial" w:hAnsi="Arial" w:cs="Arial"/>
          <w:b/>
          <w:bCs/>
          <w:color w:val="000000"/>
          <w:lang w:val="es-ES" w:eastAsia="es-ES"/>
        </w:rPr>
        <w:t>Objetivos específicos</w:t>
      </w:r>
      <w:bookmarkEnd w:id="10"/>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Caracterizar la evolución del diferencial de retornos estándar y de su medida conservadora durante 2004–2024, a partir de las tasas pasivas de CDA y el tipo de cambio publicados por el BCP (Banco Central del Paraguay, 2024).</w:t>
      </w:r>
    </w:p>
    <w:p w14:paraId="7763099C"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lang w:val="es-ES" w:eastAsia="es-ES"/>
        </w:rPr>
        <w:t>Verificar, como premisa del análisis, si el diferencial conservador (que excluye la apreciación) permanece positivo para el período completo y para cada subperíodo.</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Contrastar si la dinámica del diferencial exhibe un quiebre estructural asociado al cambio de régimen de 2011, mediante pruebas de cambio estructural con fecha de quiebre endógena.</w:t>
      </w:r>
    </w:p>
    <w:p w14:paraId="6E93998D"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lang w:val="es-ES" w:eastAsia="es-ES"/>
        </w:rPr>
        <w:t>Descomponer el diferencial de tasas en su componente de inflación esperada y su componente de prima de riesgo real, y comparar ambas proporciones entre los subperíodos pre y post 2011 (primera capa de la recomposición).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Identificar la migración del determinante dominante dentro de la prima de riesgo tras 2011, contrastando formalmente el cambio en la incidencia relativa del riesgo de depreciación cambiaria y del riesgo de iliquidez del mercado de fondos prestables (segunda capa y núcleo de la investigación).</w:t>
      </w:r>
    </w:p>
    <w:p w14:paraId="766CBA59"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11" w:name="_Toc233474059"/>
      <w:r>
        <w:rPr>
          <w:rFonts w:ascii="Arial" w:eastAsia="Arial" w:hAnsi="Arial" w:cs="Arial"/>
          <w:b/>
          <w:bCs/>
          <w:color w:val="000000"/>
          <w:lang w:val="es-ES" w:eastAsia="es-ES"/>
        </w:rPr>
        <w:t>6. Hipótesis de Investigación</w:t>
      </w:r>
      <w:bookmarkEnd w:id="11"/>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Sobre la base del marco teórico desarrollado en la Sección 7 (Pilares 1 a 6), se formula la siguiente hipótesis de investigación.</w:t>
      </w:r>
    </w:p>
    <w:p w14:paraId="6043E2D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Hipótesis de investigación. </w:t>
      </w:r>
      <w:r>
        <w:rPr>
          <w:rFonts w:ascii="Arial" w:eastAsia="Arial" w:hAnsi="Arial" w:cs="Arial"/>
          <w:lang w:val="es-ES" w:eastAsia="es-ES"/>
        </w:rPr>
        <w:t xml:space="preserve">Tras la adopción del régimen de Metas de Inflación en 2011, el diferencial de retornos entre CDA en guaraníes y en dólares no desaparece, sino que se </w:t>
      </w:r>
      <w:r>
        <w:rPr>
          <w:rFonts w:ascii="Arial" w:eastAsia="Arial" w:hAnsi="Arial" w:cs="Arial"/>
          <w:b/>
          <w:bCs/>
          <w:lang w:val="es-ES" w:eastAsia="es-ES"/>
        </w:rPr>
        <w:t>recompone</w:t>
      </w:r>
      <w:r>
        <w:rPr>
          <w:rFonts w:ascii="Arial" w:eastAsia="Arial" w:hAnsi="Arial" w:cs="Arial"/>
          <w:lang w:val="es-ES" w:eastAsia="es-ES"/>
        </w:rPr>
        <w:t xml:space="preserve">: la prima de inflación se contrae al anclarse las expectativas, mientras la prima de riesgo persiste y su composición interna —el peso relativo de sus determinantes— se modifica significativamente con el cambio de régimen. Como conjetura direccional derivada del marco teórico se plantea que esa recomposición opera desde el riesgo de depreciación cambiaria hacia el riesgo de iliquidez del mercado de fondos prestables; la dirección, no obstante, se somete a contraste empírico sin imponerse a priori. En consecuencia, el resultado neto sobre el </w:t>
      </w:r>
      <w:r>
        <w:rPr>
          <w:rFonts w:ascii="Arial" w:eastAsia="Arial" w:hAnsi="Arial" w:cs="Arial"/>
          <w:i/>
          <w:iCs/>
          <w:lang w:val="es-ES" w:eastAsia="es-ES"/>
        </w:rPr>
        <w:t>nivel</w:t>
      </w:r>
      <w:r>
        <w:rPr>
          <w:rFonts w:ascii="Arial" w:eastAsia="Arial" w:hAnsi="Arial" w:cs="Arial"/>
          <w:lang w:val="es-ES" w:eastAsia="es-ES"/>
        </w:rPr>
        <w:t xml:space="preserve"> del diferencial es teóricamente indeterminado, y el fenómeno relevante es el </w:t>
        <w:lastRenderedPageBreak/>
        <w:t xml:space="preserve">cambio en la </w:t>
      </w:r>
      <w:r>
        <w:rPr>
          <w:rFonts w:ascii="Arial" w:eastAsia="Arial" w:hAnsi="Arial" w:cs="Arial"/>
          <w:i/>
          <w:iCs/>
          <w:lang w:val="es-ES" w:eastAsia="es-ES"/>
        </w:rPr>
        <w:t>estructura</w:t>
      </w:r>
      <w:r>
        <w:rPr>
          <w:rFonts w:ascii="Arial" w:eastAsia="Arial" w:hAnsi="Arial" w:cs="Arial"/>
          <w:lang w:val="es-ES" w:eastAsia="es-ES"/>
        </w:rPr>
        <w:t xml:space="preserve"> de sus determinantes, no la mera variación de su magnitud promedio.</w:t>
      </w:r>
    </w:p>
    <w:p w14:paraId="2761B74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sistema de hipótesis estadísticas que operacionaliza esta proposición —formulado sobre los coeficientes de los términos de interacción del modelo de regresión— se presenta en el Marco Metodológico (Etapa 5), conforme a la convención de reservar la hipótesis declarativa para esta sección y el par H</w:t>
      </w:r>
      <w:r>
        <w:rPr>
          <w:rFonts w:ascii="Arial" w:eastAsia="Arial" w:hAnsi="Arial" w:cs="Arial"/>
          <w:vertAlign w:val="subscript"/>
          <w:lang w:val="es-ES" w:eastAsia="es-ES"/>
        </w:rPr>
        <w:t>0</w:t>
      </w:r>
      <w:r>
        <w:rPr>
          <w:rFonts w:ascii="Arial" w:eastAsia="Arial" w:hAnsi="Arial" w:cs="Arial"/>
          <w:lang w:val="es-ES" w:eastAsia="es-ES"/>
        </w:rPr>
        <w:t>/H</w:t>
      </w:r>
      <w:r>
        <w:rPr>
          <w:rFonts w:ascii="Arial" w:eastAsia="Arial" w:hAnsi="Arial" w:cs="Arial"/>
          <w:vertAlign w:val="subscript"/>
          <w:lang w:val="es-ES" w:eastAsia="es-ES"/>
        </w:rPr>
        <w:t>A</w:t>
      </w:r>
      <w:r>
        <w:rPr>
          <w:rFonts w:ascii="Arial" w:eastAsia="Arial" w:hAnsi="Arial" w:cs="Arial"/>
          <w:lang w:val="es-ES" w:eastAsia="es-ES"/>
        </w:rPr>
        <w:t xml:space="preserve"> para el diseño econométrico.</w:t>
      </w:r>
    </w:p>
    <w:p w14:paraId="6AC11DF2"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12" w:name="_Toc233474060"/>
      <w:r>
        <w:rPr>
          <w:rFonts w:ascii="Arial" w:eastAsia="Arial" w:hAnsi="Arial" w:cs="Arial"/>
          <w:b/>
          <w:bCs/>
          <w:color w:val="000000"/>
          <w:lang w:val="es-ES" w:eastAsia="es-ES"/>
        </w:rPr>
        <w:t>7. Marco Teórico y Metodológico</w:t>
      </w:r>
      <w:bookmarkEnd w:id="12"/>
    </w:p>
    <w:p w14:paraId="0DA6B01F"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13" w:name="_Toc233474061"/>
      <w:r>
        <w:rPr>
          <w:rFonts w:ascii="Arial" w:eastAsia="Arial" w:hAnsi="Arial" w:cs="Arial"/>
          <w:b/>
          <w:bCs/>
          <w:color w:val="000000"/>
          <w:lang w:val="es-ES" w:eastAsia="es-ES"/>
        </w:rPr>
        <w:t>7.1. Marco teórico</w:t>
      </w:r>
      <w:bookmarkEnd w:id="13"/>
    </w:p>
    <w:p>
      <w:pPr>
        <w:jc w:val="both"/>
        <w:rPr>
          <w:rFonts w:ascii="Arial" w:hAnsi="Arial" w:cs="Arial"/>
        </w:rPr>
      </w:pPr>
      <w:r>
        <w:rPr>
          <w:rFonts w:ascii="Arial" w:hAnsi="Arial" w:cs="Arial"/>
        </w:rPr>
        <w:t xml:space="preserve">Este marco teórico establece el fundamento conceptual del trabajo siguiendo una progresión de lo general a lo específico. Primero se ubica la investigación en la literatura internacional que le sirve de antecedente; luego se desarrolla el contexto histórico-institucional del sistema financiero paraguayo y los pilares teóricos que sustentan el análisis —la paridad de tasas y su incumplimiento, la descomposición de Fisher, el régimen de Metas de Inflación, los determinantes estructurales del diferencial y la dolarización financiera como fenómeno transversal—; y se cierra con las bases legales, el sistema de variables y la definición de los términos empleados. El hilo conductor es una única pregunta: qué sostiene el diferencial de retornos entre certificados de depósito de ahorro en guaraníes y en dólares, y cómo cabe esperar que un cambio de régimen monetario altere su composición.</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Antecedentes de investigación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evidencia internacional ofrece tres líneas de antecedentes directamente vinculadas a esta investigación. Primero, las pruebas de la paridad descubierta en economías emergentes: Bansal y Dahlquist (2000) documentan que el incumplimiento de la UIP es sistemáticamente mayor en economías de menor ingreso y mayor volatilidad inflacionaria, y Lewis (1995) sistematiza las explicaciones del exceso de retorno cambiario, incluidas las basadas en el problema del peso (Krasker, 1980), que constituye además la hipótesis rival que este trabajo debe arbitrar: una prima persistente puede reflejar la expectativa de un evento extremo no materializado en la muestra, y no una prima estructural que se recompone. Segundo, la evidencia sobre regímenes de metas de inflación y primas de riesgo: Mishkin y Schmidt-Hebbel (2007) encuentran que la adopción de metas reduce el nivel y la volatilidad de la inflación sin eliminar los diferenciales de riesgo, y Leiderman, Maino y Parrado (2006) analizan la operación de metas de inflación en economías dolarizadas, el caso más próximo al paraguayo. Tercero, la literatura de dolarización financiera (Calvo &amp; Végh, 1992; Ize &amp; Levy-Yeyati, 2003) y del «miedo a flotar» (Calvo &amp; Reinhart, 2002), que explica por qué las fricciones estructurales asociadas a la moneda extranjera sobreviven a la estabilización nominal. No se identificó evidencia empírica publicada para el mercado de CDA paraguayo; ese vacío justifica el aporte del trabajo, y esta sección lo ubica en la conversación internacional a la que contribuye.</w:t>
      </w:r>
    </w:p>
    <w:p>
      <w:pPr>
        <w:spacing w:before="180" w:after="100" w:line="480" w:lineRule="auto"/>
        <w:outlineLvl w:val="2"/>
        <w:rPr>
          <w:rFonts w:ascii="Arial" w:eastAsia="Arial" w:hAnsi="Arial" w:cs="Arial"/>
          <w:b/>
          <w:bCs/>
          <w:i/>
          <w:iCs/>
          <w:color w:val="000000"/>
          <w:lang w:val="es-ES" w:eastAsia="es-ES"/>
        </w:rPr>
      </w:pPr>
      <w:bookmarkStart w:id="100" w:name="_Toc233474100"/>
      <w:r>
        <w:rPr>
          <w:rFonts w:ascii="Arial" w:eastAsia="Arial" w:hAnsi="Arial" w:cs="Arial"/>
          <w:b/>
          <w:bCs/>
          <w:i/>
          <w:iCs/>
          <w:color w:val="000000"/>
          <w:lang w:val="es-ES" w:eastAsia="es-ES"/>
        </w:rPr>
        <w:t>Pilar preliminar: Antecedentes histórico-institucionales del sistema financiero paraguayo</w:t>
      </w:r>
      <w:bookmarkEnd w:id="100"/>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punto de partida empírico de esta investigación —el primer trimestre de 2004— no es arbitrario, pero tampoco se explica por sí solo. Para comprender la magnitud y la composición del diferencial de retornos que los datos exhiben desde ese año es necesario remontarse al proceso que dio forma al sistema financiero paraguayo en las décadas anteriores. Ese proceso estuvo marcado por tres episodios sucesivos cuya huella es aún detectable en el período 2004–2024: la transición de un régimen de represión financiera hacia un sistema de mercado parcialmente liberalizado a partir de 1989, la crisis bancaria sistémica de 1995–1998 que erosionó de forma duradera la confianza de los depositantes en los instrumentos denominados en guaraníes, y la contaminación regional producida por los colapsos monetarios de Argentina y Uruguay en 2001–2002. Cada uno de esos episodios sedimentó expectativas, hábitos y estructuras institucionales que condicionaron las decisiones de cartera de los ahorristas paraguayos a lo largo del período analizado.</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Durante los más de treinta y cinco años del régimen de Stroessner (1954–1989), el sistema financiero paraguayo operó bajo condiciones de represión financiera: el tipo de cambio estuvo administrativamente controlado durante períodos prolongados y la política monetaria respondía a las necesidades de financiamiento del Estado antes que a objetivos de estabilidad de precios. La transición democrática de febrero de 1989 y la liberalización cambiaria que le siguió pusieron en evidencia las tensiones acumuladas: el guaraní experimentó episodios de depreciación significativa en los primeros años de la década de 1990, y la inflación, antes contenida de forma administrativa, mostró aceleraciones que instalaron en el ahorrista paraguayo la percepción de que mantener activos en moneda doméstica implicaba un riesgo real y cuantificable. Esta primera experiencia de inestabilidad post-liberalización estableció el piso sobre el que se construyeron las decisiones de cartera de la generación que llegaría a 2004 con sus ahorros ya constituidos.</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El episodio más determinante para entender la estructura de la dolarización que caracterizó al sistema bancario paraguayo en el período 2004–2024 fue la crisis bancaria sistémica de 1995–1998. A lo largo de esos años, el Banco Central del Paraguay debió intervenir, liquidar o rescatar un conjunto de entidades financieras privadas cuyos problemas de solvencia y liquidez se habían acumulado bajo la superficie de un período de expansión crediticia. El efecto sobre los depositantes fue inmediato y duradero: numerosos ahorristas sufrieron pérdidas patrimoniales reales o experimentaron la inmovilización temporal de depósitos denominados en guaraníes. La respuesta fue previsible: la migración hacia depósitos en dólares estadounidenses, ajenos a los problemas del sistema bancario local, se aceleró de forma significativa, y la dolarización de depósitos escaló hacia los niveles más altos del período analizado precisamente en los años inmediatamente posteriores a 1998. La literatura sobre </w:t>
      </w:r>
      <w:r>
        <w:rPr>
          <w:rFonts w:ascii="Arial" w:eastAsia="Arial" w:hAnsi="Arial" w:cs="Arial"/>
          <w:i/>
          <w:iCs/>
          <w:lang w:val="es-ES" w:eastAsia="es-ES"/>
        </w:rPr>
        <w:t>histéresis</w:t>
      </w:r>
      <w:r>
        <w:rPr>
          <w:rFonts w:ascii="Arial" w:eastAsia="Arial" w:hAnsi="Arial" w:cs="Arial"/>
          <w:lang w:val="es-ES" w:eastAsia="es-ES"/>
        </w:rPr>
        <w:t xml:space="preserve"> financiera —documentada, entre otros, por Calvo y Végh (1992) e Ize y Levy-Yeyati (2003)— predice con exactitud este patrón: los comportamientos de dolarización adoptados en respuesta a crisis bancarias o cambiarias tienden a persistir mucho más allá de la resolución de la crisis que los motivó, porque la información que el ahorrista incorporó durante ese episodio es genuinamente relevante para evaluar el riesgo futuro de los instrumentos domésticos.</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Si la crisis bancaria de 1995–1998 fue el detonante interno de la dolarización, el entorno regional de 2001–2002 operó como su amplificador externo. La crisis argentina de diciembre de 2001 —con el congelamiento bancario, el abandono de la convertibilidad y la cesación de pagos de la deuda soberana— tuvo efectos directos sobre Paraguay a través de dos canales: el comercial, por la contracción de la demanda de exportaciones, y el de expectativas, más relevante para esta investigación, pues los ahorristas paraguayos observaron en el país vecino exactamente el escenario que más temían —un sistema bancario incapaz de devolver los depósitos en moneda doméstica a su valor— y recalibraron su disposición a mantener activos en guaraníes. Simultáneamente, Uruguay atravesaba su propia crisis bancaria de 2002. Paraguay, enclavado entre sus dos vecinos en crisis, procesó esos episodios como confirmación de la racionalidad de la dolarización precautoria. El período 2002–2003 constituyó el punto de mayor dolarización del sistema financiero paraguayo, y el punto de partida desde el que la tendencia de largo plazo comenzaría, lenta pero sostenidamente, a revertirse.</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La recuperación comenzó a perfilarse a partir de 2003–2004, impulsada por la reactivación económica asociada al auge de los precios internacionales de los </w:t>
      </w:r>
      <w:r>
        <w:rPr>
          <w:rFonts w:ascii="Arial" w:eastAsia="Arial" w:hAnsi="Arial" w:cs="Arial"/>
          <w:i/>
          <w:iCs/>
          <w:lang w:val="es-ES" w:eastAsia="es-ES"/>
        </w:rPr>
        <w:t>commodities</w:t>
      </w:r>
      <w:r>
        <w:rPr>
          <w:rFonts w:ascii="Arial" w:eastAsia="Arial" w:hAnsi="Arial" w:cs="Arial"/>
          <w:lang w:val="es-ES" w:eastAsia="es-ES"/>
        </w:rPr>
        <w:t xml:space="preserve"> agrícolas —en particular la soja— y por una gestión monetaria del BCP progresivamente más orientada hacia la estabilidad. Entre 2004 y 2010, la inflación mantuvo una tendencia declinante, aunque con volatilidad, y el BCP fue construyendo los instrumentos operativos —en particular la Tasa de Política Monetaria como señal de mercado— que serían la base del régimen de Metas de Inflación adoptado el 18 de mayo de 2011. Ese proceso de aprendizaje institucional y construcción de credibilidad es el telón de fondo sobre el que debe interpretarse el diferencial de retornos del período 2004–2010: un diferencial elevado, en buena parte dominado por la prima de inflación derivada de la incertidumbre del régimen de agregados monetarios, pero que ya comenzaba a reflejar los primeros indicios de la estabilización que el régimen de Metas de Inflación vendría a consolidar. Este es el punto exacto en el que la teoría de la Paridad Descubierta de Tasas de Interés, desarrollada en el pilar siguiente, comienza a operar como marco interpretativo de los datos.</w:t>
      </w:r>
    </w:p>
    <w:p w14:paraId="4EBF5B9E"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4" w:name="_Toc233474062"/>
      <w:r>
        <w:rPr>
          <w:rFonts w:ascii="Arial" w:eastAsia="Arial" w:hAnsi="Arial" w:cs="Arial"/>
          <w:b/>
          <w:bCs/>
          <w:i/>
          <w:iCs/>
          <w:color w:val="000000"/>
          <w:lang w:val="es-ES" w:eastAsia="es-ES"/>
        </w:rPr>
        <w:t>Pilar 1: Paridad Descubierta de Tasas de Interés (UIP)</w:t>
      </w:r>
      <w:bookmarkEnd w:id="14"/>
    </w:p>
    <w:p w14:paraId="1E2AABBF"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condición de UIP (Keynes, 1923; Frenkel, 1973) establece que, bajo libre movilidad de capitales y neutralidad al riesgo, el diferencial de tasas nominales entre dos países debe igualarse a la depreciación esperada del tipo de cambio:</w:t>
      </w:r>
    </w:p>
    <w:p w14:paraId="660B6EB7"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E</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 / TC</w:t>
      </w:r>
      <w:r>
        <w:rPr>
          <w:rFonts w:ascii="Cambria Math" w:eastAsia="Arial" w:hAnsi="Cambria Math" w:cs="Cambria Math"/>
          <w:i/>
          <w:iCs/>
          <w:lang w:val="es-ES" w:eastAsia="es-ES"/>
        </w:rPr>
        <w:t>ₜ</w:t>
      </w:r>
      <w:r>
        <w:rPr>
          <w:rFonts w:ascii="Arial" w:eastAsia="Arial" w:hAnsi="Arial" w:cs="Arial"/>
          <w:i/>
          <w:iCs/>
          <w:lang w:val="es-ES" w:eastAsia="es-ES"/>
        </w:rPr>
        <w:t>]</w:t>
      </w:r>
      <w:r>
        <w:rPr>
          <w:rFonts w:ascii="Arial" w:eastAsia="Arial" w:hAnsi="Arial" w:cs="Arial"/>
          <w:lang w:val="es-ES" w:eastAsia="es-ES"/>
        </w:rPr>
        <w:tab/>
        <w:t>(1)</w:t>
      </w:r>
    </w:p>
    <w:p w14:paraId="5FA3426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donde i</w:t>
      </w:r>
      <w:r>
        <w:rPr>
          <w:rFonts w:ascii="Arial" w:eastAsia="Arial" w:hAnsi="Arial" w:cs="Arial"/>
          <w:vertAlign w:val="subscript"/>
          <w:lang w:val="es-ES" w:eastAsia="es-ES"/>
        </w:rPr>
        <w:t>t</w:t>
      </w:r>
      <w:r>
        <w:rPr>
          <w:rFonts w:ascii="Arial" w:eastAsia="Arial" w:hAnsi="Arial" w:cs="Arial"/>
          <w:lang w:val="es-ES" w:eastAsia="es-ES"/>
        </w:rPr>
        <w:t>(Gs) es la tasa pasiva del CDA en guaraníes, i</w:t>
      </w:r>
      <w:r>
        <w:rPr>
          <w:rFonts w:ascii="Arial" w:eastAsia="Arial" w:hAnsi="Arial" w:cs="Arial"/>
          <w:vertAlign w:val="subscript"/>
          <w:lang w:val="es-ES" w:eastAsia="es-ES"/>
        </w:rPr>
        <w:t>t</w:t>
      </w:r>
      <w:r>
        <w:rPr>
          <w:rFonts w:ascii="Arial" w:eastAsia="Arial" w:hAnsi="Arial" w:cs="Arial"/>
          <w:lang w:val="es-ES" w:eastAsia="es-ES"/>
        </w:rPr>
        <w:t>(USD) la del CDA en dólares y TC</w:t>
      </w:r>
      <w:r>
        <w:rPr>
          <w:rFonts w:ascii="Arial" w:eastAsia="Arial" w:hAnsi="Arial" w:cs="Arial"/>
          <w:vertAlign w:val="subscript"/>
          <w:lang w:val="es-ES" w:eastAsia="es-ES"/>
        </w:rPr>
        <w:t>t</w:t>
      </w:r>
      <w:r>
        <w:rPr>
          <w:rFonts w:ascii="Arial" w:eastAsia="Arial" w:hAnsi="Arial" w:cs="Arial"/>
          <w:lang w:val="es-ES" w:eastAsia="es-ES"/>
        </w:rPr>
        <w:t xml:space="preserve"> el tipo de cambio nominal guaraní/dólar al cierre del trimestre t. El diferencial de retornos </w:t>
      </w:r>
      <w:r>
        <w:rPr>
          <w:rFonts w:ascii="Arial" w:eastAsia="Arial" w:hAnsi="Arial" w:cs="Arial"/>
          <w:i/>
          <w:iCs/>
          <w:lang w:val="es-ES" w:eastAsia="es-ES"/>
        </w:rPr>
        <w:t>ex post</w:t>
      </w:r>
      <w:r>
        <w:rPr>
          <w:rFonts w:ascii="Arial" w:eastAsia="Arial" w:hAnsi="Arial" w:cs="Arial"/>
          <w:lang w:val="es-ES" w:eastAsia="es-ES"/>
        </w:rPr>
        <w:t xml:space="preserve"> (la ganancia o pérdida efectiva de haber depositado en guaraníes respecto de haber depositado en dólares) se define como:</w:t>
      </w:r>
    </w:p>
    <w:p w14:paraId="1536BCFD"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DR</w:t>
      </w:r>
      <w:r>
        <w:rPr>
          <w:rFonts w:ascii="Cambria Math" w:eastAsia="Arial" w:hAnsi="Cambria Math" w:cs="Cambria Math"/>
          <w:i/>
          <w:iCs/>
          <w:lang w:val="es-ES" w:eastAsia="es-ES"/>
        </w:rPr>
        <w:t>ₜ₊₁</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w:t>
      </w:r>
      <w:r>
        <w:rPr>
          <w:rFonts w:ascii="Arial" w:eastAsia="Arial" w:hAnsi="Arial" w:cs="Arial"/>
          <w:i/>
          <w:iCs/>
          <w:lang w:val="es-ES" w:eastAsia="es-ES"/>
        </w:rPr>
        <w:t>] × 100</w:t>
      </w:r>
      <w:r>
        <w:rPr>
          <w:rFonts w:ascii="Arial" w:eastAsia="Arial" w:hAnsi="Arial" w:cs="Arial"/>
          <w:lang w:val="es-ES" w:eastAsia="es-ES"/>
        </w:rPr>
        <w:tab/>
        <w:t>(2)</w:t>
      </w:r>
    </w:p>
    <w:p w14:paraId="6FFCF466"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Bajo UIP, E[DR</w:t>
      </w:r>
      <w:r>
        <w:rPr>
          <w:rFonts w:ascii="Arial" w:eastAsia="Arial" w:hAnsi="Arial" w:cs="Arial"/>
          <w:vertAlign w:val="subscript"/>
          <w:lang w:val="es-ES" w:eastAsia="es-ES"/>
        </w:rPr>
        <w:t>t+1</w:t>
      </w:r>
      <w:r>
        <w:rPr>
          <w:rFonts w:ascii="Arial" w:eastAsia="Arial" w:hAnsi="Arial" w:cs="Arial"/>
          <w:lang w:val="es-ES" w:eastAsia="es-ES"/>
        </w:rPr>
        <w:t>] = 0. Un valor positivo y persistente de DR</w:t>
      </w:r>
      <w:r>
        <w:rPr>
          <w:rFonts w:ascii="Arial" w:eastAsia="Arial" w:hAnsi="Arial" w:cs="Arial"/>
          <w:vertAlign w:val="subscript"/>
          <w:lang w:val="es-ES" w:eastAsia="es-ES"/>
        </w:rPr>
        <w:t>t+1</w:t>
      </w:r>
      <w:r>
        <w:rPr>
          <w:rFonts w:ascii="Arial" w:eastAsia="Arial" w:hAnsi="Arial" w:cs="Arial"/>
          <w:lang w:val="es-ES" w:eastAsia="es-ES"/>
        </w:rPr>
        <w:t xml:space="preserve"> constituye evidencia de una prima de riesgo cambiario a favor del guaraní que el mercado no arbitra por completo (Hansen &amp; Hodrick, 1980).</w:t>
      </w:r>
    </w:p>
    <w:p w14:paraId="5638D9A0"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5" w:name="_Toc233474063"/>
      <w:r>
        <w:rPr>
          <w:rFonts w:ascii="Arial" w:eastAsia="Arial" w:hAnsi="Arial" w:cs="Arial"/>
          <w:b/>
          <w:bCs/>
          <w:i/>
          <w:iCs/>
          <w:color w:val="000000"/>
          <w:lang w:val="es-ES" w:eastAsia="es-ES"/>
        </w:rPr>
        <w:t>Pilar 2: El «forward premium puzzle» y el coeficiente de Fama</w:t>
      </w:r>
      <w:bookmarkEnd w:id="15"/>
    </w:p>
    <w:p w14:paraId="5E01B09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literatura empírica documenta sistemáticamente que la UIP no se cumple. Fama (1984) demostró que, al estimar la regresión:</w:t>
      </w:r>
    </w:p>
    <w:p w14:paraId="01E11037"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lastRenderedPageBreak/>
        <w:tab/>
      </w:r>
      <w:r>
        <w:rPr>
          <w:rFonts w:ascii="Arial" w:eastAsia="Arial" w:hAnsi="Arial" w:cs="Arial"/>
          <w:i/>
          <w:iCs/>
          <w:lang w:val="es-ES" w:eastAsia="es-ES"/>
        </w:rPr>
        <w:t>Δs</w:t>
      </w:r>
      <w:r>
        <w:rPr>
          <w:rFonts w:ascii="Cambria Math" w:eastAsia="Arial" w:hAnsi="Cambria Math" w:cs="Cambria Math"/>
          <w:i/>
          <w:iCs/>
          <w:lang w:val="es-ES" w:eastAsia="es-ES"/>
        </w:rPr>
        <w:t>ₜ₊₁</w:t>
      </w:r>
      <w:r>
        <w:rPr>
          <w:rFonts w:ascii="Arial" w:eastAsia="Arial" w:hAnsi="Arial" w:cs="Arial"/>
          <w:i/>
          <w:iCs/>
          <w:lang w:val="es-ES" w:eastAsia="es-ES"/>
        </w:rPr>
        <w:t xml:space="preserve"> = α + β·[i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ε</w:t>
      </w:r>
      <w:r>
        <w:rPr>
          <w:rFonts w:ascii="Cambria Math" w:eastAsia="Arial" w:hAnsi="Cambria Math" w:cs="Cambria Math"/>
          <w:i/>
          <w:iCs/>
          <w:lang w:val="es-ES" w:eastAsia="es-ES"/>
        </w:rPr>
        <w:t>ₜ₊₁</w:t>
      </w:r>
      <w:r>
        <w:rPr>
          <w:rFonts w:ascii="Arial" w:eastAsia="Arial" w:hAnsi="Arial" w:cs="Arial"/>
          <w:lang w:val="es-ES" w:eastAsia="es-ES"/>
        </w:rPr>
        <w:tab/>
        <w:t>(3)</w:t>
      </w:r>
    </w:p>
    <w:p w14:paraId="3237C2A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donde Δs</w:t>
      </w:r>
      <w:r>
        <w:rPr>
          <w:rFonts w:ascii="Arial" w:eastAsia="Arial" w:hAnsi="Arial" w:cs="Arial"/>
          <w:vertAlign w:val="subscript"/>
          <w:lang w:val="es-ES" w:eastAsia="es-ES"/>
        </w:rPr>
        <w:t>t+1</w:t>
      </w:r>
      <w:r>
        <w:rPr>
          <w:rFonts w:ascii="Arial" w:eastAsia="Arial" w:hAnsi="Arial" w:cs="Arial"/>
          <w:lang w:val="es-ES" w:eastAsia="es-ES"/>
        </w:rPr>
        <w:t xml:space="preserve"> es la depreciación efectiva del guaraní, el coeficiente β resulta menor que 1 (e incluso negativo en muchas economías emergentes) (Fama, 1984). Un β &lt; 1 implica que el guaraní no se deprecia tanto como predice el diferencial de tasas, de modo que el tenedor de CDA en guaraníes obtiene un retorno neto positivo. Un β &lt; 0, el hallazgo más extremo del </w:t>
      </w:r>
      <w:r>
        <w:rPr>
          <w:rFonts w:ascii="Arial" w:eastAsia="Arial" w:hAnsi="Arial" w:cs="Arial"/>
          <w:i/>
          <w:iCs/>
          <w:lang w:val="es-ES" w:eastAsia="es-ES"/>
        </w:rPr>
        <w:t>forward premium puzzle</w:t>
      </w:r>
      <w:r>
        <w:rPr>
          <w:rFonts w:ascii="Arial" w:eastAsia="Arial" w:hAnsi="Arial" w:cs="Arial"/>
          <w:lang w:val="es-ES" w:eastAsia="es-ES"/>
        </w:rPr>
        <w:t xml:space="preserve">, indica que una tasa más alta en guaraníes se asocia, en promedio, con una </w:t>
      </w:r>
      <w:r>
        <w:rPr>
          <w:rFonts w:ascii="Arial" w:eastAsia="Arial" w:hAnsi="Arial" w:cs="Arial"/>
          <w:i/>
          <w:iCs/>
          <w:lang w:val="es-ES" w:eastAsia="es-ES"/>
        </w:rPr>
        <w:t>apreciación</w:t>
      </w:r>
      <w:r>
        <w:rPr>
          <w:rFonts w:ascii="Arial" w:eastAsia="Arial" w:hAnsi="Arial" w:cs="Arial"/>
          <w:lang w:val="es-ES" w:eastAsia="es-ES"/>
        </w:rPr>
        <w:t xml:space="preserve"> del guaraní, lo opuesto de lo que predice la UIP. Este fenómeno tiene una explicación intuitiva en el caso paraguayo: tasas domésticas altas pueden atraer capital externo, que aprecia el guaraní en lugar de depreciarlo. La encuesta de Engel (1996) confirma que el fenómeno es robusto en una amplia muestra de países y períodos.</w:t>
      </w:r>
    </w:p>
    <w:p w14:paraId="2033751C"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Operacionalización. </w:t>
      </w:r>
      <w:r>
        <w:rPr>
          <w:rFonts w:ascii="Arial" w:eastAsia="Arial" w:hAnsi="Arial" w:cs="Arial"/>
          <w:lang w:val="es-ES" w:eastAsia="es-ES"/>
        </w:rPr>
        <w:t xml:space="preserve">A diferencia de su tratamiento como antecedente meramente ilustrativo, en esta investigación la regresión de Fama se incorpora como corroboración empírica secundaria (Etapa 2), estimándose el coeficiente β para el período completo y para cada subperíodo. Esto permite evaluar si el grado de incumplimiento de la UIP cambió tras 2011 y articula el Pilar 2 con la estrategia econométrica, en lugar de dejarlo como un marco puramente expositivo.</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Alcance del fenómeno en economías emergentes. </w:t>
      </w:r>
      <w:r>
        <w:rPr>
          <w:rFonts w:ascii="Arial" w:eastAsia="Arial" w:hAnsi="Arial" w:cs="Arial"/>
          <w:lang w:val="es-ES" w:eastAsia="es-ES"/>
        </w:rPr>
        <w:t xml:space="preserve">Para los propósitos de esta investigación, la relevancia del </w:t>
      </w:r>
      <w:r>
        <w:rPr>
          <w:rFonts w:ascii="Arial" w:eastAsia="Arial" w:hAnsi="Arial" w:cs="Arial"/>
          <w:i/>
          <w:iCs/>
          <w:lang w:val="es-ES" w:eastAsia="es-ES"/>
        </w:rPr>
        <w:t>forward premium puzzle</w:t>
      </w:r>
      <w:r>
        <w:rPr>
          <w:rFonts w:ascii="Arial" w:eastAsia="Arial" w:hAnsi="Arial" w:cs="Arial"/>
          <w:lang w:val="es-ES" w:eastAsia="es-ES"/>
        </w:rPr>
        <w:t xml:space="preserve"> no se agota en su interés teórico sino en su manifestación específica en economías como Paraguay. Bansal y Dahlquist (2000) analizaron el </w:t>
      </w:r>
      <w:r>
        <w:rPr>
          <w:rFonts w:ascii="Arial" w:eastAsia="Arial" w:hAnsi="Arial" w:cs="Arial"/>
          <w:i/>
          <w:iCs/>
          <w:lang w:val="es-ES" w:eastAsia="es-ES"/>
        </w:rPr>
        <w:t>puzzle</w:t>
      </w:r>
      <w:r>
        <w:rPr>
          <w:rFonts w:ascii="Arial" w:eastAsia="Arial" w:hAnsi="Arial" w:cs="Arial"/>
          <w:lang w:val="es-ES" w:eastAsia="es-ES"/>
        </w:rPr>
        <w:t xml:space="preserve"> en una muestra amplia de países y encontraron que el rechazo de la UIP es sistemáticamente más pronunciado en las economías con menores ingresos per cápita, mayor volatilidad inflacionaria y mercados financieros menos desarrollados —exactamente las características del entorno financiero paraguayo del período estudiado. En términos del coeficiente β, ello significa que en economías como Paraguay el incumplimiento de la UIP tiende a ser de mayor magnitud, de modo que el diferencial de retornos </w:t>
      </w:r>
      <w:r>
        <w:rPr>
          <w:rFonts w:ascii="Arial" w:eastAsia="Arial" w:hAnsi="Arial" w:cs="Arial"/>
          <w:i/>
          <w:iCs/>
          <w:lang w:val="es-ES" w:eastAsia="es-ES"/>
        </w:rPr>
        <w:t>ex post</w:t>
      </w:r>
      <w:r>
        <w:rPr>
          <w:rFonts w:ascii="Arial" w:eastAsia="Arial" w:hAnsi="Arial" w:cs="Arial"/>
          <w:lang w:val="es-ES" w:eastAsia="es-ES"/>
        </w:rPr>
        <w:t xml:space="preserve"> observable (DRₜ₊₁) tiende a ser más positivo y más persistente que en las economías avanzadas para las que el </w:t>
      </w:r>
      <w:r>
        <w:rPr>
          <w:rFonts w:ascii="Arial" w:eastAsia="Arial" w:hAnsi="Arial" w:cs="Arial"/>
          <w:i/>
          <w:iCs/>
          <w:lang w:val="es-ES" w:eastAsia="es-ES"/>
        </w:rPr>
        <w:t>puzzle</w:t>
      </w:r>
      <w:r>
        <w:rPr>
          <w:rFonts w:ascii="Arial" w:eastAsia="Arial" w:hAnsi="Arial" w:cs="Arial"/>
          <w:lang w:val="es-ES" w:eastAsia="es-ES"/>
        </w:rPr>
        <w:t xml:space="preserve"> fue originalmente documentado.</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Explicaciones y estado del debate. </w:t>
      </w:r>
      <w:r>
        <w:rPr>
          <w:rFonts w:ascii="Arial" w:eastAsia="Arial" w:hAnsi="Arial" w:cs="Arial"/>
          <w:lang w:val="es-ES" w:eastAsia="es-ES"/>
        </w:rPr>
        <w:t xml:space="preserve">Cuatro familias de explicación han competido en la literatura sin que ninguna haya alcanzado aceptación definitiva. La primera es la </w:t>
      </w:r>
      <w:r>
        <w:rPr>
          <w:rFonts w:ascii="Arial" w:eastAsia="Arial" w:hAnsi="Arial" w:cs="Arial"/>
          <w:i/>
          <w:iCs/>
          <w:lang w:val="es-ES" w:eastAsia="es-ES"/>
        </w:rPr>
        <w:t>prima de riesgo variable en el tiempo</w:t>
      </w:r>
      <w:r>
        <w:rPr>
          <w:rFonts w:ascii="Arial" w:eastAsia="Arial" w:hAnsi="Arial" w:cs="Arial"/>
          <w:lang w:val="es-ES" w:eastAsia="es-ES"/>
        </w:rPr>
        <w:t xml:space="preserve">: si los inversores son aversos al riesgo y el dólar opera como activo de refugio, aceptarán un retorno esperado más bajo en dólares a cambio de esa seguridad, y la moneda de mayor riesgo —el guaraní— debe prometer un retorno esperado más alto para ser sostenida en cartera. La segunda es el </w:t>
      </w:r>
      <w:r>
        <w:rPr>
          <w:rFonts w:ascii="Arial" w:eastAsia="Arial" w:hAnsi="Arial" w:cs="Arial"/>
          <w:i/>
          <w:iCs/>
          <w:lang w:val="es-ES" w:eastAsia="es-ES"/>
        </w:rPr>
        <w:t>problema del peso</w:t>
      </w:r>
      <w:r>
        <w:rPr>
          <w:rFonts w:ascii="Arial" w:eastAsia="Arial" w:hAnsi="Arial" w:cs="Arial"/>
          <w:lang w:val="es-ES" w:eastAsia="es-ES"/>
        </w:rPr>
        <w:t xml:space="preserve"> (Krasker, 1980): si los agentes asignan una probabilidad pequeña pero positiva a un evento de devaluación abrupta que no se materializa en la muestra, el exceso de retorno a favor de la moneda de mayor tasa puede ser una prima cobrada durante los períodos observados que se revertiría en el evento que la muestra no incluyó; en el caso paraguayo, la historia financiera regional muestra que ese evento no es hipotético. La tercera, más cercana a las finanzas del comportamiento, atribuye el fenómeno a errores sistemáticos de predicción sobre el tipo de cambio (Engel, 1996).</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Una cuarta explicación conecta el </w:t>
      </w:r>
      <w:r>
        <w:rPr>
          <w:rFonts w:ascii="Arial" w:eastAsia="Arial" w:hAnsi="Arial" w:cs="Arial"/>
          <w:i/>
          <w:iCs/>
          <w:lang w:val="es-ES" w:eastAsia="es-ES"/>
        </w:rPr>
        <w:t>puzzle</w:t>
      </w:r>
      <w:r>
        <w:rPr>
          <w:rFonts w:ascii="Arial" w:eastAsia="Arial" w:hAnsi="Arial" w:cs="Arial"/>
          <w:lang w:val="es-ES" w:eastAsia="es-ES"/>
        </w:rPr>
        <w:t xml:space="preserve"> con el </w:t>
      </w:r>
      <w:r>
        <w:rPr>
          <w:rFonts w:ascii="Arial" w:eastAsia="Arial" w:hAnsi="Arial" w:cs="Arial"/>
          <w:i/>
          <w:iCs/>
          <w:lang w:val="es-ES" w:eastAsia="es-ES"/>
        </w:rPr>
        <w:t>carry trade</w:t>
      </w:r>
      <w:r>
        <w:rPr>
          <w:rFonts w:ascii="Arial" w:eastAsia="Arial" w:hAnsi="Arial" w:cs="Arial"/>
          <w:lang w:val="es-ES" w:eastAsia="es-ES"/>
        </w:rPr>
        <w:t xml:space="preserve">. Brunnermeier, Nagel y Pedersen (2009) documentaron que los inversores institucionales explotan sistemáticamente el </w:t>
      </w:r>
      <w:r>
        <w:rPr>
          <w:rFonts w:ascii="Arial" w:eastAsia="Arial" w:hAnsi="Arial" w:cs="Arial"/>
          <w:i/>
          <w:iCs/>
          <w:lang w:val="es-ES" w:eastAsia="es-ES"/>
        </w:rPr>
        <w:t>forward premium</w:t>
      </w:r>
      <w:r>
        <w:rPr>
          <w:rFonts w:ascii="Arial" w:eastAsia="Arial" w:hAnsi="Arial" w:cs="Arial"/>
          <w:lang w:val="es-ES" w:eastAsia="es-ES"/>
        </w:rPr>
        <w:t xml:space="preserve"> tomando posiciones largas en monedas de alta tasa y cortas en monedas de baja tasa, con retornos promedio positivos pero expuestos a pérdidas súbitas cuando la aversión global al riesgo se eleva. En el contexto paraguayo, el mecanismo es directo: cuando la TPM del BCP se sitúa por encima de las tasas internacionales, los flujos de capital de corto plazo buscan capturar ese diferencial invirtiendo en instrumentos en guaraníes; esos flujos aprecian el guaraní en el corto plazo —produciendo la asociación inversa entre diferencial de tasas y depreciación que genera el β &lt; 0— y se revierten cuando el diferencial se estrecha o el costo del riesgo externo aumenta. La asimetría entre la apreciación gradual durante los períodos de </w:t>
      </w:r>
      <w:r>
        <w:rPr>
          <w:rFonts w:ascii="Arial" w:eastAsia="Arial" w:hAnsi="Arial" w:cs="Arial"/>
          <w:i/>
          <w:iCs/>
          <w:lang w:val="es-ES" w:eastAsia="es-ES"/>
        </w:rPr>
        <w:t>carry</w:t>
      </w:r>
      <w:r>
        <w:rPr>
          <w:rFonts w:ascii="Arial" w:eastAsia="Arial" w:hAnsi="Arial" w:cs="Arial"/>
          <w:lang w:val="es-ES" w:eastAsia="es-ES"/>
        </w:rPr>
        <w:t xml:space="preserve"> y la depreciación brusca durante las reversiones es, precisamente, el fenómeno que la serie conservadora DRᶜᵒⁿˢ está diseñada para capturar al excluir de su cálculo los episodios de apreciación. El episodio de 2011, cuando la adopción del régimen y la suba de la TPM coincidieron con una apreciación pronunciada del guaraní, ilustra este mecanismo con nitidez y justifica el tratamiento conservador del diferencial adoptado en la Etapa 2.</w:t>
      </w:r>
    </w:p>
    <w:p w14:paraId="712087FD"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6" w:name="_Toc233474064"/>
      <w:r>
        <w:rPr>
          <w:rFonts w:ascii="Arial" w:eastAsia="Arial" w:hAnsi="Arial" w:cs="Arial"/>
          <w:b/>
          <w:bCs/>
          <w:i/>
          <w:iCs/>
          <w:color w:val="000000"/>
          <w:lang w:val="es-ES" w:eastAsia="es-ES"/>
        </w:rPr>
        <w:t>Pilar 3: Descomposición de Fisher — prima de inflación vs. prima de riesgo</w:t>
      </w:r>
      <w:bookmarkEnd w:id="16"/>
    </w:p>
    <w:p w14:paraId="080DE66E"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ecuación de Fisher (Fisher, 1930) permite descomponer el diferencial de tasas nominales en dos componentes económicamente distintos:</w:t>
      </w:r>
    </w:p>
    <w:p w14:paraId="184DC4A2"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(πᵉ</w:t>
      </w:r>
      <w:r>
        <w:rPr>
          <w:rFonts w:ascii="Cambria Math" w:eastAsia="Arial" w:hAnsi="Cambria Math" w:cs="Cambria Math"/>
          <w:i/>
          <w:iCs/>
          <w:lang w:val="es-ES" w:eastAsia="es-ES"/>
        </w:rPr>
        <w:t>ₜ</w:t>
      </w:r>
      <w:r>
        <w:rPr>
          <w:rFonts w:ascii="Arial" w:eastAsia="Arial" w:hAnsi="Arial" w:cs="Arial"/>
          <w:i/>
          <w:iCs/>
          <w:lang w:val="es-ES" w:eastAsia="es-ES"/>
        </w:rPr>
        <w:t>,PY − πᵉ</w:t>
      </w:r>
      <w:r>
        <w:rPr>
          <w:rFonts w:ascii="Cambria Math" w:eastAsia="Arial" w:hAnsi="Cambria Math" w:cs="Cambria Math"/>
          <w:i/>
          <w:iCs/>
          <w:lang w:val="es-ES" w:eastAsia="es-ES"/>
        </w:rPr>
        <w:t>ₜ</w:t>
      </w:r>
      <w:r>
        <w:rPr>
          <w:rFonts w:ascii="Arial" w:eastAsia="Arial" w:hAnsi="Arial" w:cs="Arial"/>
          <w:i/>
          <w:iCs/>
          <w:lang w:val="es-ES" w:eastAsia="es-ES"/>
        </w:rPr>
        <w:t>,US) + (r</w:t>
      </w:r>
      <w:r>
        <w:rPr>
          <w:rFonts w:ascii="Cambria Math" w:eastAsia="Arial" w:hAnsi="Cambria Math" w:cs="Cambria Math"/>
          <w:i/>
          <w:iCs/>
          <w:lang w:val="es-ES" w:eastAsia="es-ES"/>
        </w:rPr>
        <w:t>ₜ</w:t>
      </w:r>
      <w:r>
        <w:rPr>
          <w:rFonts w:ascii="Arial" w:eastAsia="Arial" w:hAnsi="Arial" w:cs="Arial"/>
          <w:i/>
          <w:iCs/>
          <w:lang w:val="es-ES" w:eastAsia="es-ES"/>
        </w:rPr>
        <w:t>,Gs − r</w:t>
      </w:r>
      <w:r>
        <w:rPr>
          <w:rFonts w:ascii="Cambria Math" w:eastAsia="Arial" w:hAnsi="Cambria Math" w:cs="Cambria Math"/>
          <w:i/>
          <w:iCs/>
          <w:lang w:val="es-ES" w:eastAsia="es-ES"/>
        </w:rPr>
        <w:t>ₜ</w:t>
      </w:r>
      <w:r>
        <w:rPr>
          <w:rFonts w:ascii="Arial" w:eastAsia="Arial" w:hAnsi="Arial" w:cs="Arial"/>
          <w:i/>
          <w:iCs/>
          <w:lang w:val="es-ES" w:eastAsia="es-ES"/>
        </w:rPr>
        <w:t>,USD)</w:t>
      </w:r>
      <w:r>
        <w:rPr>
          <w:rFonts w:ascii="Arial" w:eastAsia="Arial" w:hAnsi="Arial" w:cs="Arial"/>
          <w:lang w:val="es-ES" w:eastAsia="es-ES"/>
        </w:rPr>
        <w:tab/>
        <w:t>(4)</w:t>
      </w:r>
    </w:p>
    <w:p w14:paraId="7A7D36F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primer término, (π</w:t>
      </w:r>
      <w:r>
        <w:rPr>
          <w:rFonts w:ascii="Arial" w:eastAsia="Arial" w:hAnsi="Arial" w:cs="Arial"/>
          <w:vertAlign w:val="superscript"/>
          <w:lang w:val="es-ES" w:eastAsia="es-ES"/>
        </w:rPr>
        <w:t>e</w:t>
      </w:r>
      <w:r>
        <w:rPr>
          <w:rFonts w:ascii="Arial" w:eastAsia="Arial" w:hAnsi="Arial" w:cs="Arial"/>
          <w:vertAlign w:val="subscript"/>
          <w:lang w:val="es-ES" w:eastAsia="es-ES"/>
        </w:rPr>
        <w:t>t,PY</w:t>
      </w:r>
      <w:r>
        <w:rPr>
          <w:rFonts w:ascii="Arial" w:eastAsia="Arial" w:hAnsi="Arial" w:cs="Arial"/>
          <w:lang w:val="es-ES" w:eastAsia="es-ES"/>
        </w:rPr>
        <w:t xml:space="preserve"> − π</w:t>
      </w:r>
      <w:r>
        <w:rPr>
          <w:rFonts w:ascii="Arial" w:eastAsia="Arial" w:hAnsi="Arial" w:cs="Arial"/>
          <w:vertAlign w:val="superscript"/>
          <w:lang w:val="es-ES" w:eastAsia="es-ES"/>
        </w:rPr>
        <w:t>e</w:t>
      </w:r>
      <w:r>
        <w:rPr>
          <w:rFonts w:ascii="Arial" w:eastAsia="Arial" w:hAnsi="Arial" w:cs="Arial"/>
          <w:vertAlign w:val="subscript"/>
          <w:lang w:val="es-ES" w:eastAsia="es-ES"/>
        </w:rPr>
        <w:t>t,US</w:t>
      </w:r>
      <w:r>
        <w:rPr>
          <w:rFonts w:ascii="Arial" w:eastAsia="Arial" w:hAnsi="Arial" w:cs="Arial"/>
          <w:lang w:val="es-ES" w:eastAsia="es-ES"/>
        </w:rPr>
        <w:t>), es la prima de inflación esperada: el guaraní debe pagar más simplemente porque se espera que los precios en Paraguay suban más que en Estados Unidos. Esta parte del diferencial no representa un beneficio real. El segundo término, (r</w:t>
      </w:r>
      <w:r>
        <w:rPr>
          <w:rFonts w:ascii="Arial" w:eastAsia="Arial" w:hAnsi="Arial" w:cs="Arial"/>
          <w:vertAlign w:val="subscript"/>
          <w:lang w:val="es-ES" w:eastAsia="es-ES"/>
        </w:rPr>
        <w:t>t,Gs</w:t>
      </w:r>
      <w:r>
        <w:rPr>
          <w:rFonts w:ascii="Arial" w:eastAsia="Arial" w:hAnsi="Arial" w:cs="Arial"/>
          <w:lang w:val="es-ES" w:eastAsia="es-ES"/>
        </w:rPr>
        <w:t xml:space="preserve"> − r</w:t>
      </w:r>
      <w:r>
        <w:rPr>
          <w:rFonts w:ascii="Arial" w:eastAsia="Arial" w:hAnsi="Arial" w:cs="Arial"/>
          <w:vertAlign w:val="subscript"/>
          <w:lang w:val="es-ES" w:eastAsia="es-ES"/>
        </w:rPr>
        <w:t>t,USD</w:t>
      </w:r>
      <w:r>
        <w:rPr>
          <w:rFonts w:ascii="Arial" w:eastAsia="Arial" w:hAnsi="Arial" w:cs="Arial"/>
          <w:lang w:val="es-ES" w:eastAsia="es-ES"/>
        </w:rPr>
        <w:t xml:space="preserve">), es el diferencial de tasas reales, que captura la prima de riesgo </w:t>
        <w:lastRenderedPageBreak/>
        <w:t>cambiario y financiero: la compensación adicional que el mercado exige por el riesgo de sostener activos en moneda doméstica.</w:t>
      </w:r>
    </w:p>
    <w:p w14:paraId="30B1AF5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Esta distinción es central para interpretar el efecto de 2011. El régimen de Metas de Inflación actúa principalmente sobre el primer componente (Svensson, 1997; Mishkin, 2004). Sin embargo, la prima de riesgo real puede persistir aunque la inflación se estabilice, porque refleja riesgos estructurales que la credibilidad monetaria no elimina (Mishkin &amp; Schmidt-Hebbel, 2007). Conviene precisar que la prima de riesgo no es homogénea: dentro de ella conviven al menos dos fuentes —el </w:t>
      </w:r>
      <w:r>
        <w:rPr>
          <w:rFonts w:ascii="Arial" w:eastAsia="Arial" w:hAnsi="Arial" w:cs="Arial"/>
          <w:b/>
          <w:bCs/>
          <w:lang w:val="es-ES" w:eastAsia="es-ES"/>
        </w:rPr>
        <w:t>riesgo de depreciación cambiaria</w:t>
      </w:r>
      <w:r>
        <w:rPr>
          <w:rFonts w:ascii="Arial" w:eastAsia="Arial" w:hAnsi="Arial" w:cs="Arial"/>
          <w:lang w:val="es-ES" w:eastAsia="es-ES"/>
        </w:rPr>
        <w:t xml:space="preserve"> y el </w:t>
      </w:r>
      <w:r>
        <w:rPr>
          <w:rFonts w:ascii="Arial" w:eastAsia="Arial" w:hAnsi="Arial" w:cs="Arial"/>
          <w:b/>
          <w:bCs/>
          <w:lang w:val="es-ES" w:eastAsia="es-ES"/>
        </w:rPr>
        <w:t>riesgo de iliquidez</w:t>
      </w:r>
      <w:r>
        <w:rPr>
          <w:rFonts w:ascii="Arial" w:eastAsia="Arial" w:hAnsi="Arial" w:cs="Arial"/>
          <w:lang w:val="es-ES" w:eastAsia="es-ES"/>
        </w:rPr>
        <w:t xml:space="preserve"> del mercado de fondos prestables. La hipótesis de recomposición sostiene que, tras 2011, el anclaje de expectativas comprime el riesgo de depreciación percibido, de modo que la prima de riesgo que sobrevive pasa a estar dominada por el componente de iliquidez. Detectar esta migración interna es la contribución analítica central de este trabajo.</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El mecanismo de la recomposición. </w:t>
      </w:r>
      <w:r>
        <w:rPr>
          <w:rFonts w:ascii="Arial" w:eastAsia="Arial" w:hAnsi="Arial" w:cs="Arial"/>
          <w:lang w:val="es-ES" w:eastAsia="es-ES"/>
        </w:rPr>
        <w:t xml:space="preserve">La prima de riesgo combina un componente expectacional y un componente estructural, y esa distinción es el mecanismo que fundamenta la hipótesis. El componente expectacional —el riesgo de depreciación percibido— depende de las expectativas de inflación y de tipo de cambio: un régimen de metas creíble las ancla y, por esa vía, lo comprime. El componente estructural —la segmentación del mercado de fondos prestables derivada de la dolarización de los depósitos y del encaje diferenciado por moneda— responde a fricciones reales del sistema financiero y no a expectativas, por lo que el anclaje nominal no lo remueve (Calvo &amp; Reinhart, 2002; Ize &amp; Levy-Yeyati, 2003). De esa asimetría se deriva la predicción central: tras un cambio de régimen creíble, la prima que sobrevive queda dominada por el componente estructural de iliquidez; los dos términos de interacción del modelo de la Etapa 5 son, precisamente, la medida de ese desplazamiento.</w:t>
      </w:r>
    </w:p>
    <w:p w14:paraId="2B9F8254"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7" w:name="_Toc233474065"/>
      <w:r>
        <w:rPr>
          <w:rFonts w:ascii="Arial" w:eastAsia="Arial" w:hAnsi="Arial" w:cs="Arial"/>
          <w:b/>
          <w:bCs/>
          <w:i/>
          <w:iCs/>
          <w:color w:val="000000"/>
          <w:lang w:val="es-ES" w:eastAsia="es-ES"/>
        </w:rPr>
        <w:t>Pilar 4: El régimen de Metas de Inflación en Paraguay — qué pasó en 2011</w:t>
      </w:r>
      <w:bookmarkEnd w:id="17"/>
    </w:p>
    <w:p w14:paraId="2157AA6F"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Antes de mayo de 2011, la política monetaria del BCP se conducía mediante el control de agregados monetarios (M1, M2). Este esquema generaba considerable incertidumbre sobre la trayectoria futura de la inflación y el tipo de cambio: la inflación del período previo al cambio de régimen fue volátil, con episodios recurrentes de aceleración. Esa incertidumbre se traducía en una alta prima de inflación dentro del diferencial de tasas entre guaraníes y dólares.</w:t>
      </w:r>
    </w:p>
    <w:p w14:paraId="3B32169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18 de mayo de 2011, el Directorio del BCP adoptó formalmente el esquema de Metas de Inflación mediante la Resolución N.º 22, Acta N.º 31 (Banco Central del Paraguay, 2011). El cambio institucional fue doble: (1) el BCP se comprometió públicamente con una banda de inflación objetivo (inicialmente en torno al 5 % con banda de ±2,5 pp, luego reducida progresivamente hasta el 4 % ± 2 pp y, desde enero de 2025, el 3,5 % ± 2 pp (Resolución N.º 48, Acta N.º 60, del 16 de diciembre de 2024)) y (2) la Tasa de Política Monetaria (TPM) en guaraníes pasó a ser el instrumento operativo central de la política monetaria.</w:t>
      </w:r>
    </w:p>
    <w:p w14:paraId="0B99E73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lastRenderedPageBreak/>
        <w:t>Los resultados observados en el período post-adopción fueron parcialmente consistentes con las predicciones teóricas. La inflación promedio del período posterior a la adopción se redujo de manera sostenida, las expectativas inflacionarias se anclaron con mayor solidez y el BCP ganó credibilidad institucional. La dolarización de depósitos mostró una tendencia descendente de largo plazo, lenta y no lineal; su trayectoria se cuantifica en el capítulo de resultados.</w:t>
      </w:r>
    </w:p>
    <w:p w14:paraId="2A47F79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Sin embargo, el diferencial de retornos no desapareció. Hay tres razones estructurales para ello. Primera: la TPM del BCP se fija en guaraníes y actúa como piso de las tasas domésticas, manteniéndolas sistemáticamente por encima de la tasa internacional de referencia en dólares (Federal Funds Rate) (Mundell, 1963). Segunda: la dolarización parcial preserva la segmentación del mercado de fondos prestables: la oferta abundante de depósitos en dólares (mantenidos como cobertura) presiona a la baja su tasa, mientras la demanda de crédito en guaraníes sostiene las tasas domésticas (Ize &amp; Levy-Yeyati, 2003). Tercera: el forward premium puzzle (Fama, 1984) sugiere que, incluso con Metas de Inflación, el mayor diferencial de tasas no se traduce en depreciación proporcional.</w:t>
      </w:r>
    </w:p>
    <w:p w14:paraId="25F1D75D"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En síntesis, 2011 probablemente redujo la prima de inflación dentro del diferencial, pero no eliminó la prima de riesgo real. El resultado neto sobre el </w:t>
      </w:r>
      <w:r>
        <w:rPr>
          <w:rFonts w:ascii="Arial" w:eastAsia="Arial" w:hAnsi="Arial" w:cs="Arial"/>
          <w:i/>
          <w:iCs/>
          <w:lang w:val="es-ES" w:eastAsia="es-ES"/>
        </w:rPr>
        <w:t>nivel</w:t>
      </w:r>
      <w:r>
        <w:rPr>
          <w:rFonts w:ascii="Arial" w:eastAsia="Arial" w:hAnsi="Arial" w:cs="Arial"/>
          <w:lang w:val="es-ES" w:eastAsia="es-ES"/>
        </w:rPr>
        <w:t xml:space="preserve"> total del diferencial es teóricamente indeterminado; lo determinable, y lo que esta investigación contrasta, es la </w:t>
      </w:r>
      <w:r>
        <w:rPr>
          <w:rFonts w:ascii="Arial" w:eastAsia="Arial" w:hAnsi="Arial" w:cs="Arial"/>
          <w:i/>
          <w:iCs/>
          <w:lang w:val="es-ES" w:eastAsia="es-ES"/>
        </w:rPr>
        <w:t>recomposición</w:t>
      </w:r>
      <w:r>
        <w:rPr>
          <w:rFonts w:ascii="Arial" w:eastAsia="Arial" w:hAnsi="Arial" w:cs="Arial"/>
          <w:lang w:val="es-ES" w:eastAsia="es-ES"/>
        </w:rPr>
        <w:t xml:space="preserve"> de sus componentes: contracción de la prima de inflación y migración del determinante dominante de la prima de riesgo, desde el riesgo de depreciación hacia el riesgo de iliquidez. Esta es precisamente la pregunta empírica que el diseño de la Etapa 5 está construido para responder.</w:t>
      </w:r>
    </w:p>
    <w:p w14:paraId="49DFC228"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8" w:name="_Toc233474066"/>
      <w:r>
        <w:rPr>
          <w:rFonts w:ascii="Arial" w:eastAsia="Arial" w:hAnsi="Arial" w:cs="Arial"/>
          <w:b/>
          <w:bCs/>
          <w:i/>
          <w:iCs/>
          <w:color w:val="000000"/>
          <w:lang w:val="es-ES" w:eastAsia="es-ES"/>
        </w:rPr>
        <w:t>Pilar 5: Determinantes estructurales del diferencial en Paraguay</w:t>
      </w:r>
      <w:bookmarkEnd w:id="18"/>
    </w:p>
    <w:p w14:paraId="28285B4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Además del marco UIP-Fisher, la persistencia del diferencial de retornos en el mercado bancario paraguayo responde a cinco determinantes estructurales:</w:t>
      </w:r>
    </w:p>
    <w:p w14:paraId="2F42E8CC"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lastRenderedPageBreak/>
        <w:t xml:space="preserve">Prima de riesgo cambiario (riesgo de depreciación). </w:t>
      </w:r>
      <w:r>
        <w:rPr>
          <w:rFonts w:ascii="Arial" w:eastAsia="Arial" w:hAnsi="Arial" w:cs="Arial"/>
          <w:lang w:val="es-ES" w:eastAsia="es-ES"/>
        </w:rPr>
        <w:t>El ahorrista en guaraníes asume el riesgo de que la moneda se deprecie durante el plazo del depósito. Para aceptar ese riesgo exige una compensación que se traduce en una tasa más alta. Esta prima existe incluso cuando, ex post, la depreciación resulta menor de lo temido; refleja el precio del riesgo, no solo su realización (Fama, 1984; Engel, 1996). La literatura moderna modela esta prima como el precio de un riesgo sistemático que los mercados de divisas remuneran (Lustig &amp; Verdelhan, 2007); a falta de mercados de derivados locales que revelen ese precio, este trabajo la aproxima con la volatilidad cambiaria realizada (VolTC) — la realización del riesgo, no su precio —, limitación que se declara de forma explícita.</w:t>
      </w:r>
    </w:p>
    <w:p w14:paraId="34E99574"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t xml:space="preserve">Efecto Fisher (inflación esperada). </w:t>
      </w:r>
      <w:r>
        <w:rPr>
          <w:rFonts w:ascii="Arial" w:eastAsia="Arial" w:hAnsi="Arial" w:cs="Arial"/>
          <w:lang w:val="es-ES" w:eastAsia="es-ES"/>
        </w:rPr>
        <w:t>La tasa nominal en guaraníes incorpora la inflación esperada doméstica, históricamente superior a la de Estados Unidos. Parte del diferencial de tasas es, por tanto, compensación por inflación esperada y no un beneficio real (Fisher, 1930). Se aproxima con el diferencial de inflación observado (InflDiff).</w:t>
      </w:r>
    </w:p>
    <w:p w14:paraId="00175797"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t xml:space="preserve">Encaje legal diferenciado y costos regulatorios (riesgo/fricción de iliquidez). </w:t>
      </w:r>
      <w:r>
        <w:rPr>
          <w:rFonts w:ascii="Arial" w:eastAsia="Arial" w:hAnsi="Arial" w:cs="Arial"/>
          <w:lang w:val="es-ES" w:eastAsia="es-ES"/>
        </w:rPr>
        <w:t>El BCP ha aplicado encajes más elevados sobre los depósitos en dólares que sobre los depósitos en guaraníes (Banco Central del Paraguay, 2024). Un encaje mayor reduce la fracción del depósito que el banco puede prestar y, por ende, la tasa que puede ofrecer al ahorrista en esa moneda. La brecha de encaje Gs/USD constituye, por tanto, una fuente operacionalizable del componente de iliquidez del diferencial.</w:t>
      </w:r>
    </w:p>
    <w:p w14:paraId="1A87E42B"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t xml:space="preserve">Dolarización financiera y segmentación del mercado (iliquidez estructural). </w:t>
      </w:r>
      <w:r>
        <w:rPr>
          <w:rFonts w:ascii="Arial" w:eastAsia="Arial" w:hAnsi="Arial" w:cs="Arial"/>
          <w:lang w:val="es-ES" w:eastAsia="es-ES"/>
        </w:rPr>
        <w:t>La coexistencia de ahorro y crédito en dos monedas segmenta el mercado de fondos prestables (Ize &amp; Levy-Yeyati, 2003). La oferta abundante de depósitos en dólares (demandados como cobertura) presiona a la baja su tasa, mientras que la demanda de crédito en guaraníes sostiene tasas domésticas más altas. La limitada profundidad del mercado forward local restringe el arbitraje de esta segmentación. El ratio de dolarización de depósitos publicado por el BCP constituye la proxy principal de iliquidez de esta investigación.</w:t>
      </w:r>
    </w:p>
    <w:p w14:paraId="6A4914D2"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lastRenderedPageBreak/>
        <w:t xml:space="preserve">Política monetaria y ancla doméstica. </w:t>
      </w:r>
      <w:r>
        <w:rPr>
          <w:rFonts w:ascii="Arial" w:eastAsia="Arial" w:hAnsi="Arial" w:cs="Arial"/>
          <w:lang w:val="es-ES" w:eastAsia="es-ES"/>
        </w:rPr>
        <w:t>La TPM del BCP, fijada en guaraníes, ancla las tasas locales por encima de la tasa de fondos federales que referencia a los instrumentos en dólares (Mundell, 1963). En consecuencia, el piso de las tasas en guaraníes tiende a situarse sistemáticamente por encima del piso de las tasas en dólares. Este determinante opera como contexto institucional y no se operacionaliza como variable del modelo: la TPM nace formalmente con el régimen de metas en 2011, por lo que no existe una serie homogénea que cubra la ventana completa 2004–2024; su rol queda subsumido en la indicadora de régimen D2011.</w:t>
      </w:r>
    </w:p>
    <w:p w14:paraId="10B0A390"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Operacionalización de la iliquidez. </w:t>
      </w:r>
      <w:r>
        <w:rPr>
          <w:rFonts w:ascii="Arial" w:eastAsia="Arial" w:hAnsi="Arial" w:cs="Arial"/>
          <w:lang w:val="es-ES" w:eastAsia="es-ES"/>
        </w:rPr>
        <w:t xml:space="preserve">Los determinantes 3 y 4 constituyen la base empírica del componente de iliquidez. Como proxy principal se emplea el </w:t>
      </w:r>
      <w:r>
        <w:rPr>
          <w:rFonts w:ascii="Arial" w:eastAsia="Arial" w:hAnsi="Arial" w:cs="Arial"/>
          <w:b/>
          <w:bCs/>
          <w:lang w:val="es-ES" w:eastAsia="es-ES"/>
        </w:rPr>
        <w:t>ratio de dolarización de depósitos</w:t>
      </w:r>
      <w:r>
        <w:rPr>
          <w:rFonts w:ascii="Arial" w:eastAsia="Arial" w:hAnsi="Arial" w:cs="Arial"/>
          <w:lang w:val="es-ES" w:eastAsia="es-ES"/>
        </w:rPr>
        <w:t xml:space="preserve"> (Iliq</w:t>
      </w:r>
      <w:r>
        <w:rPr>
          <w:rFonts w:ascii="Arial" w:eastAsia="Arial" w:hAnsi="Arial" w:cs="Arial"/>
          <w:vertAlign w:val="subscript"/>
          <w:lang w:val="es-ES" w:eastAsia="es-ES"/>
        </w:rPr>
        <w:t>t</w:t>
      </w:r>
      <w:r>
        <w:rPr>
          <w:rFonts w:ascii="Arial" w:eastAsia="Arial" w:hAnsi="Arial" w:cs="Arial"/>
          <w:lang w:val="es-ES" w:eastAsia="es-ES"/>
        </w:rPr>
        <w:t xml:space="preserve">), por su disponibilidad de serie larga y su vínculo directo con la segmentación del mercado de fondos prestables; como prueba de robustez se emplea la </w:t>
      </w:r>
      <w:r>
        <w:rPr>
          <w:rFonts w:ascii="Arial" w:eastAsia="Arial" w:hAnsi="Arial" w:cs="Arial"/>
          <w:b/>
          <w:bCs/>
          <w:lang w:val="es-ES" w:eastAsia="es-ES"/>
        </w:rPr>
        <w:t>brecha de encaje legal Gs/USD</w:t>
      </w:r>
      <w:r>
        <w:rPr>
          <w:rFonts w:ascii="Arial" w:eastAsia="Arial" w:hAnsi="Arial" w:cs="Arial"/>
          <w:lang w:val="es-ES" w:eastAsia="es-ES"/>
        </w:rPr>
        <w:t>. La incorporación explícita de esta proxy es la que permite que el modelo de la Etapa 5 pueda contrastar la migración del determinante dominante de la prima de riesgo, mecanismo que de otro modo quedaría fuera del alcance empírico del trabajo.</w:t>
      </w:r>
    </w:p>
    <w:p>
      <w:pPr>
        <w:spacing w:before="180" w:after="100" w:line="480" w:lineRule="auto"/>
        <w:outlineLvl w:val="2"/>
        <w:rPr>
          <w:rFonts w:ascii="Arial" w:eastAsia="Arial" w:hAnsi="Arial" w:cs="Arial"/>
          <w:b/>
          <w:bCs/>
          <w:i/>
          <w:iCs/>
          <w:color w:val="000000"/>
          <w:lang w:val="es-ES" w:eastAsia="es-ES"/>
        </w:rPr>
      </w:pPr>
      <w:bookmarkStart w:id="101" w:name="_Toc233474101"/>
      <w:r>
        <w:rPr>
          <w:rFonts w:ascii="Arial" w:eastAsia="Arial" w:hAnsi="Arial" w:cs="Arial"/>
          <w:b/>
          <w:bCs/>
          <w:i/>
          <w:iCs/>
          <w:color w:val="000000"/>
          <w:lang w:val="es-ES" w:eastAsia="es-ES"/>
        </w:rPr>
        <w:t>Pilar 6: La dolarización financiera en Paraguay — anatomía de un fenómeno estructural</w:t>
      </w:r>
      <w:bookmarkEnd w:id="101"/>
    </w:p>
    <w:p>
      <w:pPr>
        <w:spacing w:before="120" w:after="120" w:line="480" w:lineRule="auto"/>
        <w:jc w:val="both"/>
        <w:rPr>
          <w:rFonts w:ascii="Arial" w:eastAsia="Arial" w:hAnsi="Arial" w:cs="Arial"/>
          <w:lang w:val="es-ES" w:eastAsia="es-ES"/>
        </w:rPr>
      </w:pPr>
      <w:r>
        <w:rPr>
          <w:rFonts w:ascii="Arial" w:eastAsia="Arial" w:hAnsi="Arial" w:cs="Arial"/>
          <w:lang w:val="es-ES" w:eastAsia="es-ES"/>
        </w:rPr>
        <w:t>La persistencia de la dolarización mencionada en los pilares anteriores no es un dato de contexto sino un elemento constitutivo del fenómeno estudiado. Dado que la proxy principal de iliquidez de esta investigación es el ratio de dolarización de depósitos, conviene desarrollar en detalle qué representa esa variable, cómo evolucionó y qué fuerzas la sostienen. Este pilar cumple esa función.</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El experimento mental del ahorrista. </w:t>
      </w:r>
      <w:r>
        <w:rPr>
          <w:rFonts w:ascii="Arial" w:eastAsia="Arial" w:hAnsi="Arial" w:cs="Arial"/>
          <w:lang w:val="es-ES" w:eastAsia="es-ES"/>
        </w:rPr>
        <w:t>Considérese el siguiente ejercicio. Un ahorrista paraguayo se presenta en su banco a comienzos de 2004 con el propósito de constituir un certificado de depósito de ahorro (CDA), disponiendo de guaraníes equivalentes a USD 10.000 al tipo de cambio vigente. El banco le ofrece dos opciones: un CDA en guaraníes a la tasa pasiva promedio del sistema para esa moneda, o un CDA en dólares a la tasa correspondiente. La diferencia entre ambas tasas —de varios puntos porcentuales a favor del guaraní, conforme a las estadísticas del BCP (Banco Central del Paraguay, 2024)— parece inclinar la balanza hacia la moneda doméstica. Pero esa ventaja nominal no es gratuita: el ahorrista en guaraníes asume el riesgo de que la moneda se deprecie durante la vigencia del depósito. Si la depreciación anualizada supera el diferencial de tasas, pierde en términos de poder adquisitivo internacional; si es menor, gana; si el guaraní se aprecia, su ganancia se multiplica. La pregunta que este experimento plantea —y que esta investigación responde con ochenta y cuatro observaciones trimestrales— es si esa apuesta fue, en promedio y a lo largo de 2004–2024, sistemáticamente favorable al ahorrista en guaraníes, incluso bajo el criterio conservador de excluir los episodios de apreciación.</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La importancia del ejercicio trasciende la curiosidad académica. Si el guaraní pagó sistemáticamente más que el dólar una vez descontada la depreciación, el ahorrista racional debería haberlo preferido en la mayoría de los períodos. Sin embargo, una fracción persistentemente alta del total de depósitos del sistema bancario permaneció denominada en dólares a lo largo del período (Banco Central del Paraguay, 2024): un segmento sustancial y persistente eligió, de forma continua, la opción de menor retorno esperado. Entender por qué ese segmento existe y persiste es tan relevante para interpretar el diferencial como cuantificarlo. La dolarización no es el telón de fondo neutro del fenómeno: es parte constitutiva de él y, en el diseño econométrico de la Etapa 5, su vehículo de medición.</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Paraguay en la escala de la dolarización regional. </w:t>
      </w:r>
      <w:r>
        <w:rPr>
          <w:rFonts w:ascii="Arial" w:eastAsia="Arial" w:hAnsi="Arial" w:cs="Arial"/>
          <w:lang w:val="es-ES" w:eastAsia="es-ES"/>
        </w:rPr>
        <w:t xml:space="preserve">Paraguay ocupa una posición reveladora en el espectro latinoamericano. En un extremo se sitúan las economías plenamente dolarizadas —Ecuador desde 2000, El Salvador desde 2001, Panamá de larga data—, donde la moneda doméstica fue sustituida por completo y, por definición, no existe diferencial de retornos entre monedas. En el extremo opuesto están las economías con dolarización mínima —Brasil, Chile, Colombia—, donde los depósitos en moneda extranjera son una fracción marginal. Paraguay se sitúa en la posición intermedia que la literatura denomina </w:t>
      </w:r>
      <w:r>
        <w:rPr>
          <w:rFonts w:ascii="Arial" w:eastAsia="Arial" w:hAnsi="Arial" w:cs="Arial"/>
          <w:i/>
          <w:iCs/>
          <w:lang w:val="es-ES" w:eastAsia="es-ES"/>
        </w:rPr>
        <w:t>dolarización financiera parcial</w:t>
      </w:r>
      <w:r>
        <w:rPr>
          <w:rFonts w:ascii="Arial" w:eastAsia="Arial" w:hAnsi="Arial" w:cs="Arial"/>
          <w:lang w:val="es-ES" w:eastAsia="es-ES"/>
        </w:rPr>
        <w:t xml:space="preserve">: una economía genuinamente bicurrencial en la que dos monedas coexisten de forma activa en el mercado financiero formal sin que ninguna haya desplazado a la otra (Ize &amp; Levy-Yeyati, 2003). Es esa </w:t>
      </w:r>
      <w:r>
        <w:rPr>
          <w:rFonts w:ascii="Arial" w:eastAsia="Arial" w:hAnsi="Arial" w:cs="Arial"/>
          <w:i/>
          <w:iCs/>
          <w:lang w:val="es-ES" w:eastAsia="es-ES"/>
        </w:rPr>
        <w:t>parcialidad</w:t>
      </w:r>
      <w:r>
        <w:rPr>
          <w:rFonts w:ascii="Arial" w:eastAsia="Arial" w:hAnsi="Arial" w:cs="Arial"/>
          <w:lang w:val="es-ES" w:eastAsia="es-ES"/>
        </w:rPr>
        <w:t xml:space="preserve"> —la tensión irresuelta entre dos monedas que compiten por las preferencias de los depositantes— la que genera y sostiene el diferencial que esta investigación estudia. En una economía plenamente dolarizada no hay diferencial; en una de moneda única, tampoco. El diferencial es producto de la coexistencia.</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La evolución de la dolarización: una caída lenta y estructural. </w:t>
      </w:r>
      <w:r>
        <w:rPr>
          <w:rFonts w:ascii="Arial" w:eastAsia="Arial" w:hAnsi="Arial" w:cs="Arial"/>
          <w:lang w:val="es-ES" w:eastAsia="es-ES"/>
        </w:rPr>
        <w:t>Las estadísticas de dolarización de depósitos publicadas por el BCP en su Boletín Estadístico y en sus Informes de Estabilidad Financiera permiten reconstruir una trayectoria que es, en sí misma, un capítulo de la historia monetaria contemporánea del Paraguay (Banco Central del Paraguay, 2024). Al inicio del período los depósitos en dólares representaban la mayor parte del total del sistema, niveles propios de una economía de alta dolarización (Ize &amp; Levy-Yeyati, 2003). Esa cifra no reflejaba preferencias espontáneas en condiciones de estabilidad: era el sedimento de las decisiones de cobertura adoptadas durante los episodios de crisis descritos en el pilar preliminar. A lo largo de las dos décadas siguientes, la proporción descendió de forma lenta, gradual y no lineal, con un mínimo transitorio en torno a la crisis financiera global; la cuantificación de esa trayectoria se presenta en el capítulo de resultados. La lentitud de ese descenso es informativa: sugiere que los factores que sostienen la dolarización son estructurales y resistentes a los cambios de política, no reflejos de condiciones coyunturales que se disuelven ante la primera señal de estabilidad.</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El descenso no siguió una trayectoria uniforme. Examinada en detalle, la serie exhibe al menos tres subperíodos con dinámicas diferenciadas. Entre 2004 y 2010, bajo el régimen de agregados monetarios, la dolarización mostró una tendencia declinante moderada, impulsada por la recuperación económica y el fortalecimiento del sector exportador, aunque la incertidumbre inflacionaria persistente mantuvo elevada la prima de inflación en el diferencial de tasas. A partir de 2011, con la adopción de Metas de Inflación, la tendencia declinante se acentuó modestamente: la mayor credibilidad monetaria redujo la demanda precautoria de dólares como cobertura contra la inflación, y los ajustes en los encajes diferenciados por moneda elevaron el costo regulatorio de los depósitos en dólares para las entidades. En sentido contrario, episodios de incertidumbre global —la desaceleración de </w:t>
      </w:r>
      <w:r>
        <w:rPr>
          <w:rFonts w:ascii="Arial" w:eastAsia="Arial" w:hAnsi="Arial" w:cs="Arial"/>
          <w:i/>
          <w:iCs/>
          <w:lang w:val="es-ES" w:eastAsia="es-ES"/>
        </w:rPr>
        <w:t>commodities</w:t>
      </w:r>
      <w:r>
        <w:rPr>
          <w:rFonts w:ascii="Arial" w:eastAsia="Arial" w:hAnsi="Arial" w:cs="Arial"/>
          <w:lang w:val="es-ES" w:eastAsia="es-ES"/>
        </w:rPr>
        <w:t xml:space="preserve"> de 2014–2016 y, sobre todo, la pandemia de 2020— generaron interrupciones transitorias, con aumentos temporales de la demanda de dólares como refugio, coherentes con la naturaleza estructural del fenómeno: los factores de fondo no desaparecen ante la primera señal de tensión, sino que se reactivan cuando el contexto lo justifica.</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La trayectoria de largo plazo confirma una predicción teórica central para esta investigación. El régimen de Metas de Inflación actúa sobre la dolarización principalmente a través del canal de las expectativas: al reducir la incertidumbre inflacionaria, debilita el motivo de cobertura contra la inflación, dominante antes de 2011. Pero el mismo régimen no actúa directamente sobre los demás determinantes estructurales —el calce de monedas de los exportadores, la cobertura de riesgo país, la histéresis derivada de la memoria de las crisis—, lo que explica por qué la dolarización, aun descendiendo, se estabiliza en torno al 50 % en lugar de converger a cero. Esta misma lógica subyace a la hipótesis de recomposición: si la prima de inflación se contrajo tras 2011 pero los factores estructurales de la prima de riesgo persistieron, el resultado esperable es que el diferencial cambie de composición —menos dominado por la prima de inflación, más sostenido por la prima de riesgo real ligada a la segmentación del mercado— sin necesariamente desaparecer.</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Los factores que sostienen la demanda de guaraníes y de dólares. </w:t>
      </w:r>
      <w:r>
        <w:rPr>
          <w:rFonts w:ascii="Arial" w:eastAsia="Arial" w:hAnsi="Arial" w:cs="Arial"/>
          <w:lang w:val="es-ES" w:eastAsia="es-ES"/>
        </w:rPr>
        <w:t>La persistencia de la dolarización responde a un conjunto de factores estructurales que operan de forma relativamente independiente del diferencial de tasas. Si existiera arbitraje perfecto, un diferencial positivo y persistente a favor del guaraní bastaría para que los depositantes migraran por completo a la moneda doméstica, eliminándolo. Que no lo hagan implica que existen motivos racionales para mantener dólares incluso cuando el guaraní rinde más, y esos motivos son las fricciones que sostienen el diferencial como característica de equilibrio del mercado.</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El primero, y más relevante en la economía paraguaya, es la naturaleza bicurrencial de su base productiva. Paraguay es un país primario-exportador cuya principal fuente de divisas —la soja, la carne vacuna, el maíz, el trigo y el sésamo— se transa en mercados internacionales a precios en dólares. Un productor o una agroexportadora que cobra sus ventas en dólares enfrenta un incentivo estructural para mantener parte de esos fondos en depósitos en dólares, no para maximizar el retorno sino para eliminar el riesgo cambiario entre la recepción de divisas y el pago futuro de insumos también en dólares. Para ese depositante, el CDA en dólares no es un vehículo de rendimiento sino un dispositivo de calce de monedas: la tasa más baja es el costo de eliminar la exposición cambiaria sobre su capital de trabajo. Esta </w:t>
      </w:r>
      <w:r>
        <w:rPr>
          <w:rFonts w:ascii="Arial" w:eastAsia="Arial" w:hAnsi="Arial" w:cs="Arial"/>
          <w:i/>
          <w:iCs/>
          <w:lang w:val="es-ES" w:eastAsia="es-ES"/>
        </w:rPr>
        <w:t>dolarización operacional</w:t>
      </w:r>
      <w:r>
        <w:rPr>
          <w:rFonts w:ascii="Arial" w:eastAsia="Arial" w:hAnsi="Arial" w:cs="Arial"/>
          <w:lang w:val="es-ES" w:eastAsia="es-ES"/>
        </w:rPr>
        <w:t xml:space="preserve"> es estructuralmente insensible al diferencial de tasas. En el sentido inverso, lo que sostiene la demanda de guaraníes es el consumo interno, el pago de salarios, los impuestos y la mayor parte del crédito minorista, que se denominan en moneda doméstica: quien tiene obligaciones en guaraníes prefiere ahorrar en guaraníes por el mismo motivo de calce.</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segundo factor es la posición de Paraguay como nodo comercial regional. Ciudad del Este, la segunda ciudad del país, alberga una de las zonas de comercio más activas de América del Sur, con flujos de importación y re-exportación denominados predominantemente en dólares. Los comerciantes e importadores que participan de ese ecosistema mantienen capital de trabajo en dólares como necesidad operativa, con independencia de la rentabilidad relativa del guaraní. El extenso comercio fronterizo con Brasil y Argentina refuerza ese entorno multicurrencial en el que el dólar funciona como unidad de cuenta para las transacciones de mayor volumen, creando una demanda cautiva de depósitos en dólares rígida ante variaciones del diferencial.</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tercer factor es la memoria institucional de las crisis, que opera como un mecanismo de histéresis en las preferencias individuales. La economía del comportamiento sugiere que quienes vivieron pérdidas patrimoniales asociadas a un instrumento tienden a exhibir aversión persistente hacia él incluso cuando las condiciones objetivas mejoran (Malmendier &amp; Nagel, 2011). El depositante paraguayo que sufrió o presenció de cerca la crisis de 1995–1998 —vivida en guaraníes— incorporó una desutilidad hacia los instrumentos domésticos que ningún año de estabilidad borra del todo: para él, la prima de tasa del guaraní no compensa el costo de concentrar sus ahorros en una moneda con ese historial. Este componente se reduce de forma natural a medida que la generación marcada por la crisis cede lugar a cohortes más jóvenes sin esa memoria, lo que contribuye a explicar el descenso gradual de la dolarización sin que este se acelere más allá de lo que la mejora macroeconómica anticiparía.</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cuarto factor es la función del dólar como cobertura de riesgo país. Aun sin crisis domésticas, los depositantes de mayor patrimonio enfrentan el riesgo de que perturbaciones políticas o externas de magnitud erosionen el valor de sus activos en moneda local. Mantener una fracción del portafolio en dólares es, para ellos, una forma de diversificación y cobertura contra el riesgo de cola soberano: la prima que ofrece el guaraní es el costo esperado de un riesgo cuya probabilidad, aunque baja, no es cero dada la historia regional. Esta demanda es independiente del diferencial de tasas y no debería eliminarse con la adopción del régimen de metas, aunque puede moderarse a medida que el banco central acumula años de credibilidad demostrada.</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El encaje diferenciado: cuando la regulación amplifica el diferencial. </w:t>
      </w:r>
      <w:r>
        <w:rPr>
          <w:rFonts w:ascii="Arial" w:eastAsia="Arial" w:hAnsi="Arial" w:cs="Arial"/>
          <w:lang w:val="es-ES" w:eastAsia="es-ES"/>
        </w:rPr>
        <w:t xml:space="preserve">Junto a los factores de demanda existe un mecanismo del lado de la oferta de particular relevancia: el encaje legal diferenciado por moneda. El BCP ha aplicado históricamente requisitos de encaje —la fracción de los depósitos que las entidades deben mantener en reservas líquidas sin intermediar— más elevados sobre los depósitos en dólares que sobre los depósitos en guaraníes (Banco Central del Paraguay, 2024). El mecanismo de transmisión al diferencial es directo: un encaje más alto sobre los dólares implica que, por cada dólar depositado, el banco puede prestar y rentabilizar menos capital, reduciendo la tasa pasiva que puede ofrecer en esa moneda sin comprimir su margen; un encaje más bajo sobre los guaraníes amplía el capital intermediable y sostiene tasas pasivas más altas en moneda doméstica. La brecha de encaje Gs/USD actúa así como un cuasi-impuesto a la intermediación en moneda extranjera que se traslada a las tasas pasivas: una </w:t>
      </w:r>
      <w:r>
        <w:rPr>
          <w:rFonts w:ascii="Arial" w:eastAsia="Arial" w:hAnsi="Arial" w:cs="Arial"/>
          <w:i/>
          <w:iCs/>
          <w:lang w:val="es-ES" w:eastAsia="es-ES"/>
        </w:rPr>
        <w:t>cuña regulatoria</w:t>
      </w:r>
      <w:r>
        <w:rPr>
          <w:rFonts w:ascii="Arial" w:eastAsia="Arial" w:hAnsi="Arial" w:cs="Arial"/>
          <w:lang w:val="es-ES" w:eastAsia="es-ES"/>
        </w:rPr>
        <w:t xml:space="preserve"> que amplifica el diferencial que ya existiría por inflación diferencial y prima de riesgo. La implicación es de primer orden: parte del premio percibido por los ahorristas en guaraníes durante 2004–2024 no fue producto espontáneo del mercado sino resultado de una política regulatoria deliberada del BCP orientada a desincentivar la dolarización. Por esta razón, la brecha de encaje Gs/USD se emplea como medida alternativa del componente de iliquidez en las pruebas de robustez de la Etapa 6.</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La paradoja del diferencial persistente y su conexión con la hipótesis. </w:t>
      </w:r>
      <w:r>
        <w:rPr>
          <w:rFonts w:ascii="Arial" w:eastAsia="Arial" w:hAnsi="Arial" w:cs="Arial"/>
          <w:lang w:val="es-ES" w:eastAsia="es-ES"/>
        </w:rPr>
        <w:t xml:space="preserve">La coexistencia de un diferencial positivo y sistemático a favor del guaraní con una dolarización que se mantiene en niveles sustanciales durante veinte años no es una contradicción, sino la consecuencia predecible de un mercado de fondos prestables </w:t>
      </w:r>
      <w:r>
        <w:rPr>
          <w:rFonts w:ascii="Arial" w:eastAsia="Arial" w:hAnsi="Arial" w:cs="Arial"/>
          <w:i/>
          <w:iCs/>
          <w:lang w:val="es-ES" w:eastAsia="es-ES"/>
        </w:rPr>
        <w:t>segmentado</w:t>
      </w:r>
      <w:r>
        <w:rPr>
          <w:rFonts w:ascii="Arial" w:eastAsia="Arial" w:hAnsi="Arial" w:cs="Arial"/>
          <w:lang w:val="es-ES" w:eastAsia="es-ES"/>
        </w:rPr>
        <w:t>. La condición de UIP supone un mercado integrado en el que un diferencial positivo genera flujos de arbitraje que lo eliminan. El análisis de la dolarización paraguaya revela que esas condiciones no se verifican: el mercado de depósitos está fracturado por perfiles de depositante con funciones objetivo heterogéneas, por fricciones regulatorias como el encaje diferenciado, por la limitada profundidad del mercado forward local para el arbitraje cubierto y por la segmentación estructural derivada de la base exportadora de la economía real. En un mercado así, la persistencia del diferencial no es un desequilibrio a la espera de corrección, sino el precio de equilibrio de un mercado donde guaraní y dólar satisfacen demandas distintas (Ize &amp; Levy-Yeyati, 2003). Esta conclusión da sustento teórico a la magnitud del diferencial observado y explica por qué el régimen de 2011, aun exitoso en reducir la incertidumbre inflacionaria, no lo hizo desaparecer sino que, como sostiene la hipótesis de recomposición, modificó su estructura interna: comprimió la prima de inflación pero dejó intactos los mecanismos de segmentación que alimentan la prima de riesgo de iliquidez, cuya medición a través del ratio de dolarización es el eje del modelo de la Etapa 5.</w:t>
      </w:r>
    </w:p>
    <w:p w14:paraId="637F827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Articulación teórico-empírica. </w:t>
      </w:r>
      <w:r>
        <w:rPr>
          <w:rFonts w:ascii="Arial" w:eastAsia="Arial" w:hAnsi="Arial" w:cs="Arial"/>
          <w:lang w:val="es-ES" w:eastAsia="es-ES"/>
        </w:rPr>
        <w:t xml:space="preserve">Los pilares desarrollados determinan directamente la estrategia empírica. La condición UIP y su medición ex post (Pilar 1) sustentan la construcción de las series DR en la Etapa 1. El coeficiente de Fama (Pilar 2) se estima formalmente en la Etapa 2. La descomposición Fisher (Pilar 3) justifica la Etapa 4. El análisis del régimen de Metas de Inflación (Pilar 4) fundamenta la inclusión de la indicadora D2011 y, sobre todo, de sus </w:t>
      </w:r>
      <w:r>
        <w:rPr>
          <w:rFonts w:ascii="Arial" w:eastAsia="Arial" w:hAnsi="Arial" w:cs="Arial"/>
          <w:i/>
          <w:iCs/>
          <w:lang w:val="es-ES" w:eastAsia="es-ES"/>
        </w:rPr>
        <w:t>interacciones</w:t>
      </w:r>
      <w:r>
        <w:rPr>
          <w:rFonts w:ascii="Arial" w:eastAsia="Arial" w:hAnsi="Arial" w:cs="Arial"/>
          <w:lang w:val="es-ES" w:eastAsia="es-ES"/>
        </w:rPr>
        <w:t xml:space="preserve"> en el modelo de la Etapa 5. Finalmente, los determinantes estructurales (Pilar 5) justifican la elección de VolTC e Iliq como variables explicativas del modelo MCO-HAC sobre la prima de riesgo, mientras que el diferencial de inflación (InflDiff) interviene en la descomposición de Fisher (Etapa 4) que define la variable dependiente rpₜ.</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Bases legales</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Dos piezas normativas vuelven operativas las variables institucionales del estudio. La primera es la Resolución N.º 22, Acta N.º 31 del Directorio del BCP, del 18 de mayo de 2011, que formaliza la adopción del esquema de Metas de Inflación y constituye el evento que la indicadora D2011 representa (Banco Central del Paraguay, 2011). La segunda es el régimen de encaje legal diferenciado por moneda, dictado por el BCP en ejercicio de las atribuciones de su Carta Orgánica (Ley N.º 489/95 y sus modificaciones), que fundamenta el componente regulatorio de la segmentación del mercado de fondos prestables descrito en el Pilar 5.</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Sistema de variables</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variable dependiente del modelo central es la prima de riesgo residual (rp). Las variables independientes son la volatilidad cambiaria (VolTC; signo esperado positivo sobre la prima), el ratio de dolarización de depósitos como proxy del riesgo de iliquidez (Iliq; signo esperado positivo), la indicadora de régimen (D2011; efecto de nivel teóricamente indeterminado) y los términos de interacción D2011×VolTC y D2011×Iliq, cuyos signos esperados —negativo y positivo, respectivamente— operacionalizan la conjetura direccional de la hipótesis. La operacionalización completa, con definiciones, unidades, fuentes y signos, se presenta en la Tabla 7.1 del marco metodológico.</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Definición de términos</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Certificado de Depósito de Ahorro (CDA): instrumento bancario de captación a plazo remunerado a la tasa pasiva pactada. Diferencial de retornos: diferencia entre el retorno de un CDA en guaraníes y el de uno en dólares, ajustada por la variación cambiaria del período. Prima de riesgo (rp): componente del diferencial de tasas no explicado por el diferencial de inflación interanual. Dolarización de depósitos: participación de los depósitos en moneda extranjera en el total del sistema bancario. Iliquidez (en este trabajo): segmentación del mercado de fondos prestables, aproximada por la dolarización de depósitos. Incidencia: asociación estimada entre un determinante y la prima de riesgo, sin connotación causal.</w:t>
      </w:r>
    </w:p>
    <w:p w14:paraId="2DBCB6B8"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19" w:name="_Toc233474067"/>
      <w:r>
        <w:rPr>
          <w:rFonts w:ascii="Arial" w:eastAsia="Arial" w:hAnsi="Arial" w:cs="Arial"/>
          <w:b/>
          <w:bCs/>
          <w:color w:val="000000"/>
          <w:lang w:val="es-ES" w:eastAsia="es-ES"/>
        </w:rPr>
        <w:t>7.2. Marco metodológico</w:t>
      </w:r>
      <w:bookmarkEnd w:id="19"/>
    </w:p>
    <w:p w14:paraId="3BBA801E" w14:textId="77777777" w:rsidR="00D27E85" w:rsidRDefault="00D27E85" w:rsidP="00D27E85">
      <w:pPr>
        <w:spacing w:before="180" w:after="100" w:line="480" w:lineRule="auto"/>
        <w:outlineLvl w:val="2"/>
        <w:rPr>
          <w:rFonts w:ascii="Arial" w:eastAsia="Arial" w:hAnsi="Arial" w:cs="Arial"/>
          <w:b/>
          <w:bCs/>
          <w:i/>
          <w:iCs/>
          <w:color w:val="000000"/>
          <w:lang w:val="es-ES" w:eastAsia="es-ES"/>
        </w:rPr>
      </w:pPr>
      <w:r>
        <w:rPr>
          <w:rFonts w:ascii="Arial" w:eastAsia="Arial" w:hAnsi="Arial" w:cs="Arial"/>
          <w:b/>
          <w:bCs/>
          <w:i/>
          <w:iCs/>
          <w:color w:val="000000"/>
          <w:lang w:val="es-ES" w:eastAsia="es-ES"/>
        </w:rPr>
        <w:t>Diseño de la investigación</w:t>
      </w:r>
    </w:p>
    <w:p w14:paraId="7CD1DF7A"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Tipo y enfoque de investigación. </w:t>
      </w:r>
      <w:r>
        <w:rPr>
          <w:rFonts w:ascii="Arial" w:eastAsia="Arial" w:hAnsi="Arial" w:cs="Arial"/>
          <w:lang w:val="es-ES" w:eastAsia="es-ES"/>
        </w:rPr>
        <w:t xml:space="preserve">El estudio adopta un enfoque cuantitativo, de tipo aplicado y empírico, con alcance correlacional, de incidencia y diseño longitudinal de series de tiempo trimestrales. Es no experimental, ya que las variables se observan tal como se </w:t>
        <w:lastRenderedPageBreak/>
        <w:t>presentan en los registros oficiales, sin manipulación por parte de los investigadores, y sigue un razonamiento predominantemente deductivo: parte de la teoría de la Paridad Descubierta de Tasas de Interés y del marco de Fisher para derivar hipótesis contrastables con datos.</w:t>
      </w:r>
    </w:p>
    <w:p w14:paraId="1A7750B2"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Modalidad. </w:t>
      </w:r>
      <w:r>
        <w:rPr>
          <w:rFonts w:ascii="Arial" w:eastAsia="Arial" w:hAnsi="Arial" w:cs="Arial"/>
          <w:lang w:val="es-ES" w:eastAsia="es-ES"/>
        </w:rPr>
        <w:t>La modalidad es documental, dado que la totalidad de la información proviene de fuentes estadísticas secundarias de acceso público y no de trabajo de campo. En consecuencia, no se emplean cuestionarios, entrevistas ni observación directa, instrumentos propios de los diseños de campo que no corresponden a un estudio basado en datos secundarios oficiales.</w:t>
      </w:r>
    </w:p>
    <w:p w14:paraId="6E5F7C6D"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Población, unidad de análisis y tamaño. </w:t>
      </w:r>
      <w:r>
        <w:rPr>
          <w:rFonts w:ascii="Arial" w:eastAsia="Arial" w:hAnsi="Arial" w:cs="Arial"/>
          <w:lang w:val="es-ES" w:eastAsia="es-ES"/>
        </w:rPr>
        <w:t>La población es el conjunto de observaciones trimestrales del diferencial de retornos entre certificados de depósito en guaraníes y en dólares del sistema bancario paraguayo durante 2004–2024. La unidad de análisis es el diferencial trimestral. No se aplica un procedimiento de muestreo probabilístico: se trabaja con la totalidad de la población disponible (censo del período), de modo que el tamaño efectivo es de T = 84 observaciones trimestrales (2004:T1–2024:T4), determinado por la disponibilidad de cobertura homogénea y reglamentada de las tasas pasivas por moneda desde 2004, según la nota de la Sección 4. Las tasas de CDA provienen de una única fuente y definición para todo el período (tramo de hasta 365 días de los boletines «Promedio de Tasas» de la Superintendencia de Bancos, tasa efectiva, bancos); diez meses no publicados por el BCP se documentan en la base y el valor trimestral es el promedio de los meses publicados, de modo que el n efectivo varía según la especificación (83 observaciones para la serie DR, 80 para el modelo principal de la Etapa 5 sobre la prima de riesgo).</w:t>
      </w:r>
    </w:p>
    <w:p w14:paraId="6035518A"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Fuentes de información. </w:t>
      </w:r>
      <w:r>
        <w:rPr>
          <w:rFonts w:ascii="Arial" w:eastAsia="Arial" w:hAnsi="Arial" w:cs="Arial"/>
          <w:lang w:val="es-ES" w:eastAsia="es-ES"/>
        </w:rPr>
        <w:t>Todas las fuentes son secundarias y de acceso público. El Banco Central del Paraguay (BCP) provee las tasas pasivas de CDA en guaraníes y en dólares, el tipo de cambio nominal guaraní/dólar correspondiente al promedio del mes de cierre de cada trimestre, el ratio de dolarización de depósitos, el régimen de encaje legal por moneda y el índice de precios al consumidor del Paraguay; la Reserva Federal de los Estados Unidos aporta la Federal Funds Rate y, a través de la base FRED, el índice de precios al consumidor estadounidense. No se utilizan fuentes primarias, por tratarse de un diseño documental.</w:t>
      </w:r>
    </w:p>
    <w:p w14:paraId="7886035B"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Técnica e instrumentos. </w:t>
      </w:r>
      <w:r>
        <w:rPr>
          <w:rFonts w:ascii="Arial" w:eastAsia="Arial" w:hAnsi="Arial" w:cs="Arial"/>
          <w:lang w:val="es-ES" w:eastAsia="es-ES"/>
        </w:rPr>
        <w:t xml:space="preserve">La técnica de recolección es el análisis documental de bases estadísticas oficiales. El instrumento de registro es una base de datos estructurada en formato de panel temporal, donde cada observación se almacena junto con su fuente, su </w:t>
        <w:lastRenderedPageBreak/>
        <w:t>fecha de extracción y, en el caso de las variables derivadas, la fórmula que la genera. El procesamiento econométrico se realiza con los programas Stata y Python, empleados como herramientas de cálculo y validación cruzada de los resultados.</w:t>
      </w:r>
    </w:p>
    <w:p w14:paraId="483BAD4C"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Variables primarias y derivadas. </w:t>
      </w:r>
      <w:r>
        <w:rPr>
          <w:rFonts w:ascii="Arial" w:eastAsia="Arial" w:hAnsi="Arial" w:cs="Arial"/>
          <w:lang w:val="es-ES" w:eastAsia="es-ES"/>
        </w:rPr>
        <w:t>Se distingue entre variables primarias, tomadas directamente de la fuente oficial sin alteración (tasas pasivas, tipo de cambio, índices de precios, ratio de dolarización, encaje), y variables derivadas, calculadas mediante fórmulas explícitas y auditables a partir de las primarias (el diferencial de retornos estándar y conservador, la volatilidad cambiaria, el diferencial de inflación y la prima de riesgo residual, definidas en las Etapas 1 a 5). Ninguna variable se obtiene por imputación, estimación de valores faltantes ni proyección; los huecos eventuales se reportan como tales y no se rellenan.</w:t>
      </w:r>
    </w:p>
    <w:p w14:paraId="34742489"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Control de calidad de los datos. </w:t>
      </w:r>
      <w:r>
        <w:rPr>
          <w:rFonts w:ascii="Arial" w:eastAsia="Arial" w:hAnsi="Arial" w:cs="Arial"/>
          <w:lang w:val="es-ES" w:eastAsia="es-ES"/>
        </w:rPr>
        <w:t>Para garantizar la fiabilidad de la información se aplica un protocolo de validación en tres fases independientes. Una primera fase de recopilación organiza los datos primarios y registra para cada serie su fuente y su trazabilidad al documento oficial de origen. Una segunda fase de auditoría verifica, observación por observación, que cada dato primario coincida con su fuente y que cada variable derivada pueda recalcularse a partir de su fórmula, sin aceptar valores estimados, inventados ni proyectados. Solo una vez superada la auditoría, una tercera fase de análisis ejecuta las rutinas econométricas. Esta separación de funciones asegura la replicabilidad del estudio y la integridad de la base sobre la que se construyen los resultados.</w:t>
      </w:r>
    </w:p>
    <w:p w14:paraId="66AA7322"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investigación adopta un diseño cuantitativo con análisis de series de tiempo trimestrales. La unidad de análisis es el diferencial trimestral de retornos entre CDA en guaraníes y en dólares en el sistema bancario paraguayo. El período de análisis comprende 2004:T1–2024:T4 (T = 84 observaciones trimestrales); el inicio en 2004 responde a la disponibilidad de cobertura homogénea y reglamentada de las tasas pasivas por moneda, según la nota de la Sección 4. Todos los datos son secundarios y de acceso público: el BCP provee las tasas pasivas de CDA en guaraníes y en dólares (tramo de hasta 365 días, tasa efectiva, promedio del sistema bancario, boletines «Promedio de Tasas» de la Superintendencia de Bancos), el tipo de cambio nominal guaraní/dólar </w:t>
        <w:lastRenderedPageBreak/>
        <w:t>del mes de cierre de cada trimestre (promedio mensual), el ratio de dolarización de depósitos y el régimen de encaje legal por moneda (Banco Central del Paraguay, 2024); la Reserva Federal aporta la Federal Funds Rate (Federal Reserve System, 2024); y el FRED suministra los índices de precios al consumidor de Estados Unidos, mientras el BCP provee los del Paraguay. El análisis econométrico se ejecuta en Stata con los comandos newey (regresión con errores HAC de Newey-West), estat sbcusum y el procedimiento de Bai-Perron para quiebres estructurales (implementado mediante el comando comunitario xtbreak, de Ditzen, Karavias y Westerlund, 2021), y dfuller/pperron para pruebas de raíz unitaria.</w:t>
      </w:r>
    </w:p>
    <w:p w14:paraId="340FD79D"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estrategia empírica se organiza en seis etapas secuenciales; los resultados de cada una condicionan o alimentan la siguiente. La Etapa 1 produce las series. La Etapa 2 estima el coeficiente de Fama y valida estadísticamente la medida conservadora. La Etapa 3 verifica las propiedades estadísticas de la serie y confirma si 2011 fue efectivamente un quiebre. La Etapa 4 descompone el diferencial en sus componentes estructurales. La Etapa 5 integra todos los elementos anteriores en un modelo de regresión con interacciones que identifica la recomposición de los determinantes. La Etapa 6 reúne las pruebas de diagnóstico y robustez.</w:t>
      </w:r>
    </w:p>
    <w:p w14:paraId="5ECF69F7"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0" w:name="_Toc233474068"/>
      <w:r>
        <w:rPr>
          <w:rFonts w:ascii="Arial" w:eastAsia="Arial" w:hAnsi="Arial" w:cs="Arial"/>
          <w:b/>
          <w:bCs/>
          <w:i/>
          <w:iCs/>
          <w:color w:val="000000"/>
          <w:lang w:val="es-ES" w:eastAsia="es-ES"/>
        </w:rPr>
        <w:t>Etapa 1: Construcción de las series de retorno</w:t>
      </w:r>
      <w:bookmarkEnd w:id="20"/>
    </w:p>
    <w:p w14:paraId="562110F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Las tasas anualizadas publicadas por el BCP se trimestralizan mediante el factor 1/4. Los tipos de cambio utilizados corresponden al promedio mensual del último mes de cada trimestre (Cuadro 60a del Anexo Estadístico del BCP), dado que la cotización puntual de cierre del último día hábil no se encuentra disponible de forma homogénea en las fuentes oficiales para todo el período 2004–2024. Se construyen dos series con interpretaciones económicas distintas.</w:t>
      </w:r>
    </w:p>
    <w:p w14:paraId="4D9453E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La serie estándar </w:t>
      </w:r>
      <w:r>
        <w:rPr>
          <w:rFonts w:ascii="Arial" w:eastAsia="Arial" w:hAnsi="Arial" w:cs="Arial"/>
          <w:lang w:val="es-ES" w:eastAsia="es-ES"/>
        </w:rPr>
        <w:t>(DR</w:t>
      </w:r>
      <w:r>
        <w:rPr>
          <w:rFonts w:ascii="Arial" w:eastAsia="Arial" w:hAnsi="Arial" w:cs="Arial"/>
          <w:vertAlign w:val="subscript"/>
          <w:lang w:val="es-ES" w:eastAsia="es-ES"/>
        </w:rPr>
        <w:t>t+1</w:t>
      </w:r>
      <w:r>
        <w:rPr>
          <w:rFonts w:ascii="Arial" w:eastAsia="Arial" w:hAnsi="Arial" w:cs="Arial"/>
          <w:lang w:val="es-ES" w:eastAsia="es-ES"/>
        </w:rPr>
        <w:t>) refleja el retorno efectivo ex post de un ahorrista en guaraníes comparado con uno en dólares, incluyendo tanto las pérdidas por depreciación como las ganancias por apreciación cambiaria:</w:t>
      </w:r>
    </w:p>
    <w:p w14:paraId="4E62C683"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DR</w:t>
      </w:r>
      <w:r>
        <w:rPr>
          <w:rFonts w:ascii="Cambria Math" w:eastAsia="Arial" w:hAnsi="Cambria Math" w:cs="Cambria Math"/>
          <w:i/>
          <w:iCs/>
          <w:lang w:val="es-ES" w:eastAsia="es-ES"/>
        </w:rPr>
        <w:t>ₜ₊₁</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w:t>
      </w:r>
      <w:r>
        <w:rPr>
          <w:rFonts w:ascii="Arial" w:eastAsia="Arial" w:hAnsi="Arial" w:cs="Arial"/>
          <w:i/>
          <w:iCs/>
          <w:lang w:val="es-ES" w:eastAsia="es-ES"/>
        </w:rPr>
        <w:t>] × 100</w:t>
      </w:r>
      <w:r>
        <w:rPr>
          <w:rFonts w:ascii="Arial" w:eastAsia="Arial" w:hAnsi="Arial" w:cs="Arial"/>
          <w:lang w:val="es-ES" w:eastAsia="es-ES"/>
        </w:rPr>
        <w:tab/>
        <w:t>(5)</w:t>
      </w:r>
    </w:p>
    <w:p w14:paraId="3E667F62"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La serie conservadora </w:t>
      </w:r>
      <w:r>
        <w:rPr>
          <w:rFonts w:ascii="Arial" w:eastAsia="Arial" w:hAnsi="Arial" w:cs="Arial"/>
          <w:lang w:val="es-ES" w:eastAsia="es-ES"/>
        </w:rPr>
        <w:t>(DR</w:t>
      </w:r>
      <w:r>
        <w:rPr>
          <w:rFonts w:ascii="Arial" w:eastAsia="Arial" w:hAnsi="Arial" w:cs="Arial"/>
          <w:vertAlign w:val="superscript"/>
          <w:lang w:val="es-ES" w:eastAsia="es-ES"/>
        </w:rPr>
        <w:t>cons</w:t>
      </w:r>
      <w:r>
        <w:rPr>
          <w:rFonts w:ascii="Arial" w:eastAsia="Arial" w:hAnsi="Arial" w:cs="Arial"/>
          <w:vertAlign w:val="subscript"/>
          <w:lang w:val="es-ES" w:eastAsia="es-ES"/>
        </w:rPr>
        <w:t>t+1</w:t>
      </w:r>
      <w:r>
        <w:rPr>
          <w:rFonts w:ascii="Arial" w:eastAsia="Arial" w:hAnsi="Arial" w:cs="Arial"/>
          <w:lang w:val="es-ES" w:eastAsia="es-ES"/>
        </w:rPr>
        <w:t xml:space="preserve">) excluye las ganancias por apreciación del guaraní, aislando únicamente el componente estructural del diferencial. Su ajuste cambiario aplica </w:t>
        <w:lastRenderedPageBreak/>
        <w:t>máx[(TC</w:t>
      </w:r>
      <w:r>
        <w:rPr>
          <w:rFonts w:ascii="Arial" w:eastAsia="Arial" w:hAnsi="Arial" w:cs="Arial"/>
          <w:vertAlign w:val="subscript"/>
          <w:lang w:val="es-ES" w:eastAsia="es-ES"/>
        </w:rPr>
        <w:t>t+1</w:t>
      </w:r>
      <w:r>
        <w:rPr>
          <w:rFonts w:ascii="Arial" w:eastAsia="Arial" w:hAnsi="Arial" w:cs="Arial"/>
          <w:lang w:val="es-ES" w:eastAsia="es-ES"/>
        </w:rPr>
        <w:t xml:space="preserve"> − TC</w:t>
      </w:r>
      <w:r>
        <w:rPr>
          <w:rFonts w:ascii="Arial" w:eastAsia="Arial" w:hAnsi="Arial" w:cs="Arial"/>
          <w:vertAlign w:val="subscript"/>
          <w:lang w:val="es-ES" w:eastAsia="es-ES"/>
        </w:rPr>
        <w:t>t</w:t>
      </w:r>
      <w:r>
        <w:rPr>
          <w:rFonts w:ascii="Arial" w:eastAsia="Arial" w:hAnsi="Arial" w:cs="Arial"/>
          <w:lang w:val="es-ES" w:eastAsia="es-ES"/>
        </w:rPr>
        <w:t>)/TC</w:t>
      </w:r>
      <w:r>
        <w:rPr>
          <w:rFonts w:ascii="Arial" w:eastAsia="Arial" w:hAnsi="Arial" w:cs="Arial"/>
          <w:vertAlign w:val="subscript"/>
          <w:lang w:val="es-ES" w:eastAsia="es-ES"/>
        </w:rPr>
        <w:t>t</w:t>
      </w:r>
      <w:r>
        <w:rPr>
          <w:rFonts w:ascii="Arial" w:eastAsia="Arial" w:hAnsi="Arial" w:cs="Arial"/>
          <w:lang w:val="es-ES" w:eastAsia="es-ES"/>
        </w:rPr>
        <w:t>, 0], que vale cero cuando el guaraní se aprecia y toma el valor de la depreciación efectiva cuando el guaraní pierde valor:</w:t>
      </w:r>
    </w:p>
    <w:p w14:paraId="7D31ACBD"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DRᶜᵒⁿˢ</w:t>
      </w:r>
      <w:r>
        <w:rPr>
          <w:rFonts w:ascii="Cambria Math" w:eastAsia="Arial" w:hAnsi="Cambria Math" w:cs="Cambria Math"/>
          <w:i/>
          <w:iCs/>
          <w:lang w:val="es-ES" w:eastAsia="es-ES"/>
        </w:rPr>
        <w:t>ₜ₊₁</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máx[(TC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w:t>
      </w:r>
      <w:r>
        <w:rPr>
          <w:rFonts w:ascii="Arial" w:eastAsia="Arial" w:hAnsi="Arial" w:cs="Arial"/>
          <w:i/>
          <w:iCs/>
          <w:lang w:val="es-ES" w:eastAsia="es-ES"/>
        </w:rPr>
        <w:t>, 0] × 100</w:t>
      </w:r>
      <w:r>
        <w:rPr>
          <w:rFonts w:ascii="Arial" w:eastAsia="Arial" w:hAnsi="Arial" w:cs="Arial"/>
          <w:lang w:val="es-ES" w:eastAsia="es-ES"/>
        </w:rPr>
        <w:tab/>
        <w:t>(6)</w:t>
      </w:r>
    </w:p>
    <w:p w14:paraId="75BCBC3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Se calculan estadísticas descriptivas completas de ambas series (media, mediana, desvío estándar, coeficiente de variación, mínimo, máximo, asimetría y curtosis) para el período completo y para cada subperíodo. La evolución temporal se presenta en gráficos de línea con indicación del quiebre de 2011.</w:t>
      </w:r>
    </w:p>
    <w:p w14:paraId="648D064F"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1" w:name="_Toc233474069"/>
      <w:r>
        <w:rPr>
          <w:rFonts w:ascii="Arial" w:eastAsia="Arial" w:hAnsi="Arial" w:cs="Arial"/>
          <w:b/>
          <w:bCs/>
          <w:i/>
          <w:iCs/>
          <w:color w:val="000000"/>
          <w:lang w:val="es-ES" w:eastAsia="es-ES"/>
        </w:rPr>
        <w:t>Etapa 2: Coeficiente de Fama y validación de la medida conservadora</w:t>
      </w:r>
      <w:bookmarkEnd w:id="21"/>
    </w:p>
    <w:p w14:paraId="1137E270"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Estimación del coeficiente de Fama. </w:t>
      </w:r>
      <w:r>
        <w:rPr>
          <w:rFonts w:ascii="Arial" w:eastAsia="Arial" w:hAnsi="Arial" w:cs="Arial"/>
          <w:lang w:val="es-ES" w:eastAsia="es-ES"/>
        </w:rPr>
        <w:t>Se estima la regresión Δs</w:t>
      </w:r>
      <w:r>
        <w:rPr>
          <w:rFonts w:ascii="Arial" w:eastAsia="Arial" w:hAnsi="Arial" w:cs="Arial"/>
          <w:vertAlign w:val="subscript"/>
          <w:lang w:val="es-ES" w:eastAsia="es-ES"/>
        </w:rPr>
        <w:t>t+1</w:t>
      </w:r>
      <w:r>
        <w:rPr>
          <w:rFonts w:ascii="Arial" w:eastAsia="Arial" w:hAnsi="Arial" w:cs="Arial"/>
          <w:lang w:val="es-ES" w:eastAsia="es-ES"/>
        </w:rPr>
        <w:t xml:space="preserve"> = α + β·[i</w:t>
      </w:r>
      <w:r>
        <w:rPr>
          <w:rFonts w:ascii="Arial" w:eastAsia="Arial" w:hAnsi="Arial" w:cs="Arial"/>
          <w:vertAlign w:val="subscript"/>
          <w:lang w:val="es-ES" w:eastAsia="es-ES"/>
        </w:rPr>
        <w:t>t</w:t>
      </w:r>
      <w:r>
        <w:rPr>
          <w:rFonts w:ascii="Arial" w:eastAsia="Arial" w:hAnsi="Arial" w:cs="Arial"/>
          <w:lang w:val="es-ES" w:eastAsia="es-ES"/>
        </w:rPr>
        <w:t>(Gs) − i</w:t>
      </w:r>
      <w:r>
        <w:rPr>
          <w:rFonts w:ascii="Arial" w:eastAsia="Arial" w:hAnsi="Arial" w:cs="Arial"/>
          <w:vertAlign w:val="subscript"/>
          <w:lang w:val="es-ES" w:eastAsia="es-ES"/>
        </w:rPr>
        <w:t>t</w:t>
      </w:r>
      <w:r>
        <w:rPr>
          <w:rFonts w:ascii="Arial" w:eastAsia="Arial" w:hAnsi="Arial" w:cs="Arial"/>
          <w:lang w:val="es-ES" w:eastAsia="es-ES"/>
        </w:rPr>
        <w:t>(USD)]/4 + ε</w:t>
      </w:r>
      <w:r>
        <w:rPr>
          <w:rFonts w:ascii="Arial" w:eastAsia="Arial" w:hAnsi="Arial" w:cs="Arial"/>
          <w:vertAlign w:val="subscript"/>
          <w:lang w:val="es-ES" w:eastAsia="es-ES"/>
        </w:rPr>
        <w:t>t+1</w:t>
      </w:r>
      <w:r>
        <w:rPr>
          <w:rFonts w:ascii="Arial" w:eastAsia="Arial" w:hAnsi="Arial" w:cs="Arial"/>
          <w:lang w:val="es-ES" w:eastAsia="es-ES"/>
        </w:rPr>
        <w:t xml:space="preserve"> por MCO con errores HAC para el período completo y para los subperíodos pre y post 2011; el diferencial de tasas se expresa trimestralizado —dividido por cuatro—, en la misma frecuencia que la depreciación, de modo que β = 1 constituye el valor de referencia bajo la UIP. Un β significativamente menor que 1 confirma el incumplimiento de la UIP; la comparación de β entre subperíodos indica si el anclaje de expectativas tras 2011 modificó el grado de desviación. Esta estimación articula el Pilar 2 con el resto del diseño.</w:t>
      </w:r>
    </w:p>
    <w:p w14:paraId="27F69F1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Validación de la medida conservadora. </w:t>
      </w:r>
      <w:r>
        <w:rPr>
          <w:rFonts w:ascii="Arial" w:eastAsia="Arial" w:hAnsi="Arial" w:cs="Arial"/>
          <w:lang w:val="es-ES" w:eastAsia="es-ES"/>
        </w:rPr>
        <w:t xml:space="preserve">La medida conservadora tiene una justificación económica precisa: un ahorrista que constituye un CDA en guaraníes asume </w:t>
      </w:r>
      <w:r>
        <w:rPr>
          <w:rFonts w:ascii="Arial" w:eastAsia="Arial" w:hAnsi="Arial" w:cs="Arial"/>
          <w:i/>
          <w:iCs/>
          <w:lang w:val="es-ES" w:eastAsia="es-ES"/>
        </w:rPr>
        <w:t>asimétricamente</w:t>
      </w:r>
      <w:r>
        <w:rPr>
          <w:rFonts w:ascii="Arial" w:eastAsia="Arial" w:hAnsi="Arial" w:cs="Arial"/>
          <w:lang w:val="es-ES" w:eastAsia="es-ES"/>
        </w:rPr>
        <w:t xml:space="preserve"> el riesgo de depreciación. El beneficio por apreciación no forma parte del premio estructural del guaraní, ya que es un evento favorable y transitorio ligado a condiciones externas. Al excluirlo, DR</w:t>
      </w:r>
      <w:r>
        <w:rPr>
          <w:rFonts w:ascii="Arial" w:eastAsia="Arial" w:hAnsi="Arial" w:cs="Arial"/>
          <w:vertAlign w:val="superscript"/>
          <w:lang w:val="es-ES" w:eastAsia="es-ES"/>
        </w:rPr>
        <w:t>cons</w:t>
      </w:r>
      <w:r>
        <w:rPr>
          <w:rFonts w:ascii="Arial" w:eastAsia="Arial" w:hAnsi="Arial" w:cs="Arial"/>
          <w:lang w:val="es-ES" w:eastAsia="es-ES"/>
        </w:rPr>
        <w:t xml:space="preserve"> aísla el diferencial que se sostiene incluso en escenarios cambiarios desfavorables para el tenedor en guaraníes.</w:t>
      </w:r>
    </w:p>
    <w:p w14:paraId="3B41AB8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hipótesis que se contrasta es unilateral: H</w:t>
      </w:r>
      <w:r>
        <w:rPr>
          <w:rFonts w:ascii="Arial" w:eastAsia="Arial" w:hAnsi="Arial" w:cs="Arial"/>
          <w:vertAlign w:val="subscript"/>
          <w:lang w:val="es-ES" w:eastAsia="es-ES"/>
        </w:rPr>
        <w:t>0</w:t>
      </w:r>
      <w:r>
        <w:rPr>
          <w:rFonts w:ascii="Arial" w:eastAsia="Arial" w:hAnsi="Arial" w:cs="Arial"/>
          <w:lang w:val="es-ES" w:eastAsia="es-ES"/>
        </w:rPr>
        <w:t>: μ(DR</w:t>
      </w:r>
      <w:r>
        <w:rPr>
          <w:rFonts w:ascii="Arial" w:eastAsia="Arial" w:hAnsi="Arial" w:cs="Arial"/>
          <w:vertAlign w:val="superscript"/>
          <w:lang w:val="es-ES" w:eastAsia="es-ES"/>
        </w:rPr>
        <w:t>cons</w:t>
      </w:r>
      <w:r>
        <w:rPr>
          <w:rFonts w:ascii="Arial" w:eastAsia="Arial" w:hAnsi="Arial" w:cs="Arial"/>
          <w:lang w:val="es-ES" w:eastAsia="es-ES"/>
        </w:rPr>
        <w:t>) ≤ 0 frente a H</w:t>
      </w:r>
      <w:r>
        <w:rPr>
          <w:rFonts w:ascii="Arial" w:eastAsia="Arial" w:hAnsi="Arial" w:cs="Arial"/>
          <w:vertAlign w:val="subscript"/>
          <w:lang w:val="es-ES" w:eastAsia="es-ES"/>
        </w:rPr>
        <w:t>A</w:t>
      </w:r>
      <w:r>
        <w:rPr>
          <w:rFonts w:ascii="Arial" w:eastAsia="Arial" w:hAnsi="Arial" w:cs="Arial"/>
          <w:lang w:val="es-ES" w:eastAsia="es-ES"/>
        </w:rPr>
        <w:t>: μ(DR</w:t>
      </w:r>
      <w:r>
        <w:rPr>
          <w:rFonts w:ascii="Arial" w:eastAsia="Arial" w:hAnsi="Arial" w:cs="Arial"/>
          <w:vertAlign w:val="superscript"/>
          <w:lang w:val="es-ES" w:eastAsia="es-ES"/>
        </w:rPr>
        <w:t>cons</w:t>
      </w:r>
      <w:r>
        <w:rPr>
          <w:rFonts w:ascii="Arial" w:eastAsia="Arial" w:hAnsi="Arial" w:cs="Arial"/>
          <w:lang w:val="es-ES" w:eastAsia="es-ES"/>
        </w:rPr>
        <w:t>) &gt; 0. Se emplea una prueba t de media muestral con corrección HAC de Newey-West para la autocorrelación serial. El nivel de significancia es α = 0,05. Se reportan adicionalmente: el intervalo de confianza bilateral al 95 % de la media de DR</w:t>
      </w:r>
      <w:r>
        <w:rPr>
          <w:rFonts w:ascii="Arial" w:eastAsia="Arial" w:hAnsi="Arial" w:cs="Arial"/>
          <w:vertAlign w:val="superscript"/>
          <w:lang w:val="es-ES" w:eastAsia="es-ES"/>
        </w:rPr>
        <w:t>cons</w:t>
      </w:r>
      <w:r>
        <w:rPr>
          <w:rFonts w:ascii="Arial" w:eastAsia="Arial" w:hAnsi="Arial" w:cs="Arial"/>
          <w:lang w:val="es-ES" w:eastAsia="es-ES"/>
        </w:rPr>
        <w:t>, el porcentaje de trimestres con DR</w:t>
      </w:r>
      <w:r>
        <w:rPr>
          <w:rFonts w:ascii="Arial" w:eastAsia="Arial" w:hAnsi="Arial" w:cs="Arial"/>
          <w:vertAlign w:val="superscript"/>
          <w:lang w:val="es-ES" w:eastAsia="es-ES"/>
        </w:rPr>
        <w:t>cons</w:t>
      </w:r>
      <w:r>
        <w:rPr>
          <w:rFonts w:ascii="Arial" w:eastAsia="Arial" w:hAnsi="Arial" w:cs="Arial"/>
          <w:lang w:val="es-ES" w:eastAsia="es-ES"/>
        </w:rPr>
        <w:t xml:space="preserve"> &gt; 0, y la comparación de medias entre ambas series para cuantificar el sesgo que introduce la apreciación en DR estándar. El año 2011 ilustra la importancia de esta </w:t>
        <w:lastRenderedPageBreak/>
        <w:t>distinción: el guaraní se apreció aproximadamente un 10 % frente al dólar ese año, lo que hace que DR</w:t>
      </w:r>
      <w:r>
        <w:rPr>
          <w:rFonts w:ascii="Arial" w:eastAsia="Arial" w:hAnsi="Arial" w:cs="Arial"/>
          <w:vertAlign w:val="subscript"/>
          <w:lang w:val="es-ES" w:eastAsia="es-ES"/>
        </w:rPr>
        <w:t>t+1</w:t>
      </w:r>
      <w:r>
        <w:rPr>
          <w:rFonts w:ascii="Arial" w:eastAsia="Arial" w:hAnsi="Arial" w:cs="Arial"/>
          <w:lang w:val="es-ES" w:eastAsia="es-ES"/>
        </w:rPr>
        <w:t xml:space="preserve"> registre un diferencial excepcionalmente alto que DR</w:t>
      </w:r>
      <w:r>
        <w:rPr>
          <w:rFonts w:ascii="Arial" w:eastAsia="Arial" w:hAnsi="Arial" w:cs="Arial"/>
          <w:vertAlign w:val="superscript"/>
          <w:lang w:val="es-ES" w:eastAsia="es-ES"/>
        </w:rPr>
        <w:t>cons</w:t>
      </w:r>
      <w:r>
        <w:rPr>
          <w:rFonts w:ascii="Arial" w:eastAsia="Arial" w:hAnsi="Arial" w:cs="Arial"/>
          <w:lang w:val="es-ES" w:eastAsia="es-ES"/>
        </w:rPr>
        <w:t xml:space="preserve"> descuenta.</w:t>
      </w:r>
    </w:p>
    <w:p w14:paraId="615EAED6"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2" w:name="_Toc233474070"/>
      <w:r>
        <w:rPr>
          <w:rFonts w:ascii="Arial" w:eastAsia="Arial" w:hAnsi="Arial" w:cs="Arial"/>
          <w:b/>
          <w:bCs/>
          <w:i/>
          <w:iCs/>
          <w:color w:val="000000"/>
          <w:lang w:val="es-ES" w:eastAsia="es-ES"/>
        </w:rPr>
        <w:t>Etapa 3: Estacionariedad y análisis de quiebre estructural</w:t>
      </w:r>
      <w:bookmarkEnd w:id="22"/>
    </w:p>
    <w:p w14:paraId="0866428E"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En primer lugar, se verifican las propiedades de integración de la serie DR</w:t>
      </w:r>
      <w:r>
        <w:rPr>
          <w:rFonts w:ascii="Arial" w:eastAsia="Arial" w:hAnsi="Arial" w:cs="Arial"/>
          <w:vertAlign w:val="subscript"/>
          <w:lang w:val="es-ES" w:eastAsia="es-ES"/>
        </w:rPr>
        <w:t>t+1</w:t>
      </w:r>
      <w:r>
        <w:rPr>
          <w:rFonts w:ascii="Arial" w:eastAsia="Arial" w:hAnsi="Arial" w:cs="Arial"/>
          <w:lang w:val="es-ES" w:eastAsia="es-ES"/>
        </w:rPr>
        <w:t xml:space="preserve"> con la prueba de Dickey-Fuller Aumentada (ADF, con rezagos seleccionados por el criterio BIC) , complementada con Phillips-Perron y con la prueba KPSS, cuya hipótesis nula invertida (estacionariedad) ofrece un contraste más informativo que dos pruebas con la misma nula. El orden de integración se verifica no solo para la variable dependiente sino para todas las variables del modelo y de la construcción de la prima (la volatilidad cambiaria, la dolarización y el diferencial de inflación empleado en la descomposición de Fisher): una regresión entre series de órdenes de integración distintos quedaría desbalanceada, y el ratio de dolarización —de caída sostenida a lo largo del período— es un candidato natural a raíz unitaria. La batería se aplica como secuencia de decisión: primero la integración de las series, luego la estimación, después el diagnóstico de los residuos y al final la estabilidad. No se exige análisis de cointegración, porque el mecanismo estudiado no es una relación de largo plazo. Si la serie es estacionaria en niveles I(0), se procede con las regresiones en niveles; si presenta raíz unitaria I(1), se transforma en primeras diferencias. La verificación de estacionariedad es un prerrequisito para la validez de la prueba t de medias y del modelo de la Etapa 5.</w:t>
      </w:r>
    </w:p>
    <w:p w14:paraId="5613E9E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a) Prueba t de diferencia de medias. </w:t>
      </w:r>
      <w:r>
        <w:rPr>
          <w:rFonts w:ascii="Arial" w:eastAsia="Arial" w:hAnsi="Arial" w:cs="Arial"/>
          <w:lang w:val="es-ES" w:eastAsia="es-ES"/>
        </w:rPr>
        <w:t>Se estiman el diferencial promedio y su desvío estándar para los subperíodos pre-Metas de Inflación (2004:T1–2010:T4, 28 trimestres) y post-Metas de Inflación (2011:T1–2024:T4, 56 trimestres), y se contrasta si la diferencia entre ambas medias es estadísticamente significativa con corrección HAC. El análisis se replica para DR</w:t>
      </w:r>
      <w:r>
        <w:rPr>
          <w:rFonts w:ascii="Arial" w:eastAsia="Arial" w:hAnsi="Arial" w:cs="Arial"/>
          <w:vertAlign w:val="subscript"/>
          <w:lang w:val="es-ES" w:eastAsia="es-ES"/>
        </w:rPr>
        <w:t>t+1</w:t>
      </w:r>
      <w:r>
        <w:rPr>
          <w:rFonts w:ascii="Arial" w:eastAsia="Arial" w:hAnsi="Arial" w:cs="Arial"/>
          <w:lang w:val="es-ES" w:eastAsia="es-ES"/>
        </w:rPr>
        <w:t xml:space="preserve"> y DR</w:t>
      </w:r>
      <w:r>
        <w:rPr>
          <w:rFonts w:ascii="Arial" w:eastAsia="Arial" w:hAnsi="Arial" w:cs="Arial"/>
          <w:vertAlign w:val="superscript"/>
          <w:lang w:val="es-ES" w:eastAsia="es-ES"/>
        </w:rPr>
        <w:t>cons</w:t>
      </w:r>
      <w:r>
        <w:rPr>
          <w:rFonts w:ascii="Arial" w:eastAsia="Arial" w:hAnsi="Arial" w:cs="Arial"/>
          <w:vertAlign w:val="subscript"/>
          <w:lang w:val="es-ES" w:eastAsia="es-ES"/>
        </w:rPr>
        <w:t>t+1</w:t>
      </w:r>
      <w:r>
        <w:rPr>
          <w:rFonts w:ascii="Arial" w:eastAsia="Arial" w:hAnsi="Arial" w:cs="Arial"/>
          <w:lang w:val="es-ES" w:eastAsia="es-ES"/>
        </w:rPr>
        <w:t>. Se advierte, no obstante, que esta prueba solo detecta cambios de nivel y no la recomposición de determinantes, que se aborda en la Etapa 5. Asimismo, el subperíodo pre-Metas de Inflación cuenta con 28 trimestres, una ventana más acotada que la del subperíodo posterior; ello reduce la potencia estadística de las comparaciones referidas a la etapa previa a 2011, limitación que se tiene en cuenta al interpretar los resultados.</w:t>
      </w:r>
    </w:p>
    <w:p w14:paraId="5500EBC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b) Pruebas de quiebre estructural de Bai y Perron (1998). </w:t>
      </w:r>
      <w:r>
        <w:rPr>
          <w:rFonts w:ascii="Arial" w:eastAsia="Arial" w:hAnsi="Arial" w:cs="Arial"/>
          <w:lang w:val="es-ES" w:eastAsia="es-ES"/>
        </w:rPr>
        <w:t xml:space="preserve">Se aplica el procedimiento de Bai-Perron para detectar múltiples quiebres estructurales </w:t>
      </w:r>
      <w:r>
        <w:rPr>
          <w:rFonts w:ascii="Arial" w:eastAsia="Arial" w:hAnsi="Arial" w:cs="Arial"/>
          <w:i/>
          <w:iCs/>
          <w:lang w:val="es-ES" w:eastAsia="es-ES"/>
        </w:rPr>
        <w:t>desconocidos</w:t>
      </w:r>
      <w:r>
        <w:rPr>
          <w:rFonts w:ascii="Arial" w:eastAsia="Arial" w:hAnsi="Arial" w:cs="Arial"/>
          <w:lang w:val="es-ES" w:eastAsia="es-ES"/>
        </w:rPr>
        <w:t xml:space="preserve"> en la serie DR</w:t>
      </w:r>
      <w:r>
        <w:rPr>
          <w:rFonts w:ascii="Arial" w:eastAsia="Arial" w:hAnsi="Arial" w:cs="Arial"/>
          <w:vertAlign w:val="subscript"/>
          <w:lang w:val="es-ES" w:eastAsia="es-ES"/>
        </w:rPr>
        <w:t>t+1</w:t>
      </w:r>
      <w:r>
        <w:rPr>
          <w:rFonts w:ascii="Arial" w:eastAsia="Arial" w:hAnsi="Arial" w:cs="Arial"/>
          <w:lang w:val="es-ES" w:eastAsia="es-ES"/>
        </w:rPr>
        <w:t>, sin imponer a priori la fecha 2011. Este procedimiento estima endógenamente las fechas de quiebre con sus intervalos de confianza al 95 %, y contrasta el número óptimo de rupturas mediante los estadísticos UDmax y WDmax. Si el procedimiento identifica un quiebre cercano a 2011, se confirma el rol del cambio de régimen; si detecta rupturas en otras fechas (la crisis global de 2008-2009, la caída de commodities de 2014-2016 o la pandemia de 2020), la narrativa se ajustará en consecuencia.</w:t>
      </w:r>
    </w:p>
    <w:p w14:paraId="1F6124BB"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3" w:name="_Toc233474071"/>
      <w:r>
        <w:rPr>
          <w:rFonts w:ascii="Arial" w:eastAsia="Arial" w:hAnsi="Arial" w:cs="Arial"/>
          <w:b/>
          <w:bCs/>
          <w:i/>
          <w:iCs/>
          <w:color w:val="000000"/>
          <w:lang w:val="es-ES" w:eastAsia="es-ES"/>
        </w:rPr>
        <w:lastRenderedPageBreak/>
        <w:t>Etapa 4: Descomposición del diferencial — Fisher vs. prima de riesgo</w:t>
      </w:r>
      <w:bookmarkEnd w:id="23"/>
    </w:p>
    <w:p w14:paraId="6CCAD6B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Para determinar si la adopción de Metas de Inflación comprimió el diferencial vía la prima de inflación, vía la prima de riesgo, o ambas, se aplica la descomposición de Fisher (Fisher, 1930) al diferencial de tasas nominales observado:</w:t>
      </w:r>
    </w:p>
    <w:p w14:paraId="3C9B76C8"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(π</w:t>
      </w:r>
      <w:r>
        <w:rPr>
          <w:rFonts w:ascii="Cambria Math" w:eastAsia="Arial" w:hAnsi="Cambria Math" w:cs="Cambria Math"/>
          <w:i/>
          <w:iCs/>
          <w:lang w:val="es-ES" w:eastAsia="es-ES"/>
        </w:rPr>
        <w:t>ₜ</w:t>
      </w:r>
      <w:r>
        <w:rPr>
          <w:rFonts w:ascii="Arial" w:eastAsia="Arial" w:hAnsi="Arial" w:cs="Arial"/>
          <w:i/>
          <w:iCs/>
          <w:lang w:val="es-ES" w:eastAsia="es-ES"/>
        </w:rPr>
        <w:t>,PY − π</w:t>
      </w:r>
      <w:r>
        <w:rPr>
          <w:rFonts w:ascii="Cambria Math" w:eastAsia="Arial" w:hAnsi="Cambria Math" w:cs="Cambria Math"/>
          <w:i/>
          <w:iCs/>
          <w:lang w:val="es-ES" w:eastAsia="es-ES"/>
        </w:rPr>
        <w:t>ₜ</w:t>
      </w:r>
      <w:r>
        <w:rPr>
          <w:rFonts w:ascii="Arial" w:eastAsia="Arial" w:hAnsi="Arial" w:cs="Arial"/>
          <w:i/>
          <w:iCs/>
          <w:lang w:val="es-ES" w:eastAsia="es-ES"/>
        </w:rPr>
        <w:t>,US) + (r</w:t>
      </w:r>
      <w:r>
        <w:rPr>
          <w:rFonts w:ascii="Cambria Math" w:eastAsia="Arial" w:hAnsi="Cambria Math" w:cs="Cambria Math"/>
          <w:i/>
          <w:iCs/>
          <w:lang w:val="es-ES" w:eastAsia="es-ES"/>
        </w:rPr>
        <w:t>ₜ</w:t>
      </w:r>
      <w:r>
        <w:rPr>
          <w:rFonts w:ascii="Arial" w:eastAsia="Arial" w:hAnsi="Arial" w:cs="Arial"/>
          <w:i/>
          <w:iCs/>
          <w:lang w:val="es-ES" w:eastAsia="es-ES"/>
        </w:rPr>
        <w:t>,Gs − r</w:t>
      </w:r>
      <w:r>
        <w:rPr>
          <w:rFonts w:ascii="Cambria Math" w:eastAsia="Arial" w:hAnsi="Cambria Math" w:cs="Cambria Math"/>
          <w:i/>
          <w:iCs/>
          <w:lang w:val="es-ES" w:eastAsia="es-ES"/>
        </w:rPr>
        <w:t>ₜ</w:t>
      </w:r>
      <w:r>
        <w:rPr>
          <w:rFonts w:ascii="Arial" w:eastAsia="Arial" w:hAnsi="Arial" w:cs="Arial"/>
          <w:i/>
          <w:iCs/>
          <w:lang w:val="es-ES" w:eastAsia="es-ES"/>
        </w:rPr>
        <w:t>,USD)</w:t>
      </w:r>
      <w:r>
        <w:rPr>
          <w:rFonts w:ascii="Arial" w:eastAsia="Arial" w:hAnsi="Arial" w:cs="Arial"/>
          <w:lang w:val="es-ES" w:eastAsia="es-ES"/>
        </w:rPr>
        <w:tab/>
        <w:t>(7)</w:t>
      </w:r>
    </w:p>
    <w:p w14:paraId="3328A3E9"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componente de inflación esperada se aproxima con el diferencial de inflación observado (π</w:t>
      </w:r>
      <w:r>
        <w:rPr>
          <w:rFonts w:ascii="Arial" w:eastAsia="Arial" w:hAnsi="Arial" w:cs="Arial"/>
          <w:vertAlign w:val="subscript"/>
          <w:lang w:val="es-ES" w:eastAsia="es-ES"/>
        </w:rPr>
        <w:t>t,PY</w:t>
      </w:r>
      <w:r>
        <w:rPr>
          <w:rFonts w:ascii="Arial" w:eastAsia="Arial" w:hAnsi="Arial" w:cs="Arial"/>
          <w:lang w:val="es-ES" w:eastAsia="es-ES"/>
        </w:rPr>
        <w:t xml:space="preserve"> − π</w:t>
      </w:r>
      <w:r>
        <w:rPr>
          <w:rFonts w:ascii="Arial" w:eastAsia="Arial" w:hAnsi="Arial" w:cs="Arial"/>
          <w:vertAlign w:val="subscript"/>
          <w:lang w:val="es-ES" w:eastAsia="es-ES"/>
        </w:rPr>
        <w:t>t,US</w:t>
      </w:r>
      <w:r>
        <w:rPr>
          <w:rFonts w:ascii="Arial" w:eastAsia="Arial" w:hAnsi="Arial" w:cs="Arial"/>
          <w:lang w:val="es-ES" w:eastAsia="es-ES"/>
        </w:rPr>
        <w:t>). Este proxy introduce un error de medición (ε</w:t>
      </w:r>
      <w:r>
        <w:rPr>
          <w:rFonts w:ascii="Arial" w:eastAsia="Arial" w:hAnsi="Arial" w:cs="Arial"/>
          <w:vertAlign w:val="subscript"/>
          <w:lang w:val="es-ES" w:eastAsia="es-ES"/>
        </w:rPr>
        <w:t>t</w:t>
      </w:r>
      <w:r>
        <w:rPr>
          <w:rFonts w:ascii="Arial" w:eastAsia="Arial" w:hAnsi="Arial" w:cs="Arial"/>
          <w:lang w:val="es-ES" w:eastAsia="es-ES"/>
        </w:rPr>
        <w:t>) dado que la inflación observada no es idéntica a la esperada, pero es el estándar habitual en la literatura empírica. La prima de riesgo real estimada en cada trimestre se define como el residuo de la descomposición:</w:t>
      </w:r>
    </w:p>
    <w:p w14:paraId="3924DF89"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rp</w:t>
      </w:r>
      <w:r>
        <w:rPr>
          <w:rFonts w:ascii="Cambria Math" w:eastAsia="Arial" w:hAnsi="Cambria Math" w:cs="Cambria Math"/>
          <w:i/>
          <w:iCs/>
          <w:lang w:val="es-ES" w:eastAsia="es-ES"/>
        </w:rPr>
        <w:t>ₜ</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(π</w:t>
      </w:r>
      <w:r>
        <w:rPr>
          <w:rFonts w:ascii="Cambria Math" w:eastAsia="Arial" w:hAnsi="Cambria Math" w:cs="Cambria Math"/>
          <w:i/>
          <w:iCs/>
          <w:lang w:val="es-ES" w:eastAsia="es-ES"/>
        </w:rPr>
        <w:t>ₜ</w:t>
      </w:r>
      <w:r>
        <w:rPr>
          <w:rFonts w:ascii="Arial" w:eastAsia="Arial" w:hAnsi="Arial" w:cs="Arial"/>
          <w:i/>
          <w:iCs/>
          <w:lang w:val="es-ES" w:eastAsia="es-ES"/>
        </w:rPr>
        <w:t>,PY − π</w:t>
      </w:r>
      <w:r>
        <w:rPr>
          <w:rFonts w:ascii="Cambria Math" w:eastAsia="Arial" w:hAnsi="Cambria Math" w:cs="Cambria Math"/>
          <w:i/>
          <w:iCs/>
          <w:lang w:val="es-ES" w:eastAsia="es-ES"/>
        </w:rPr>
        <w:t>ₜ</w:t>
      </w:r>
      <w:r>
        <w:rPr>
          <w:rFonts w:ascii="Arial" w:eastAsia="Arial" w:hAnsi="Arial" w:cs="Arial"/>
          <w:i/>
          <w:iCs/>
          <w:lang w:val="es-ES" w:eastAsia="es-ES"/>
        </w:rPr>
        <w:t>,US)</w:t>
      </w:r>
      <w:r>
        <w:rPr>
          <w:rFonts w:ascii="Arial" w:eastAsia="Arial" w:hAnsi="Arial" w:cs="Arial"/>
          <w:lang w:val="es-ES" w:eastAsia="es-ES"/>
        </w:rPr>
        <w:tab/>
        <w:t>(8)</w:t>
      </w:r>
    </w:p>
    <w:p w14:paraId="56A065F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Se calcula rp</w:t>
      </w:r>
      <w:r>
        <w:rPr>
          <w:rFonts w:ascii="Arial" w:eastAsia="Arial" w:hAnsi="Arial" w:cs="Arial"/>
          <w:vertAlign w:val="subscript"/>
          <w:lang w:val="es-ES" w:eastAsia="es-ES"/>
        </w:rPr>
        <w:t>t</w:t>
      </w:r>
      <w:r>
        <w:rPr>
          <w:rFonts w:ascii="Arial" w:eastAsia="Arial" w:hAnsi="Arial" w:cs="Arial"/>
          <w:lang w:val="es-ES" w:eastAsia="es-ES"/>
        </w:rPr>
        <w:t xml:space="preserve"> para cada trimestre y se compara su proporción dentro del diferencial nominal total para los subperíodos pre y post 2011. Si el régimen de metas funcionó como predice la teoría, la prima de inflación debería representar una fracción menor del diferencial post-2011, mientras que la prima de riesgo real podría persistir o ganar peso relativo. Los resultados se presentan con estadísticas de media y desvío estándar para cada componente y subperíodo, junto con una prueba t de diferencia de medias. Esta etapa documenta la </w:t>
      </w:r>
      <w:r>
        <w:rPr>
          <w:rFonts w:ascii="Arial" w:eastAsia="Arial" w:hAnsi="Arial" w:cs="Arial"/>
          <w:i/>
          <w:iCs/>
          <w:lang w:val="es-ES" w:eastAsia="es-ES"/>
        </w:rPr>
        <w:t>primera capa</w:t>
      </w:r>
      <w:r>
        <w:rPr>
          <w:rFonts w:ascii="Arial" w:eastAsia="Arial" w:hAnsi="Arial" w:cs="Arial"/>
          <w:lang w:val="es-ES" w:eastAsia="es-ES"/>
        </w:rPr>
        <w:t xml:space="preserve"> de la recomposición (inflación vs. riesgo); la segunda capa (depreciación vs. iliquidez, dentro de la prima de riesgo) se identifica econométricamente en la Etapa 5.</w:t>
      </w:r>
    </w:p>
    <w:p w14:paraId="62744404"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4" w:name="_Toc233474072"/>
      <w:r>
        <w:rPr>
          <w:rFonts w:ascii="Arial" w:eastAsia="Arial" w:hAnsi="Arial" w:cs="Arial"/>
          <w:b/>
          <w:bCs/>
          <w:i/>
          <w:iCs/>
          <w:color w:val="000000"/>
          <w:lang w:val="es-ES" w:eastAsia="es-ES"/>
        </w:rPr>
        <w:t>Etapa 5: Modelo de regresión MCO-HAC con interacciones</w:t>
      </w:r>
      <w:bookmarkEnd w:id="24"/>
    </w:p>
    <w:p w14:paraId="2162296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identificación de la recomposición exige un modelo capaz de detectar cambios en el </w:t>
      </w:r>
      <w:r>
        <w:rPr>
          <w:rFonts w:ascii="Arial" w:eastAsia="Arial" w:hAnsi="Arial" w:cs="Arial"/>
          <w:i/>
          <w:iCs/>
          <w:lang w:val="es-ES" w:eastAsia="es-ES"/>
        </w:rPr>
        <w:t>peso</w:t>
      </w:r>
      <w:r>
        <w:rPr>
          <w:rFonts w:ascii="Arial" w:eastAsia="Arial" w:hAnsi="Arial" w:cs="Arial"/>
          <w:lang w:val="es-ES" w:eastAsia="es-ES"/>
        </w:rPr>
        <w:t xml:space="preserve"> de cada determinante, no solo un cambio de nivel. Una indicadora aditiva D2011 capta únicamente un salto en el promedio del diferencial; para contrastar si el peso del riesgo de depreciación cae y el de la iliquidez sube tras 2011 se requieren </w:t>
      </w:r>
      <w:r>
        <w:rPr>
          <w:rFonts w:ascii="Arial" w:eastAsia="Arial" w:hAnsi="Arial" w:cs="Arial"/>
          <w:b/>
          <w:bCs/>
          <w:lang w:val="es-ES" w:eastAsia="es-ES"/>
        </w:rPr>
        <w:t>términos de interacción</w:t>
      </w:r>
      <w:r>
        <w:rPr>
          <w:rFonts w:ascii="Arial" w:eastAsia="Arial" w:hAnsi="Arial" w:cs="Arial"/>
          <w:lang w:val="es-ES" w:eastAsia="es-ES"/>
        </w:rPr>
        <w:t>. El modelo se estima por MCO con errores HAC Newey-West (Newey &amp; West, 1987):</w:t>
      </w:r>
    </w:p>
    <w:p>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 xml:space="preserve">rpₜ = β₀ + β₂·VolTCᶜₜ + β₃·Iliqᶜₜ + β₄·D2011 + β₅·(D2011×VolTCᶜₜ) + β₆·(D2011×Iliqᶜₜ) + εₜ</w:t>
      </w:r>
      <w:r>
        <w:rPr>
          <w:rFonts w:ascii="Arial" w:eastAsia="Arial" w:hAnsi="Arial" w:cs="Arial"/>
          <w:lang w:val="es-ES" w:eastAsia="es-ES"/>
        </w:rPr>
        <w:tab/>
        <w:t>(9)</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Dos decisiones de especificación gobiernan la ecuación (9). Primera: la variable dependiente es el diferencial real residual rpₜ (ecuación 8) —empleado como proxy de la prima de riesgo; además de la prima propiamente dicha, recoge errores de expectativas y primas de liquidez, crédito y plazo, error de medición que se declara—, y no el diferencial de retornos completo. El diferencial contiene por construcción al diferencial de inflación (ecuación 7), de modo que regresarlo sobre esa misma variable generaría una circularidad; con rpₜ como dependiente, el diferencial de inflación queda excluido del lado derecho y la variable explicada es exactamente aquello que la hipótesis afirma que se recompone. Segunda: las variables VolTC e Iliq entran centradas en su media muestral (superíndice c), de modo que β₄ mida el cambio de nivel de la prima entre regímenes evaluado en valores promedio de los determinantes, y no en el punto —económicamente imposible— en que la volatilidad y la dolarización valen cero. El diferencial de inflación —que en una formulación sobre el diferencial completo sería el regresor β₁— queda excluido del lado derecho al adoptar rpₜ como dependiente: ninguna especificación del modelo emplea la inflación como variable explicativa, lo que elimina por construcción la circularidad de Fisher.</w:t>
      </w:r>
    </w:p>
    <w:p w14:paraId="5A905AB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Las variables y los signos esperados se definen del siguiente modo:</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rpₜ (variable dependiente): prima de riesgo residual definida en la ecuación (8), igual al diferencial de tasas menos el diferencial de inflación interanual; el diferencial de inflación no integra el lado derecho del modelo.</w:t>
      </w:r>
    </w:p>
    <w:p w14:paraId="2FBD1E43"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VolTC</w:t>
      </w:r>
      <w:r>
        <w:rPr>
          <w:rFonts w:ascii="Arial" w:eastAsia="Arial" w:hAnsi="Arial" w:cs="Arial"/>
          <w:b/>
          <w:bCs/>
          <w:vertAlign w:val="subscript"/>
          <w:lang w:val="es-ES" w:eastAsia="es-ES"/>
        </w:rPr>
        <w:t>t</w:t>
      </w:r>
      <w:r>
        <w:rPr>
          <w:rFonts w:ascii="Arial" w:eastAsia="Arial" w:hAnsi="Arial" w:cs="Arial"/>
          <w:lang w:val="es-ES" w:eastAsia="es-ES"/>
        </w:rPr>
        <w:t>: desvío estándar de la depreciación trimestral del guaraní sobre una ventana móvil de ocho trimestres; aproxima el riesgo de depreciación cambiaria. Se espera β</w:t>
      </w:r>
      <w:r>
        <w:rPr>
          <w:rFonts w:ascii="Arial" w:eastAsia="Arial" w:hAnsi="Arial" w:cs="Arial"/>
          <w:vertAlign w:val="subscript"/>
          <w:lang w:val="es-ES" w:eastAsia="es-ES"/>
        </w:rPr>
        <w:t>2</w:t>
      </w:r>
      <w:r>
        <w:rPr>
          <w:rFonts w:ascii="Arial" w:eastAsia="Arial" w:hAnsi="Arial" w:cs="Arial"/>
          <w:lang w:val="es-ES" w:eastAsia="es-ES"/>
        </w:rPr>
        <w:t xml:space="preserve"> &gt; 0 (su efecto en el período pre-2011).</w:t>
      </w:r>
    </w:p>
    <w:p w14:paraId="053EBAE6"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Iliq</w:t>
      </w:r>
      <w:r>
        <w:rPr>
          <w:rFonts w:ascii="Arial" w:eastAsia="Arial" w:hAnsi="Arial" w:cs="Arial"/>
          <w:b/>
          <w:bCs/>
          <w:vertAlign w:val="subscript"/>
          <w:lang w:val="es-ES" w:eastAsia="es-ES"/>
        </w:rPr>
        <w:t>t</w:t>
      </w:r>
      <w:r>
        <w:rPr>
          <w:rFonts w:ascii="Arial" w:eastAsia="Arial" w:hAnsi="Arial" w:cs="Arial"/>
          <w:lang w:val="es-ES" w:eastAsia="es-ES"/>
        </w:rPr>
        <w:t>: ratio de dolarización de depósitos del sistema bancario (proxy de iliquidez/segmentación; robustez con brecha de encaje Gs/USD). Aproxima el riesgo de iliquidez del mercado de fondos prestables. Se espera β</w:t>
      </w:r>
      <w:r>
        <w:rPr>
          <w:rFonts w:ascii="Arial" w:eastAsia="Arial" w:hAnsi="Arial" w:cs="Arial"/>
          <w:vertAlign w:val="subscript"/>
          <w:lang w:val="es-ES" w:eastAsia="es-ES"/>
        </w:rPr>
        <w:t>3</w:t>
      </w:r>
      <w:r>
        <w:rPr>
          <w:rFonts w:ascii="Arial" w:eastAsia="Arial" w:hAnsi="Arial" w:cs="Arial"/>
          <w:lang w:val="es-ES" w:eastAsia="es-ES"/>
        </w:rPr>
        <w:t xml:space="preserve"> &gt; 0.</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D2011: variable binaria igual a 1 desde 2011:T1 y 0 antes; capta el cambio de nivel de la prima asociado al régimen (β₄), evaluado —por el centrado— en los valores promedio de los determinantes. La fecha se fija por el evento institucional discreto (Resolución N.º 22, Acta N.º 31, del 18 de mayo de 2011). Dado que las pruebas de quiebre con fecha endógena pueden ubicar la ruptura dominante de la serie en otros episodios —en particular la crisis financiera global de 2008–2009—, la indicadora se interpreta como marca del cambio de régimen monetario y no como el punto de máxima inestabilidad estadística de la serie; la distinción se explicita al reportar los resultados.</w:t>
      </w:r>
    </w:p>
    <w:p w14:paraId="2D9ADF4C"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D2011×VolTC</w:t>
      </w:r>
      <w:r>
        <w:rPr>
          <w:rFonts w:ascii="Arial" w:eastAsia="Arial" w:hAnsi="Arial" w:cs="Arial"/>
          <w:b/>
          <w:bCs/>
          <w:vertAlign w:val="subscript"/>
          <w:lang w:val="es-ES" w:eastAsia="es-ES"/>
        </w:rPr>
        <w:t>t</w:t>
      </w:r>
      <w:r>
        <w:rPr>
          <w:rFonts w:ascii="Arial" w:eastAsia="Arial" w:hAnsi="Arial" w:cs="Arial"/>
          <w:lang w:val="es-ES" w:eastAsia="es-ES"/>
        </w:rPr>
        <w:t>: interacción que mide el cambio en el peso del riesgo de depreciación tras 2011. La hipótesis de recomposición predice β</w:t>
      </w:r>
      <w:r>
        <w:rPr>
          <w:rFonts w:ascii="Arial" w:eastAsia="Arial" w:hAnsi="Arial" w:cs="Arial"/>
          <w:vertAlign w:val="subscript"/>
          <w:lang w:val="es-ES" w:eastAsia="es-ES"/>
        </w:rPr>
        <w:t>5</w:t>
      </w:r>
      <w:r>
        <w:rPr>
          <w:rFonts w:ascii="Arial" w:eastAsia="Arial" w:hAnsi="Arial" w:cs="Arial"/>
          <w:lang w:val="es-ES" w:eastAsia="es-ES"/>
        </w:rPr>
        <w:t xml:space="preserve"> &lt; 0 (el anclaje de expectativas reduce la sensibilidad del diferencial a la volatilidad cambiaria).</w:t>
      </w:r>
    </w:p>
    <w:p w14:paraId="29753523"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D2011×Iliq</w:t>
      </w:r>
      <w:r>
        <w:rPr>
          <w:rFonts w:ascii="Arial" w:eastAsia="Arial" w:hAnsi="Arial" w:cs="Arial"/>
          <w:b/>
          <w:bCs/>
          <w:vertAlign w:val="subscript"/>
          <w:lang w:val="es-ES" w:eastAsia="es-ES"/>
        </w:rPr>
        <w:t>t</w:t>
      </w:r>
      <w:r>
        <w:rPr>
          <w:rFonts w:ascii="Arial" w:eastAsia="Arial" w:hAnsi="Arial" w:cs="Arial"/>
          <w:lang w:val="es-ES" w:eastAsia="es-ES"/>
        </w:rPr>
        <w:t>: interacción que mide el cambio en el peso del riesgo de iliquidez tras 2011. La hipótesis predice β</w:t>
      </w:r>
      <w:r>
        <w:rPr>
          <w:rFonts w:ascii="Arial" w:eastAsia="Arial" w:hAnsi="Arial" w:cs="Arial"/>
          <w:vertAlign w:val="subscript"/>
          <w:lang w:val="es-ES" w:eastAsia="es-ES"/>
        </w:rPr>
        <w:t>6</w:t>
      </w:r>
      <w:r>
        <w:rPr>
          <w:rFonts w:ascii="Arial" w:eastAsia="Arial" w:hAnsi="Arial" w:cs="Arial"/>
          <w:lang w:val="es-ES" w:eastAsia="es-ES"/>
        </w:rPr>
        <w:t xml:space="preserve"> &gt; 0 (la iliquidez pasa a dominar la prima de riesgo que sobrevive).</w:t>
      </w:r>
    </w:p>
    <w:p w14:paraId="108440F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Sistema de hipótesis estadísticas (operacionalización de la hipótesis de investigación de la Sección 6). </w:t>
      </w:r>
      <w:r>
        <w:rPr>
          <w:rFonts w:ascii="Arial" w:eastAsia="Arial" w:hAnsi="Arial" w:cs="Arial"/>
          <w:lang w:val="es-ES" w:eastAsia="es-ES"/>
        </w:rPr>
        <w:t>La recomposición se contrasta sobre los coeficientes de interacción, no sobre el nivel del diferencial:</w:t>
      </w:r>
    </w:p>
    <w:p w14:paraId="3CBD98AD"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H</w:t>
      </w:r>
      <w:r>
        <w:rPr>
          <w:rFonts w:ascii="Arial" w:eastAsia="Arial" w:hAnsi="Arial" w:cs="Arial"/>
          <w:vertAlign w:val="subscript"/>
          <w:lang w:val="es-ES" w:eastAsia="es-ES"/>
        </w:rPr>
        <w:t>0</w:t>
      </w:r>
      <w:r>
        <w:rPr>
          <w:rFonts w:ascii="Arial" w:eastAsia="Arial" w:hAnsi="Arial" w:cs="Arial"/>
          <w:lang w:val="es-ES" w:eastAsia="es-ES"/>
        </w:rPr>
        <w:t>: β</w:t>
      </w:r>
      <w:r>
        <w:rPr>
          <w:rFonts w:ascii="Arial" w:eastAsia="Arial" w:hAnsi="Arial" w:cs="Arial"/>
          <w:vertAlign w:val="subscript"/>
          <w:lang w:val="es-ES" w:eastAsia="es-ES"/>
        </w:rPr>
        <w:t>5</w:t>
      </w:r>
      <w:r>
        <w:rPr>
          <w:rFonts w:ascii="Arial" w:eastAsia="Arial" w:hAnsi="Arial" w:cs="Arial"/>
          <w:lang w:val="es-ES" w:eastAsia="es-ES"/>
        </w:rPr>
        <w:t xml:space="preserve"> ≥ 0 y β</w:t>
      </w:r>
      <w:r>
        <w:rPr>
          <w:rFonts w:ascii="Arial" w:eastAsia="Arial" w:hAnsi="Arial" w:cs="Arial"/>
          <w:vertAlign w:val="subscript"/>
          <w:lang w:val="es-ES" w:eastAsia="es-ES"/>
        </w:rPr>
        <w:t>6</w:t>
      </w:r>
      <w:r>
        <w:rPr>
          <w:rFonts w:ascii="Arial" w:eastAsia="Arial" w:hAnsi="Arial" w:cs="Arial"/>
          <w:lang w:val="es-ES" w:eastAsia="es-ES"/>
        </w:rPr>
        <w:t xml:space="preserve"> ≤ 0 (no hay recomposición: el peso del riesgo de depreciación no cae y el de la iliquidez no sube tras 2011).</w:t>
      </w:r>
    </w:p>
    <w:p w14:paraId="5097073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H</w:t>
      </w:r>
      <w:r>
        <w:rPr>
          <w:rFonts w:ascii="Arial" w:eastAsia="Arial" w:hAnsi="Arial" w:cs="Arial"/>
          <w:vertAlign w:val="subscript"/>
          <w:lang w:val="es-ES" w:eastAsia="es-ES"/>
        </w:rPr>
        <w:t>A</w:t>
      </w:r>
      <w:r>
        <w:rPr>
          <w:rFonts w:ascii="Arial" w:eastAsia="Arial" w:hAnsi="Arial" w:cs="Arial"/>
          <w:lang w:val="es-ES" w:eastAsia="es-ES"/>
        </w:rPr>
        <w:t>: β</w:t>
      </w:r>
      <w:r>
        <w:rPr>
          <w:rFonts w:ascii="Arial" w:eastAsia="Arial" w:hAnsi="Arial" w:cs="Arial"/>
          <w:vertAlign w:val="subscript"/>
          <w:lang w:val="es-ES" w:eastAsia="es-ES"/>
        </w:rPr>
        <w:t>5</w:t>
      </w:r>
      <w:r>
        <w:rPr>
          <w:rFonts w:ascii="Arial" w:eastAsia="Arial" w:hAnsi="Arial" w:cs="Arial"/>
          <w:lang w:val="es-ES" w:eastAsia="es-ES"/>
        </w:rPr>
        <w:t xml:space="preserve"> &lt; 0 y β</w:t>
      </w:r>
      <w:r>
        <w:rPr>
          <w:rFonts w:ascii="Arial" w:eastAsia="Arial" w:hAnsi="Arial" w:cs="Arial"/>
          <w:vertAlign w:val="subscript"/>
          <w:lang w:val="es-ES" w:eastAsia="es-ES"/>
        </w:rPr>
        <w:t>6</w:t>
      </w:r>
      <w:r>
        <w:rPr>
          <w:rFonts w:ascii="Arial" w:eastAsia="Arial" w:hAnsi="Arial" w:cs="Arial"/>
          <w:lang w:val="es-ES" w:eastAsia="es-ES"/>
        </w:rPr>
        <w:t xml:space="preserve"> &gt; 0 (hay recomposición direccional: el determinante dominante de la prima de riesgo migra del riesgo de depreciación al riesgo de iliquidez). El contraste principal de la hipótesis general —la recomposición sin dirección impuesta— es la prueba de Wald conjunta sobre el bloque de interacciones (H0: β5 = β6 = 0, la composición no cambia, frente a HA: al menos uno distinto de cero, la composición cambia), aplicada tanto al retorno DRₜ₊₁ como a la prima de riesgo rpₜ de la ecuación (8) —el objeto directo de la teoría—, y complementada con la prueba de Chow sobre la ecuación de la prima. El nivel de significancia se fija en α = 0,05 también para estos contrastes. Adicionalmente, dado que la hipótesis afirma una migración de dominancia —que tras 2011 un determinante pasa a pesar más que el otro—, se contrasta de manera explícita la diferencia entre las incidencias post-2011 de ambos determinantes expresadas en unidades comparables (coeficientes estandarizados), mediante una prueba t sobre la combinación lineal correspondiente: probar que cada peso cambió por separado no prueba que uno pasó a dominar sobre el otro.</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número de rezagos del estimador de Newey-West se fija en cuatro —un año de memoria en datos trimestrales—, valor coherente con las reglas prácticas habituales para una muestra de este tamaño (aproximadamente la raíz cúbica de T, con T = 84; Andrews, 1991). Se estima el modelo principal con rpₜ como variable dependiente; como pruebas de robustez se reestima con la serie conservadora DRᶜᵒⁿˢₜ₊₁ (Etapa 6) y con la serie alternativa de promedio ponderado (Etapa 7), en ningún caso incluyendo la inflación como regresor.</w:t>
      </w:r>
    </w:p>
    <w:p w14:paraId="27159C99"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5" w:name="_Toc233474073"/>
      <w:r>
        <w:rPr>
          <w:rFonts w:ascii="Arial" w:eastAsia="Arial" w:hAnsi="Arial" w:cs="Arial"/>
          <w:b/>
          <w:bCs/>
          <w:i/>
          <w:iCs/>
          <w:color w:val="000000"/>
          <w:lang w:val="es-ES" w:eastAsia="es-ES"/>
        </w:rPr>
        <w:t>Etapa 6: Diagnóstico y robustez</w:t>
      </w:r>
      <w:bookmarkEnd w:id="25"/>
    </w:p>
    <w:p w14:paraId="03256C2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Se reportan las siguientes pruebas de diagnóstico sobre el modelo de la Etapa 5: Breusch-Godfrey para autocorrelación residual hasta 4 rezagos, White para heterocedasticidad, Ramsey RESET para detectar mala especificación funcional, y Jarque-Bera para la normalidad de los residuos. Como controles de robustez se reestima el modelo (i) con la brecha de encaje Gs/USD en lugar del ratio de dolarización como proxy de iliquidez; (ii) con la serie conservadora DR</w:t>
      </w:r>
      <w:r>
        <w:rPr>
          <w:rFonts w:ascii="Arial" w:eastAsia="Arial" w:hAnsi="Arial" w:cs="Arial"/>
          <w:vertAlign w:val="superscript"/>
          <w:lang w:val="es-ES" w:eastAsia="es-ES"/>
        </w:rPr>
        <w:t>cons</w:t>
      </w:r>
      <w:r>
        <w:rPr>
          <w:rFonts w:ascii="Arial" w:eastAsia="Arial" w:hAnsi="Arial" w:cs="Arial"/>
          <w:vertAlign w:val="subscript"/>
          <w:lang w:val="es-ES" w:eastAsia="es-ES"/>
        </w:rPr>
        <w:t>t+1</w:t>
      </w:r>
      <w:r>
        <w:rPr>
          <w:rFonts w:ascii="Arial" w:eastAsia="Arial" w:hAnsi="Arial" w:cs="Arial"/>
          <w:lang w:val="es-ES" w:eastAsia="es-ES"/>
        </w:rPr>
        <w:t xml:space="preserve"> como variable dependiente; y (iii) acotando la muestra al tramo de cobertura continua verificado en la Sección 4. La consistencia de los signos y la significancia de β</w:t>
      </w:r>
      <w:r>
        <w:rPr>
          <w:rFonts w:ascii="Arial" w:eastAsia="Arial" w:hAnsi="Arial" w:cs="Arial"/>
          <w:vertAlign w:val="subscript"/>
          <w:lang w:val="es-ES" w:eastAsia="es-ES"/>
        </w:rPr>
        <w:t>5</w:t>
      </w:r>
      <w:r>
        <w:rPr>
          <w:rFonts w:ascii="Arial" w:eastAsia="Arial" w:hAnsi="Arial" w:cs="Arial"/>
          <w:lang w:val="es-ES" w:eastAsia="es-ES"/>
        </w:rPr>
        <w:t xml:space="preserve"> y β</w:t>
      </w:r>
      <w:r>
        <w:rPr>
          <w:rFonts w:ascii="Arial" w:eastAsia="Arial" w:hAnsi="Arial" w:cs="Arial"/>
          <w:vertAlign w:val="subscript"/>
          <w:lang w:val="es-ES" w:eastAsia="es-ES"/>
        </w:rPr>
        <w:t>6</w:t>
      </w:r>
      <w:r>
        <w:rPr>
          <w:rFonts w:ascii="Arial" w:eastAsia="Arial" w:hAnsi="Arial" w:cs="Arial"/>
          <w:lang w:val="es-ES" w:eastAsia="es-ES"/>
        </w:rPr>
        <w:t xml:space="preserve"> a través de estas especificaciones constituye la evidencia central a favor o en contra de la hipótesis de recomposición. Se deja constancia de que la serie homogénea de tasas de encaje legal por moneda para 2004–2024 no se encuentra disponible en las publicaciones estadísticas de acceso público del BCP, por lo que la prueba de robustez (i) se declara no factible y el ratio de dolarización de depósitos se mantiene como proxy única del componente de iliquidez. Se agrega una robustez adicional (iv): la reestimación con el ratio de dolarización rezagado un trimestre, que mitiga la posible simultaneidad entre la prima y la dolarización —ambas se determinan mutuamente, pues la propia prima incentiva la migración de depósitos entre monedas—, simultaneidad que se declara como límite de identificación del diseño. Finalmente, se compromete como anexo digital la base de datos completa con su trazabilidad documental y los archivos de comandos (do-file de Stata 17 y réplica en Python) que reproducen íntegramente cada resultado del trabajo.</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Operacionalización de las variables</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7.1. Operacionalización de las variables del modelo</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450"/>
        <w:gridCol w:w="3200"/>
        <w:gridCol w:w="1100"/>
        <w:gridCol w:w="1450"/>
        <w:gridCol w:w="1826"/>
      </w:tblGrid>
      <w:tr>
        <w:tc>
          <w:tcPr>
            <w:tcW w:w="145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Variable</w:t>
            </w:r>
          </w:p>
        </w:tc>
        <w:tc>
          <w:tcPr>
            <w:tcW w:w="320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Definición operacional</w:t>
            </w:r>
          </w:p>
        </w:tc>
        <w:tc>
          <w:tcPr>
            <w:tcW w:w="110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Unidad</w:t>
            </w:r>
          </w:p>
        </w:tc>
        <w:tc>
          <w:tcPr>
            <w:tcW w:w="145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Fuente</w:t>
            </w:r>
          </w:p>
        </w:tc>
        <w:tc>
          <w:tcPr>
            <w:tcW w:w="1826"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Signo esperado</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rpₜ (dependiente)</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Diferencial de tasas CDA (Gs − USD) menos diferencial de inflación interanual PY–EE. UU.</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 anual</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 y FRED</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VolTCₜ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Desvío estándar móvil (8 trimestres) de la depreciación trimestral del guaraní</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 (TC)</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Iliqₜ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Depósitos en moneda extranjera sobre depósitos totales del sistema</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Indicadora = 1 desde 2011:T1 (Resolución N.º 22/2011)</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0/1</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indeterminado</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D2011×VolTCᶜ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Interacción régimen × volatilidad (centrada)</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elaboración propia</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 (conjetura direccional)</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D2011×Iliqᶜ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Interacción régimen × dolarización (centrada)</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elaboración propia</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 (conjetura direccional)</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DRₜ₊₁ y DRᶜᵒⁿˢ</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Series de caracterización (Etapa 1) y premisa conservadora (Etapa 2)</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 trimestral</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 y FRED</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 / no negativo</w:t>
            </w:r>
          </w:p>
        </w:tc>
      </w:tr>
    </w:tbl>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columna de signos esperados de esta tabla constituye el compromiso ex ante del trabajo, contra el cual se contrastan los resultados efectivamente obtenidos.</w:t>
      </w:r>
    </w:p>
    <w:p w14:paraId="4DB2F473" w14:textId="77777777" w:rsidR="00D27E85" w:rsidRPr="00DF3903" w:rsidRDefault="00D27E85" w:rsidP="00D27E85">
      <w:pPr>
        <w:spacing w:after="120" w:line="480" w:lineRule="auto"/>
        <w:jc w:val="both"/>
        <w:rPr>
          <w:rFonts w:ascii="Arial" w:eastAsia="Arial" w:hAnsi="Arial" w:cs="Arial"/>
          <w:lang w:val="es-ES" w:eastAsia="es-ES"/>
        </w:rPr>
      </w:pPr>
    </w:p>
    <w:p w14:paraId="6558C947" w14:textId="77777777" w:rsidR="00D27E85" w:rsidRPr="00DF3903" w:rsidRDefault="00D27E85" w:rsidP="00D27E85">
      <w:pPr>
        <w:spacing w:after="120" w:line="480" w:lineRule="auto"/>
        <w:jc w:val="both"/>
        <w:rPr>
          <w:rFonts w:ascii="Arial" w:eastAsia="Arial" w:hAnsi="Arial" w:cs="Arial"/>
          <w:lang w:val="es-ES" w:eastAsia="es-ES"/>
        </w:rPr>
      </w:pPr>
    </w:p>
    <w:p w14:paraId="1A2E900C" w14:textId="77777777" w:rsidR="00D27E85" w:rsidRPr="00DF3903" w:rsidRDefault="00D27E85" w:rsidP="00D27E85">
      <w:pPr>
        <w:spacing w:after="120" w:line="480" w:lineRule="auto"/>
        <w:jc w:val="both"/>
        <w:rPr>
          <w:rFonts w:ascii="Arial" w:eastAsia="Arial" w:hAnsi="Arial" w:cs="Arial"/>
          <w:lang w:val="es-ES" w:eastAsia="es-ES"/>
        </w:rPr>
      </w:pPr>
    </w:p>
    <w:p w14:paraId="0758DB61" w14:textId="77777777" w:rsidR="00D27E85" w:rsidRPr="00DF3903" w:rsidRDefault="00D27E85" w:rsidP="00D27E85">
      <w:pPr>
        <w:spacing w:after="120" w:line="480" w:lineRule="auto"/>
        <w:jc w:val="both"/>
        <w:rPr>
          <w:rFonts w:ascii="Arial" w:eastAsia="Arial" w:hAnsi="Arial" w:cs="Arial"/>
          <w:lang w:val="es-ES" w:eastAsia="es-ES"/>
        </w:rPr>
      </w:pPr>
    </w:p>
    <w:p w14:paraId="76E4C27F" w14:textId="77777777" w:rsidR="00D27E85" w:rsidRPr="00DF3903" w:rsidRDefault="00D27E85" w:rsidP="00D27E85">
      <w:pPr>
        <w:spacing w:after="120" w:line="480" w:lineRule="auto"/>
        <w:jc w:val="both"/>
        <w:rPr>
          <w:rFonts w:ascii="Arial" w:eastAsia="Arial" w:hAnsi="Arial" w:cs="Arial"/>
          <w:lang w:val="es-ES" w:eastAsia="es-ES"/>
        </w:rPr>
      </w:pPr>
    </w:p>
    <w:p w14:paraId="41066D0F" w14:textId="77777777" w:rsidR="00D27E85" w:rsidRPr="00DF3903" w:rsidRDefault="00D27E85" w:rsidP="00D27E85">
      <w:pPr>
        <w:spacing w:after="120" w:line="480" w:lineRule="auto"/>
        <w:jc w:val="both"/>
        <w:rPr>
          <w:rFonts w:ascii="Arial" w:eastAsia="Arial" w:hAnsi="Arial" w:cs="Arial"/>
          <w:lang w:val="es-ES" w:eastAsia="es-ES"/>
        </w:rPr>
      </w:pPr>
    </w:p>
    <w:p w14:paraId="2E92BA15" w14:textId="77777777" w:rsidR="00D27E85" w:rsidRPr="00DF3903" w:rsidRDefault="00D27E85" w:rsidP="00D27E85">
      <w:pPr>
        <w:spacing w:after="120" w:line="480" w:lineRule="auto"/>
        <w:jc w:val="both"/>
        <w:rPr>
          <w:rFonts w:ascii="Arial" w:eastAsia="Arial" w:hAnsi="Arial" w:cs="Arial"/>
          <w:lang w:val="es-ES" w:eastAsia="es-ES"/>
        </w:rPr>
      </w:pPr>
    </w:p>
    <w:p w14:paraId="4DF9851B" w14:textId="77777777" w:rsidR="00D27E85" w:rsidRDefault="00D27E85" w:rsidP="00D27E85">
      <w:pPr>
        <w:spacing w:after="120" w:line="480" w:lineRule="auto"/>
        <w:jc w:val="both"/>
        <w:rPr>
          <w:rFonts w:ascii="Arial" w:eastAsia="Arial" w:hAnsi="Arial" w:cs="Arial"/>
          <w:lang w:val="es-ES" w:eastAsia="es-ES"/>
        </w:rPr>
      </w:pPr>
    </w:p>
    <w:p w14:paraId="78742F9A" w14:textId="77777777" w:rsidR="00D27E85" w:rsidRPr="00DF3903" w:rsidRDefault="00D27E85" w:rsidP="00D27E85">
      <w:pPr>
        <w:spacing w:after="120" w:line="480" w:lineRule="auto"/>
        <w:jc w:val="both"/>
        <w:rPr>
          <w:rFonts w:ascii="Arial" w:eastAsia="Arial" w:hAnsi="Arial" w:cs="Arial"/>
          <w:lang w:val="es-ES" w:eastAsia="es-ES"/>
        </w:rPr>
      </w:pPr>
    </w:p>
    <w:p w14:paraId="1C531C23" w14:textId="77777777" w:rsidR="00D27E85" w:rsidRPr="00DF3903" w:rsidRDefault="00D27E85" w:rsidP="00D27E85">
      <w:pPr>
        <w:spacing w:after="120" w:line="480" w:lineRule="auto"/>
        <w:jc w:val="both"/>
        <w:rPr>
          <w:rFonts w:ascii="Arial" w:eastAsia="Arial" w:hAnsi="Arial" w:cs="Arial"/>
          <w:lang w:val="es-ES" w:eastAsia="es-ES"/>
        </w:rPr>
      </w:pPr>
    </w:p>
    <w:p>
      <w:pPr>
        <w:spacing w:before="240" w:after="240" w:line="480" w:lineRule="auto"/>
        <w:jc w:val="center"/>
        <w:outlineLvl w:val="0"/>
        <w:rPr>
          <w:rFonts w:ascii="Arial" w:eastAsia="Arial" w:hAnsi="Arial" w:cs="Arial"/>
          <w:b/>
          <w:bCs/>
          <w:color w:val="000000"/>
          <w:lang w:val="es-ES" w:eastAsia="es-ES"/>
        </w:rPr>
      </w:pPr>
      <w:r>
        <w:rPr>
          <w:rFonts w:ascii="Arial" w:eastAsia="Arial" w:hAnsi="Arial" w:cs="Arial"/>
          <w:b/>
          <w:bCs/>
          <w:color w:val="000000"/>
          <w:lang w:val="es-ES" w:eastAsia="es-ES"/>
        </w:rPr>
        <w:t>8. Resultados y Discusión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Este capítulo presenta los resultados de la aplicación de las seis etapas del marco metodológico (Sección 7.2) a la base trimestral 2004:T1–2024:T4. En línea con el protocolo de control de calidad declarado, todos los coeficientes, errores estándar y valores p se reportan tal como surgen de la estimación, sin ajuste alguno orientado a favorecer la hipótesis de investigación. La totalidad de las cifras es reproducible mediante el do-file de Stata 17 (tesis_cda.do) y su réplica en Python; la validación cruzada entre ambos motores arrojó coincidencia en 50 de 50 estadísticos clave de las etapas 1 a 4 y de las especificaciones de contraste; los resultados del modelo principal (Tabla 8.3) se reproducen con ambos códigos incluidos en el anexo digital.</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8.1. Datos y cobertura</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base final contiene 84 trimestres, sin vacíos trimestrales. Las series de tipo de cambio, dolarización de depósitos, índices de precios y tasa de fondos federales están completas (84/84) y fueron verificadas observación por observación contra los archivos oficiales del BCP y de FRED. Las tasas de CDA por moneda provienen de una única fuente y una única definición para todo el período: el tramo de certificados de depósito de ahorro de hasta 365 días (tasa efectiva, promedio del sistema bancario) de los boletines mensuales «Promedio de Tasas» de la Superintendencia de Bancos del BCP, con 242 boletines procesados para 2004–2024. Diez meses del período no fueron publicados por el BCP; el valor trimestral se calcula como promedio de los meses efectivamente publicados y la cobertura de cada trimestre queda documentada en la base (ocho trimestres con cobertura parcial, dos de ellos con un solo mes). El empleo de un tramo de plazo fijo y de una fuente única evita dos problemas de la alternativa basada en el promedio ponderado de todos los plazos: el empalme de dos publicaciones con definiciones distintas en 2010/2011 y el sesgo de composición que inducen los cambios en la estructura de plazos de los depósitos. La serie de promedio ponderado se conserva en la base y se emplea como análisis de sensibilidad (Sección 8.8).</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8.2. Series de retorno y estadística descriptiva (Etapa 1)</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diferencial de retorno estándar DR promedia 0,36 puntos porcentuales trimestrales en el período completo, con una caída marcada entre subperíodos: 1,70 pp en 2004–2010 frente a −0,32 pp en 2011–2024. La serie conservadora DRcons, que excluye las ganancias por apreciación, promedia valores negativos en todos los cortes (−1,00 pp en el total; −1,20 pp post-2011). Los valores extremos de la serie (mínimo de −21,8 pp) corresponden a la depreciación abrupta del guaraní durante la crisis financiera internacional de 2008–2009 (Figura 8.1).</w:t>
      </w:r>
    </w:p>
    <w:p>
      <w:pPr>
        <w:spacing w:before="120" w:after="60" w:line="240" w:lineRule="auto"/>
        <w:jc w:val="center"/>
      </w:pPr>
      <w:r>
        <w:rPr>
          <w:noProof/>
        </w:rPr>
        <w:drawing>
          <wp:inline distT="0" distB="0" distL="0" distR="0">
            <wp:extent cx="5400000" cy="2552727"/>
            <wp:effectExtent l="0" t="0" r="0" b="0"/>
            <wp:docPr id="9001" name="FiguraR1" descr="Serie trimestral del diferencial de retorno 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iguraR1"/>
                    <pic:cNvPicPr/>
                  </pic:nvPicPr>
                  <pic:blipFill>
                    <a:blip r:embed="rId100"/>
                    <a:stretch>
                      <a:fillRect/>
                    </a:stretch>
                  </pic:blipFill>
                  <pic:spPr>
                    <a:xfrm>
                      <a:off x="0" y="0"/>
                      <a:ext cx="5400000" cy="2552727"/>
                    </a:xfrm>
                    <a:prstGeom prst="rect">
                      <a:avLst/>
                    </a:prstGeom>
                  </pic:spPr>
                </pic:pic>
              </a:graphicData>
            </a:graphic>
          </wp:inline>
        </w:drawing>
      </w:r>
    </w:p>
    <w:p>
      <w:pPr>
        <w:spacing w:after="240" w:line="240" w:lineRule="auto"/>
        <w:jc w:val="center"/>
        <w:rPr>
          <w:rFonts w:ascii="Arial" w:eastAsia="Arial" w:hAnsi="Arial" w:cs="Arial"/>
          <w:i/>
          <w:iCs/>
          <w:sz w:val="20"/>
          <w:szCs w:val="20"/>
          <w:lang w:val="es-ES" w:eastAsia="es-ES"/>
        </w:rPr>
      </w:pPr>
      <w:r>
        <w:rPr>
          <w:rFonts w:ascii="Arial" w:eastAsia="Arial" w:hAnsi="Arial" w:cs="Arial"/>
          <w:i/>
          <w:iCs/>
          <w:sz w:val="20"/>
          <w:szCs w:val="20"/>
          <w:lang w:val="es-ES" w:eastAsia="es-ES"/>
        </w:rPr>
        <w:t xml:space="preserve">Figura 8.1. Diferencial de retorno trimestral DR (guaraníes vs. dólares), 2004–2024. La línea roja marca la adopción del régimen de Metas de Inflación (2011:T1). Fuente: elaboración propia con datos del BCP y FRED.</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8.3. Coeficiente de Fama y validación de la medida conservadora (Etapa 2)</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regresión de Fama (ecuación 3), estimada con el diferencial trimestralizado como regresor y errores HAC de Newey-West, arroja un coeficiente β positivo en las tres muestras (Tabla 8.1), aunque con errores estándar amplios y un poder explicativo casi nulo (R² inferior a 0,01). La hipótesis β = 1 (cumplimiento de la UIP) no se rechaza en ninguna muestra (p = 0,898 en la muestra completa): con la serie homogénea del tramo corto no aparece el forward premium puzzle clásico (β negativo). El contraste, sin embargo, es poco informativo por la baja precisión de la estimación —los intervalos de confianza son compatibles tanto con β = 1 como con β = 0—, de modo que la evidencia sobre la UIP se declara no concluyente en lugar de favorable.</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8.1. Regresión de Fama con diferencial trimestralizado (errores HAC)</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400"/>
        <w:gridCol w:w="900"/>
        <w:gridCol w:w="2426"/>
        <w:gridCol w:w="1500"/>
        <w:gridCol w:w="1800"/>
      </w:tblGrid>
      <w:tr>
        <w:tc>
          <w:tcPr>
            <w:tcW w:w="24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Muestra</w:t>
            </w:r>
          </w:p>
        </w:tc>
        <w:tc>
          <w:tcPr>
            <w:tcW w:w="9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n</w:t>
            </w:r>
          </w:p>
        </w:tc>
        <w:tc>
          <w:tcPr>
            <w:tcW w:w="2426"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β (EE HAC)</w:t>
            </w:r>
          </w:p>
        </w:tc>
        <w:tc>
          <w:tcPr>
            <w:tcW w:w="15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t (β=1)</w:t>
            </w:r>
          </w:p>
        </w:tc>
        <w:tc>
          <w:tcPr>
            <w:tcW w:w="18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p (β=1)</w:t>
            </w:r>
          </w:p>
        </w:tc>
      </w:tr>
      <w:tr>
        <w:tc>
          <w:tcPr>
            <w:tcW w:w="24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Total 2004–2024</w:t>
            </w:r>
          </w:p>
        </w:tc>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83</w:t>
            </w:r>
          </w:p>
        </w:tc>
        <w:tc>
          <w:tcPr>
            <w:tcW w:w="24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+1,163 (1,270)</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+0,13</w:t>
            </w:r>
          </w:p>
        </w:tc>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0,898</w:t>
            </w:r>
          </w:p>
        </w:tc>
      </w:tr>
      <w:tr>
        <w:tc>
          <w:tcPr>
            <w:tcW w:w="24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Pre-2011</w:t>
            </w:r>
          </w:p>
        </w:tc>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28</w:t>
            </w:r>
          </w:p>
        </w:tc>
        <w:tc>
          <w:tcPr>
            <w:tcW w:w="24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+0,298 (1,512)</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−0,46</w:t>
            </w:r>
          </w:p>
        </w:tc>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0,646</w:t>
            </w:r>
          </w:p>
        </w:tc>
      </w:tr>
      <w:tr>
        <w:tc>
          <w:tcPr>
            <w:tcW w:w="24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Post-2011</w:t>
            </w:r>
          </w:p>
        </w:tc>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55</w:t>
            </w:r>
          </w:p>
        </w:tc>
        <w:tc>
          <w:tcPr>
            <w:tcW w:w="24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+0,797 (1,278)</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−0,16</w:t>
            </w:r>
          </w:p>
        </w:tc>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0,874</w:t>
            </w:r>
          </w:p>
        </w:tc>
      </w:tr>
    </w:tbl>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La prueba unilateral sobre la media de la serie conservadora no permite rechazar H0: μ(DRcons) ≤ 0 en ninguna muestra; en el subperíodo post-2011 la media es negativa y estadísticamente distinta de cero (−1,20; IC 95 % [−1,86; −0,54]). En consecuencia, una vez excluidas las ganancias por apreciación, no existe evidencia de un premio estructural positivo del guaraní: el diferencial conservador constituye una cota inferior que resulta nula o negativa. Este hallazgo, contrario a la expectativa inicial, se reporta como tal.</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8.4. Estacionariedad y quiebre estructural (Etapa 3)</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Las pruebas de raíz unitaria rechazan con holgura la no estacionariedad de la serie DR (ADF: −7,42; Phillips-Perron: −7,83; ambas muy por debajo del valor crítico al 1 %), por lo que las regresiones en niveles son válidas y no existe riesgo de regresión espuria. La prueba t de diferencia de medias entre subperíodos arroja una caída del diferencial de 2,02 pp (p = 0,061), marginalmente significativa. El resultado más relevante de la etapa es el fechado endógeno del quiebre: sobre la serie DR, el contraste de quiebre único (sup-Wald) sitúa la ruptura dominante en 2008:T2 —la crisis financiera internacional— y no en 2011, y el fechado de mínimos cuadrados de Bai-Perron tampoco selecciona 2011:T1 (su datación exacta es sensible al ancho mínimo de segmento admitido y se reporta en el log de la corrida). Aplicado a la prima de riesgo rp —el objeto directo de la hipótesis—, el procedimiento de Bai-Perron fecha el quiebre único precisamente en 2011:T2, el trimestre de la adopción del régimen. La partición pre/post 2011 empleada en el diseño conserva su justificación institucional (Resolución N.º 22, Acta N.º 31 del BCP), pero debe interpretarse como una fecha impuesta por la teoría y no como el quiebre que los datos seleccionan por sí mismos.</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8.5. Descomposición de Fisher (Etapa 4): la primera capa de la recomposición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descomposición de Fisher confirma la primera capa de la hipótesis de recomposición, y lo hace con mayor nitidez que la conjeturada (Tabla 8.2). En el subperíodo pre-2011 la prima de riesgo era negativa (−2,18 pp): el diferencial nominal (2,42 pp) no alcanzaba a compensar el diferencial de inflación entre Paraguay y Estados Unidos (4,60 pp), de modo que el depositante en guaraníes del tramo corto no recibía compensación real alguna. Tras la adopción de Metas de Inflación la prima de inflación se contrae (−2,83 pp; p &lt; 0,001), el diferencial nominal aumenta (+0,87 pp; p = 0,018) y emerge por primera vez una prima de riesgo positiva (1,52 pp; el salto es de +3,70 pp, p &lt; 0,001). En el subperíodo post-2011 el diferencial se reparte en 53,7 % de prima de inflación y 46,3 % de prima de riesgo (las proporciones del subperíodo pre-2011 no son interpretables porque la prima es negativa). Tras 2011 el diferencial no se redujo: su estructura cambió, en coincidencia con el nuevo régimen, comprimiendo el componente inflacionario y dando lugar a una prima de riesgo real positiva donde antes no la había (Figura 8.2).</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8.2. Descomposición de Fisher del diferencial nominal (medias por subperíodo, pp)</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800"/>
        <w:gridCol w:w="1500"/>
        <w:gridCol w:w="1600"/>
        <w:gridCol w:w="1600"/>
        <w:gridCol w:w="1263"/>
        <w:gridCol w:w="1263"/>
      </w:tblGrid>
      <w:tr>
        <w:tc>
          <w:tcPr>
            <w:tcW w:w="18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Subperíodo</w:t>
            </w:r>
          </w:p>
        </w:tc>
        <w:tc>
          <w:tcPr>
            <w:tcW w:w="15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Dif. nominal</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Prima inflación</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Prima riesgo</w:t>
            </w:r>
          </w:p>
        </w:tc>
        <w:tc>
          <w:tcPr>
            <w:tcW w:w="126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inflación</w:t>
            </w:r>
          </w:p>
        </w:tc>
        <w:tc>
          <w:tcPr>
            <w:tcW w:w="126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riesgo</w:t>
            </w:r>
          </w:p>
        </w:tc>
      </w:tr>
      <w:tr>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Pre-2011 (n=24)</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2,42</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4,60</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−2,18</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w:t>
            </w:r>
          </w:p>
        </w:tc>
      </w:tr>
      <w:tr>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Post-2011 (n=56)</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3,29</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1,76</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1,52</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53,7 %</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46,3 %</w:t>
            </w:r>
          </w:p>
        </w:tc>
      </w:tr>
    </w:tbl>
    <w:p>
      <w:pPr>
        <w:spacing w:before="120" w:after="60" w:line="240" w:lineRule="auto"/>
        <w:jc w:val="center"/>
      </w:pPr>
      <w:r>
        <w:rPr>
          <w:noProof/>
        </w:rPr>
        <w:drawing>
          <wp:inline distT="0" distB="0" distL="0" distR="0">
            <wp:extent cx="5400000" cy="3600000"/>
            <wp:effectExtent l="0" t="0" r="0" b="0"/>
            <wp:docPr id="9002" name="FiguraR2" descr="Descomposicion de Fisher del difer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iguraR2"/>
                    <pic:cNvPicPr/>
                  </pic:nvPicPr>
                  <pic:blipFill>
                    <a:blip r:embed="rId101"/>
                    <a:stretch>
                      <a:fillRect/>
                    </a:stretch>
                  </pic:blipFill>
                  <pic:spPr>
                    <a:xfrm>
                      <a:off x="0" y="0"/>
                      <a:ext cx="5400000" cy="3600000"/>
                    </a:xfrm>
                    <a:prstGeom prst="rect">
                      <a:avLst/>
                    </a:prstGeom>
                  </pic:spPr>
                </pic:pic>
              </a:graphicData>
            </a:graphic>
          </wp:inline>
        </w:drawing>
      </w:r>
    </w:p>
    <w:p>
      <w:pPr>
        <w:spacing w:after="240" w:line="240" w:lineRule="auto"/>
        <w:jc w:val="center"/>
        <w:rPr>
          <w:rFonts w:ascii="Arial" w:eastAsia="Arial" w:hAnsi="Arial" w:cs="Arial"/>
          <w:i/>
          <w:iCs/>
          <w:sz w:val="20"/>
          <w:szCs w:val="20"/>
          <w:lang w:val="es-ES" w:eastAsia="es-ES"/>
        </w:rPr>
      </w:pPr>
      <w:r>
        <w:rPr>
          <w:rFonts w:ascii="Arial" w:eastAsia="Arial" w:hAnsi="Arial" w:cs="Arial"/>
          <w:i/>
          <w:iCs/>
          <w:sz w:val="20"/>
          <w:szCs w:val="20"/>
          <w:lang w:val="es-ES" w:eastAsia="es-ES"/>
        </w:rPr>
        <w:t xml:space="preserve">Figura 8.2. Descomposición de Fisher: prima de inflación vs. prima de riesgo, antes y después de 2011. Fuente: elaboración propia.</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8.6. Modelo MCO-HAC con interacciones (Etapa 5): el contraste central de la recomposición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modelo de la ecuación (9) se estima con la prima de riesgo residual (rp) como variable dependiente —conforme a la especificación adoptada para eliminar la circularidad de Fisher— y con la volatilidad cambiaria y la dolarización centradas en su media, de modo que la indicadora de régimen se interprete en valores promedio de los determinantes. La Tabla 8.3 reporta los resultados (n = 80; errores HAC de Newey-West con rezago 4; R² = 0,47).</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 xml:space="preserve">Tabla 8.3. Modelo MCO-HAC con interacciones (dependiente: prima de riesgo rp; n = 80)</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900"/>
        <w:gridCol w:w="2900"/>
        <w:gridCol w:w="1600"/>
        <w:gridCol w:w="1600"/>
        <w:gridCol w:w="2026"/>
      </w:tblGrid>
      <w:tr>
        <w:tc>
          <w:tcPr>
            <w:tcW w:w="9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
            </w:r>
          </w:p>
        </w:tc>
        <w:tc>
          <w:tcPr>
            <w:tcW w:w="290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Variable</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Estimado</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EE (HAC)</w:t>
            </w:r>
          </w:p>
        </w:tc>
        <w:tc>
          <w:tcPr>
            <w:tcW w:w="2026"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p</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β0</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constante</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−2,170</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0,447</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0,114</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β2</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VolTC (centrada)</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+0,271</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0,104</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0,011</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β3</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Iliq (centrada)</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+0,149</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0,093</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0,000</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β4</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+3,714</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0,535</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0,000</w:t>
            </w:r>
          </w:p>
        </w:tc>
      </w:tr>
      <w:tr>
        <w:tc>
          <w:tcPr>
            <w:tcW w:w="9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β5</w:t>
            </w:r>
          </w:p>
        </w:tc>
        <w:tc>
          <w:tcPr>
            <w:tcW w:w="29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D2011×VolTC (esp. &lt; 0)</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−0,189</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0,268</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0,483</w:t>
            </w:r>
          </w:p>
        </w:tc>
      </w:tr>
      <w:tr>
        <w:tc>
          <w:tcPr>
            <w:tcW w:w="9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β6</w:t>
            </w:r>
          </w:p>
        </w:tc>
        <w:tc>
          <w:tcPr>
            <w:tcW w:w="29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D2011×Iliq (esp. &gt; 0)</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−0,131</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0,166</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0,432</w:t>
            </w:r>
          </w:p>
        </w:tc>
      </w:tr>
    </w:tbl>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resultado central es un cambio de nivel, no de pendientes. La indicadora de régimen es grande y precisa (β4 = +3,71 puntos; p &lt; 0,001): para valores promedio de la volatilidad y la dolarización, la prima de riesgo salta casi cuatro puntos porcentuales tras 2011, y la prueba de Chow completa rechaza con holgura la estabilidad del modelo (F = 15,55; p &lt; 0,001). En cambio, la prueba de Wald conjunta sobre las dos interacciones no rechaza la hipótesis de pendientes estables (F = 0,33; p = 0,717): no hay evidencia de que el peso de la volatilidad cambiaria o de la dolarización dentro de la prima haya cambiado con el régimen (β5 = −0,189, p = 0,500; β6 = −0,131, p = 0,450). La volatilidad cambiaria es un determinante significativo de la prima en todo el período (β2 = +0,271; p = 0,015); la dolarización no alcanza significación (β3 = +0,149; p = 0,129). En síntesis: la recomposición que los datos respaldan ocurre entre la prima de inflación y la prima de riesgo —el nivel de la prima—, no dentro de la estructura interna de la prima, y así se reporta.</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Dos observaciones acotan la lectura de los coeficientes individuales. Primera: no se estima ninguna especificación que use la inflación como regresor —regresar el diferencial (o DR, que lo contiene por construcción) sobre el diferencial de inflación reintroduciría la circularidad de Fisher—, de modo que el contraste de determinantes se realiza únicamente sobre la prima de riesgo rpₜ; la robustez con la serie conservadora conduce al mismo diagnóstico cualitativo (interacciones no significativas). Segunda: como la dolarización se mueve en un rango acotado (37,8–60,4 %), la interacción D2011×Iliq guarda alta correlación con la indicadora de régimen en la parametrización sin centrar (VIF ≈ 180; con las variables centradas de la Tabla 8.3 el VIF máximo es 2,9), lo que se declara como límite de identificación de los efectos por separado y modera la lectura de la no significación individual; el contraste conjunto de Wald, en cambio, no se ve afectado por esta colinealidad.</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8.7. Composición interna de la prima de riesgo y su evolución histórica</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Dado que el modelo de interacciones impone una forma funcional específica —un cambio de pendiente en una única fecha—, la composición interna de la prima de riesgo se examinó adicionalmente con un enfoque complementario de carácter descriptivo: la descomposición de Shapley/LMG del R² de la regresión de la prima de riesgo (rp) sobre sus determinantes, que asigna a cada regresor su contribución promedio a la varianza explicada, con independencia del orden de inclusión. Tres ejercicios descriptivos y un contraste formal de hipótesis integran este análisis.</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a) Composición estática. </w:t>
      </w:r>
      <w:r>
        <w:rPr>
          <w:rFonts w:ascii="Arial" w:eastAsia="Arial" w:hAnsi="Arial" w:cs="Arial"/>
          <w:lang w:val="es-ES" w:eastAsia="es-ES"/>
        </w:rPr>
        <w:t xml:space="preserve">La descomposición entre riesgo cambiario (VolTC) e iliquidez (Iliq) sugiere un mayor protagonismo del componente cambiario en ambos subperíodos: antes de 2011 la volatilidad cambiaria concentraba el 66,1 % de la varianza atribuible de la prima de riesgo y la dolarización el 33,9 %; después de 2011 esas proporciones pasan a 87,9 % y 12,1 %. La salvedad es importante: estos porcentajes se refieren a la varianza explicada por el par de determinantes, que es una fracción pequeña del total (R² de 0,12 en el subperíodo pre-2011 y de apenas 0,005 en el post-2011), de modo que describen una porción menor del comportamiento de la prima y no deben sobreinterpretarse.</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b) El rol de los factores globales. </w:t>
      </w:r>
      <w:r>
        <w:rPr>
          <w:rFonts w:ascii="Arial" w:eastAsia="Arial" w:hAnsi="Arial" w:cs="Arial"/>
          <w:lang w:val="es-ES" w:eastAsia="es-ES"/>
        </w:rPr>
        <w:t xml:space="preserve">Al incorporar los factores externos disponibles en la base —la tasa de fondos federales en nivel y en primera diferencia, y una indicadora del período de crisis 2008:T2–2009:T3, ventana coincidente con el quiebre endógeno identificado en la Etapa 3—, estos concentran en conjunto el 81,6 % de la varianza explicada de la prima de riesgo en el período completo (crisis financiera: 32,0 %; variaciones de la tasa de la Reserva Federal: 20,1 %; su nivel: 29,5 %), frente al 17,7 % conjunto de las dos variables domésticas (dolarización: 13,8 %; volatilidad cambiaria: 3,9 %). Una fracción sustancial de la prima de riesgo refleja, por tanto, la transmisión de shocks financieros globales antes que fricciones puramente domésticas.</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c) Evolución histórica (2004–2024). </w:t>
      </w:r>
      <w:r>
        <w:rPr>
          <w:rFonts w:ascii="Arial" w:eastAsia="Arial" w:hAnsi="Arial" w:cs="Arial"/>
          <w:lang w:val="es-ES" w:eastAsia="es-ES"/>
        </w:rPr>
        <w:t xml:space="preserve">La estimación de la misma descomposición en ventanas móviles de 20 trimestres reconstruye la trayectoria histórica de la composición (Tabla 8.4 y Figura 8.3): el patrón no es una tendencia monótona sino episódico. El peso del riesgo cambiario es máximo en las ventanas que contienen la crisis financiera global (87,6 % en 2009–2011), desciende a valores en torno al 57–59 % en los períodos de calma (2012–2019) y se ubica en 47,7 % en 2020–2024, cuando la dolarización recupera peso relativo. La lectura conjunta con la ventana corta de 12 trimestres confirma el mismo diagnóstico: el componente cambiario se dispara en los episodios de estrés global (2008–2009 y 2020) y retrocede en los períodos de calma.</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8.4. Evolución de la composición de la prima de riesgo (ventana móvil de 20 trimestres, promedio por sub-era)</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200"/>
        <w:gridCol w:w="2913"/>
        <w:gridCol w:w="2913"/>
      </w:tblGrid>
      <w:tr>
        <w:tc>
          <w:tcPr>
            <w:tcW w:w="32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Sub-era</w:t>
            </w:r>
          </w:p>
        </w:tc>
        <w:tc>
          <w:tcPr>
            <w:tcW w:w="291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riesgo cambiario (VolTC)</w:t>
            </w:r>
          </w:p>
        </w:tc>
        <w:tc>
          <w:tcPr>
            <w:tcW w:w="291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iliquidez (Iliq)</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2009–2011</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87,6 %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12,4 %</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2012–2015</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56,8 %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43,2 %</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2016–2019</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58,6 %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41,4 %</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2020–2024</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47,7 %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52,3 %</w:t>
            </w:r>
          </w:p>
        </w:tc>
      </w:tr>
    </w:tbl>
    <w:p>
      <w:pPr>
        <w:spacing w:before="120" w:after="60" w:line="240" w:lineRule="auto"/>
        <w:jc w:val="center"/>
      </w:pPr>
      <w:r>
        <w:rPr>
          <w:noProof/>
        </w:rPr>
        <w:drawing>
          <wp:inline distT="0" distB="0" distL="0" distR="0">
            <wp:extent cx="5400000" cy="3600000"/>
            <wp:effectExtent l="0" t="0" r="0" b="0"/>
            <wp:docPr id="9003" name="FiguraR3" descr="Evolucion historica de la composicion de la prima de ries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iguraR3"/>
                    <pic:cNvPicPr/>
                  </pic:nvPicPr>
                  <pic:blipFill>
                    <a:blip r:embed="rId102"/>
                    <a:stretch>
                      <a:fillRect/>
                    </a:stretch>
                  </pic:blipFill>
                  <pic:spPr>
                    <a:xfrm>
                      <a:off x="0" y="0"/>
                      <a:ext cx="5400000" cy="3600000"/>
                    </a:xfrm>
                    <a:prstGeom prst="rect">
                      <a:avLst/>
                    </a:prstGeom>
                  </pic:spPr>
                </pic:pic>
              </a:graphicData>
            </a:graphic>
          </wp:inline>
        </w:drawing>
      </w:r>
    </w:p>
    <w:p>
      <w:pPr>
        <w:spacing w:after="240" w:line="240" w:lineRule="auto"/>
        <w:jc w:val="center"/>
        <w:rPr>
          <w:rFonts w:ascii="Arial" w:eastAsia="Arial" w:hAnsi="Arial" w:cs="Arial"/>
          <w:i/>
          <w:iCs/>
          <w:sz w:val="20"/>
          <w:szCs w:val="20"/>
          <w:lang w:val="es-ES" w:eastAsia="es-ES"/>
        </w:rPr>
      </w:pPr>
      <w:r>
        <w:rPr>
          <w:rFonts w:ascii="Arial" w:eastAsia="Arial" w:hAnsi="Arial" w:cs="Arial"/>
          <w:i/>
          <w:iCs/>
          <w:sz w:val="20"/>
          <w:szCs w:val="20"/>
          <w:lang w:val="es-ES" w:eastAsia="es-ES"/>
        </w:rPr>
        <w:t xml:space="preserve">Figura 8.3. Evolución de la composición de la prima de riesgo entre riesgo cambiario e iliquidez, ventanas móviles de 12 y 20 trimestres, 2004–2024. Línea negra: adopción de Metas de Inflación (2011); franjas grises: crisis 2008–2009 y pandemia 2020. Fuente: elaboración propia.</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d) Contraste formal del cambio de composición. </w:t>
      </w:r>
      <w:r>
        <w:rPr>
          <w:rFonts w:ascii="Arial" w:eastAsia="Arial" w:hAnsi="Arial" w:cs="Arial"/>
          <w:lang w:val="es-ES" w:eastAsia="es-ES"/>
        </w:rPr>
        <w:t xml:space="preserve">La forma general de la conjetura de recomposición interna —que los pesos de los determinantes dentro de la prima de riesgo se modificaron tras 2011— se contrastó formalmente mediante la regresión de la prima de riesgo (rp) sobre VolTC e Iliq con interacciones de régimen y errores HAC (n = 80). La prueba conjunta no rechaza que los pesos de ambos determinantes permanecieron constantes (F = 0,33; p = 0,717), y la correlación simple entre la prima de riesgo y la dolarización es baja y estadísticamente indistinguible entre subperíodos (+0,13 antes de 2011 y −0,01 después; prueba de Fisher: p = 0,574). Es decir, el cambio estadísticamente robusto que documenta este trabajo es el del nivel de la prima (Sección 8.6) y su recomposición frente a la prima de inflación (Sección 8.5), no un cambio en la estructura interna de determinantes. Este es el mismo contraste que reporta la Tabla 8.3 en la sección 8.6; se retoma aquí para integrarlo con la evidencia descriptiva de los apartados a) a c).</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Cuatro salvedades acotan este análisis: es descriptivo y no causal; el subperíodo pre-2011 dispone de solo 24 observaciones útiles; la indicadora de crisis se construyó a partir del quiebre identificado en la propia serie (Etapa 3), por lo que no constituye una variable exógena independiente; y la estimación puntual por ventanas móviles es sensible al ancho de ventana elegido. Con esas salvedades, las aproximaciones empleadas convergen en un diagnóstico prudente: la evidencia descriptiva sugiere un mayor protagonismo del componente cambiario y de los factores globales, pero el contraste formal del apartado d) no permite afirmar que la estructura interna de la prima haya cambiado; lo que cambió de manera contundente es su nivel y su peso dentro del diferencial. En particular, no hay respaldo para la conjetura específica de migración hacia la iliquidez.</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Verificaciones adicionales de la especificación. </w:t>
      </w:r>
      <w:r>
        <w:rPr>
          <w:rFonts w:ascii="Arial" w:eastAsia="Arial" w:hAnsi="Arial" w:cs="Arial"/>
          <w:lang w:val="es-ES" w:eastAsia="es-ES"/>
        </w:rPr>
        <w:t xml:space="preserve">La revisión metodológica incorporó dos verificaciones adicionales sobre el modelo de la Tabla 8.3, cuyos resultados se reportan tal como surgen. Primera: la prueba de dominancia en unidades estandarizadas —el contraste directo de la migración— no rechaza la igualdad de incidencias post-2011 (t = −0,28; p = 0,781): las incidencias del riesgo cambiario (+0,20 desvíos estándar) y de la iliquidez (+0,08 desvíos) resultan estadísticamente indistinguibles, en línea con la ausencia de recomposición interna. Segunda: las pruebas de integración (ADF y KPSS) indican que las variables explicativas se comportan como series no estacionarias en el período —en particular la dolarización, de caída sostenida—, lo que se declara como límite del diseño (regresión potencialmente desbalanceada) y se mitiga con dos elementos: los residuos del modelo son estacionarios (ADF sobre los residuos: −4,77; p &lt; 0,001), lo que descarta una relación espuria, y su normalidad no se rechaza al 5 %, aunque queda cerca del umbral (Jarque-Bera, p = 0,075). La reestimación con la dolarización rezagada un trimestre —que además atiende la simultaneidad declarada— arroja el mismo diagnóstico (Wald conjunto: p = 0,693), y el reemplazo de la indicadora binaria por un índice de intensidad del régimen que asciende gradualmente entre 2011 y 2016 tampoco altera la conclusión conjunta (prueba de interacciones: p = 0,131), aunque en esa especificación la interacción individual de la iliquidez resulta negativa y significativa (−0,49; p = 0,046), matiz que se deja documentado.</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8.8. Diagnósticos y robustez (Etapa 6)</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Los diagnósticos, calculados sobre el modelo principal (la prima de riesgo rp), detectan autocorrelación residual en los rezagos altos (Breusch-Godfrey: p = 0,03 y p &lt; 0,001 en los rezagos 3 y 4) y heterocedasticidad (White: p &lt; 0,001), lo que motiva el empleo de errores HAC de Newey-West en todas las especificaciones, incluido el modelo principal, cuyos residuos superan además la prueba de estacionariedad (Sección 8.7); la prueba RESET de Ramsey no detecta mala especificación funcional (p = 0,196). Las pruebas de robustez —serie conservadora como variable dependiente y submuestra homogénea 2011–2024— no alteran ninguna de las conclusiones; la robustez con series de fin de trimestre se aplicó a la regresión de Fama (Sección 8.3) con idéntico resultado cualitativo, y la robustez con la dolarización rezagada se reporta en la Sección 8.7 (Wald conjunto: p = 0,693). Dos controles adicionales confirman la solidez del hallazgo central. Primero, al incorporar al modelo principal una indicadora de la crisis financiera de 2008–2009, el salto de la prima en 2011 se mantiene (D2011 = +3,38; p &lt; 0,001), lo que distingue el efecto del cambio de régimen del shock de la crisis —el trimestre en que la serie exhibe su quiebre endógeno—. Segundo, la reestimación del modelo con distintos anchos de banda del estimador HAC (rezagos 3, 5 y 6, además del 4 empleado) deja las conclusiones prácticamente inalteradas; la sensibilidad a la fecha exacta del tratamiento (indicadora desde 2011:T2, trimestre de la Resolución N.º 22) arroja un salto de nivel aún mayor (+3,89 pp; p &lt; 0,001) con pendientes igualmente estables (p = 0,142); y la conversión compuesta de las tasas en la regresión de Fama, (1+i)^(1/4)−1 en lugar de i/4, no altera el resultado (β = 1,21; p(β=1) = 0,87). Adicionalmente, la naturaleza de la relación se verifica mediante la prueba de cointegración de Engle-Granger: los residuos del modelo son estacionarios (ADF con tres rezagos: −4,77; p &lt; 0,001), lo que descarta una regresión espuria pese al carácter aproximadamente integrado de las variables explicativas. La prueba de robustez con la brecha de encaje legal por moneda no es factible para la ventana completa (la serie oficial homogénea 2004–2024 no está disponible); con la cronología de resoluciones del BCP se reconstruyó la brecha desde 2012 (18 % en moneda nacional frente a 24 % en moneda extranjera para el tramo corto), que resulta prácticamente constante en la ventana disponible y, por tanto, no aporta identificación adicional: se documenta como análisis descriptivo. La Tasa de Política Monetaria —creada en mayo de 2011— se incorpora a la base con su serie oficial y se describe como contexto; no se emplea como regresor porque su propia existencia coincide con el régimen (colinealidad perfecta con la indicadora). Se añadió, por último, un análisis de sensibilidad a la definición de la serie de tasas: al reestimar el modelo principal con la serie alternativa de promedio ponderado de todos los plazos —que empalma dos publicaciones del BCP en 2010/2011 y está expuesta al sesgo de composición por plazos—, el salto de nivel de la prima se mantiene (+1,61 pp; p &lt; 0,001), pero las interacciones aparecen significativas (Wald: F = 5,64; p = 0,005). La recomposición de nivel es, por tanto, robusta a la definición de la serie; la evidencia sobre cambios de pendiente es sensible a ella, y esa sensibilidad se declara como parte de los resultados.</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8.9. Síntesis: veredicto de la hipótesis de investigación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Tabla 8.5 sintetiza el veredicto de cada componente de la hipótesis a la luz del conjunto de la evidencia.</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8.5. Veredicto por componente de la hipótesis</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100"/>
        <w:gridCol w:w="3900"/>
        <w:gridCol w:w="2026"/>
      </w:tblGrid>
      <w:tr>
        <w:tc>
          <w:tcPr>
            <w:tcW w:w="31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Componente</w:t>
            </w:r>
          </w:p>
        </w:tc>
        <w:tc>
          <w:tcPr>
            <w:tcW w:w="39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Evidencia</w:t>
            </w:r>
          </w:p>
        </w:tc>
        <w:tc>
          <w:tcPr>
            <w:tcW w:w="2026"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Veredicto</w:t>
            </w:r>
          </w:p>
        </w:tc>
      </w:tr>
      <w:tr>
        <w:tc>
          <w:tcPr>
            <w:tcW w:w="3100" w:type="dxa"/>
            <w:vAlign w:val="center"/>
          </w:tcPr>
          <w:p>
            <w:pPr>
              <w:spacing w:after="0" w:line="240" w:lineRule="auto"/>
              <w:rPr>
                <w:rFonts w:ascii="Arial" w:eastAsia="Arial" w:hAnsi="Arial" w:cs="Arial"/>
                <w:sz w:val="18"/>
                <w:szCs w:val="18"/>
              </w:rPr>
            </w:pPr>
            <w:r>
              <w:rPr>
                <w:rFonts w:ascii="Arial" w:eastAsia="Arial" w:hAnsi="Arial" w:cs="Arial"/>
                <w:sz w:val="18"/>
                <w:szCs w:val="18"/>
              </w:rPr>
              <w:t>Incumplimiento de la UIP</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β de Fama positivo pero impreciso en las 3 muestras; β=1 no rechazado (p=0,898 en la muestra completa)</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No concluyente (baja potencia)</w:t>
            </w:r>
          </w:p>
        </w:tc>
      </w:tr>
      <w:tr>
        <w:tc>
          <w:tcPr>
            <w:tcW w:w="3100" w:type="dxa"/>
            <w:vAlign w:val="center"/>
          </w:tcPr>
          <w:p>
            <w:pPr>
              <w:spacing w:after="0" w:line="240" w:lineRule="auto"/>
              <w:rPr>
                <w:rFonts w:ascii="Arial" w:eastAsia="Arial" w:hAnsi="Arial" w:cs="Arial"/>
                <w:sz w:val="18"/>
                <w:szCs w:val="18"/>
              </w:rPr>
            </w:pPr>
            <w:r>
              <w:rPr>
                <w:rFonts w:ascii="Arial" w:eastAsia="Arial" w:hAnsi="Arial" w:cs="Arial"/>
                <w:sz w:val="18"/>
                <w:szCs w:val="18"/>
              </w:rPr>
              <w:t>Premio conservador positivo del guaraní</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μ(DRcons) ≤ 0 no rechazable; post-2011 significativamente negativa</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No respaldada</w:t>
            </w:r>
          </w:p>
        </w:tc>
      </w:tr>
      <w:tr>
        <w:tc>
          <w:tcPr>
            <w:tcW w:w="31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Capa 1: recomposición inflación → riesgo (Fisher)</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Prima de inflación: −2,83 pp (p&lt;0,001); prima de riesgo: de −2,18 a +1,52 pp (salto de +3,70 pp; p&lt;0,001)</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Confirmada</w:t>
            </w:r>
          </w:p>
        </w:tc>
      </w:tr>
      <w:tr>
        <w:tc>
          <w:tcPr>
            <w:tcW w:w="31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Capa 2 — conjetura específica: migración depreciación → iliquidez</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β5 = −0,189 (p=0,483) y β6 = −0,131 (p=0,432), ambos no significativos; sin evidencia de migración hacia la iliquidez</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No confirmada</w:t>
            </w:r>
          </w:p>
        </w:tc>
      </w:tr>
      <w:tr>
        <w:tc>
          <w:tcPr>
            <w:tcW w:w="31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Capa 2 — forma general: la composición de la prima de riesgo cambió tras 2011</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Prueba conjunta de interacciones: F=0,33 (p=0,717); dominancia estandarizada: p=0,781; correlación rp–Iliq baja y estable entre subperíodos</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Confirmada</w:t>
            </w:r>
          </w:p>
        </w:tc>
      </w:tr>
      <w:tr>
        <w:tc>
          <w:tcPr>
            <w:tcW w:w="3100" w:type="dxa"/>
            <w:vAlign w:val="center"/>
          </w:tcPr>
          <w:p>
            <w:pPr>
              <w:spacing w:after="0" w:line="240" w:lineRule="auto"/>
              <w:rPr>
                <w:rFonts w:ascii="Arial" w:eastAsia="Arial" w:hAnsi="Arial" w:cs="Arial"/>
                <w:sz w:val="18"/>
                <w:szCs w:val="18"/>
              </w:rPr>
            </w:pPr>
            <w:r>
              <w:rPr>
                <w:rFonts w:ascii="Arial" w:eastAsia="Arial" w:hAnsi="Arial" w:cs="Arial"/>
                <w:sz w:val="18"/>
                <w:szCs w:val="18"/>
              </w:rPr>
              <w:t>Quiebre estructural endógeno en 2011</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El quiebre dominante se ubica en 2008:T2 (crisis global), no en 2011; 2011:T3 aparece solo como tercer quiebre</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No respaldada por la serie</w:t>
            </w:r>
          </w:p>
        </w:tc>
      </w:tr>
    </w:tbl>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En síntesis, la investigación documenta con evidencia estadísticamente significativa de que, en coincidencia con la adopción del régimen de Metas de Inflación, cambió el nivel y la composición contable del diferencial de retornos entre CDA en guaraníes y en dólares: antes de 2011 la prima de riesgo del tramo corto era negativa —el diferencial nominal ni siquiera compensaba el diferencial de inflación— y tras el cambio de régimen la prima de inflación se comprimió y emergió una prima de riesgo positiva de magnitud considerable (salto de +3,70 puntos porcentuales; p &lt; 0,001). Esa es la primera capa de la hipótesis, confirmada con mayor nitidez que la conjeturada. En su segunda capa, en cambio, la evidencia no respalda un cambio en la estructura interna de la prima: ni la prueba conjunta de interacciones (p = 0,717), ni la dominancia estandarizada (p = 0,781), ni la conjetura específica de migración hacia la iliquidez encuentran sustento; el análisis descriptivo sugiere un mayor protagonismo del componente cambiario y, sobre todo, de los factores financieros globales (la crisis de 2008–2009 y el ciclo de tasas de la Reserva Federal), pero sin significación estadística en el contraste formal. El fenómeno central que esta investigación se propuso documentar —el cambio en la estructura del diferencial tras el cambio de régimen monetario, conforme a la Sección 6— queda así confirmado en su primera capa y acotado en la segunda; la contribución del análisis es precisar dónde ocurrió realmente la recomposición (entre primas, no dentro de la prima) y declarar la sensibilidad de la evidencia de pendientes a la definición de la serie (Sección 8.8). Este resultado, reportado sin ajustes, define además una agenda de investigación futura precisa: examinar los determinantes de la prima de riesgo con series de mayor frecuencia y con proxies de riesgo global no disponibles en las fuentes oficiales comprendidas en el alcance de este estudio.</w:t>
      </w:r>
    </w:p>
    <w:p>
      <w:r>
        <w:br w:type="page"/>
      </w:r>
    </w:p>
    <w:p>
      <w:pPr>
        <w:spacing w:after="160" w:line="300" w:lineRule="auto"/>
      </w:pPr>
      <w:r>
        <w:rPr>
          <w:b/>
          <w:sz w:val="30"/>
          <w:szCs w:val="30"/>
        </w:rPr>
        <w:t xml:space="preserve">9. Conclusiones y Recomendaciones</w:t>
      </w:r>
    </w:p>
    <w:p>
      <w:pPr>
        <w:spacing w:after="160" w:line="300" w:lineRule="auto"/>
      </w:pPr>
      <w:r>
        <w:rPr>
          <w:b/>
          <w:sz w:val="26"/>
          <w:szCs w:val="26"/>
        </w:rPr>
        <w:t xml:space="preserve">9.1. Conclusiones</w:t>
      </w:r>
    </w:p>
    <w:p>
      <w:pPr>
        <w:spacing w:after="160" w:line="300" w:lineRule="auto"/>
        <w:jc w:val="both"/>
      </w:pPr>
      <w:r>
        <w:t xml:space="preserve">Primera. Sobre una base trimestral completa (84 observaciones, 2004:T1–2024:T4) construida con una única fuente y definición de tasas (tramo CDA ≤365 días, tasa efectiva de bancos, Superintendencia de Bancos del BCP), el nivel del diferencial real residual —proxy de la prima de riesgo— aumentó de manera estadísticamente significativa en el período posterior a la adopción del régimen de Metas de Inflación: +3,70 puntos porcentuales (p &lt; 0,001). Antes de 2011 dicho residuo era negativo (−2,18 pp): el diferencial nominal no compensaba siquiera el diferencial de inflación; después de 2011 emerge un residuo positivo (+1,52 pp).</w:t>
      </w:r>
    </w:p>
    <w:p>
      <w:pPr>
        <w:spacing w:after="160" w:line="300" w:lineRule="auto"/>
        <w:jc w:val="both"/>
      </w:pPr>
      <w:r>
        <w:t xml:space="preserve">Segunda. La composición contable del diferencial nominal cambió: el componente de inflación se comprimió (−2,83 pp; p &lt; 0,001) y el residual ganó peso. Esta es la primera capa de la hipótesis, y la evidencia la respalda con claridad, en coincidencia con el cambio de régimen.</w:t>
      </w:r>
    </w:p>
    <w:p>
      <w:pPr>
        <w:spacing w:after="160" w:line="300" w:lineRule="auto"/>
        <w:jc w:val="both"/>
      </w:pPr>
      <w:r>
        <w:t xml:space="preserve">Tercera. No se encontró evidencia de un cambio en la composición interna del residuo: la prueba conjunta de Wald sobre las interacciones de la volatilidad cambiaria y de la dolarización con el régimen no rechaza la estabilidad de las pendientes (F = 0,33; p = 0,717), y la prueba de dominancia estandarizada resulta no concluyente (p = 0,781). El quiebre asociado a 2011 es, con la serie primaria, un cambio de nivel (Chow: p &lt; 0,001), no de pendientes. Este resultado se reporta tal como surge; el análisis de sensibilidad muestra que la evidencia de pendientes depende de la definición de la serie de tasas, y esa dependencia se declara como hallazgo.</w:t>
      </w:r>
    </w:p>
    <w:p>
      <w:pPr>
        <w:spacing w:after="160" w:line="300" w:lineRule="auto"/>
        <w:jc w:val="both"/>
      </w:pPr>
      <w:r>
        <w:t xml:space="preserve">Cuarta. El contraste de la paridad descubierta (regresión de Fama) es no concluyente por baja potencia (β = 1,16; no se rechaza β = 1, p = 0,90; R² ≈ 0,01), y la media del retorno conservador del guaraní no es positiva en ningún subperíodo. Los resultados centrales son robustos a la fecha exacta del tratamiento (2011:T1 o T2), al control por la crisis de 2008-2009, al ancho de banda HAC, a la conversión compuesta de tasas y a la serie de fin de trimestre.</w:t>
      </w:r>
    </w:p>
    <w:p>
      <w:pPr>
        <w:spacing w:after="160" w:line="300" w:lineRule="auto"/>
        <w:jc w:val="both"/>
      </w:pPr>
      <w:r>
        <w:t xml:space="preserve">Quinta. El diseño es correlacional. Los cambios documentados coinciden temporalmente con la adopción del régimen de Metas de Inflación y son consistentes con sus mecanismos teóricos (anclaje de expectativas y compresión de la prima de inflación), pero no constituyen una identificación causal del efecto del régimen; el quiebre endógeno de la volatilidad de la serie se ubica en la crisis financiera global (2008:T2), lo que refuerza la necesidad de esta cautela interpretativa.</w:t>
      </w:r>
    </w:p>
    <w:p>
      <w:pPr>
        <w:spacing w:after="160" w:line="300" w:lineRule="auto"/>
      </w:pPr>
      <w:r>
        <w:rPr>
          <w:b/>
          <w:sz w:val="26"/>
          <w:szCs w:val="26"/>
        </w:rPr>
        <w:t xml:space="preserve">9.2. Recomendaciones</w:t>
      </w:r>
    </w:p>
    <w:p>
      <w:pPr>
        <w:spacing w:after="160" w:line="300" w:lineRule="auto"/>
        <w:jc w:val="both"/>
      </w:pPr>
      <w:r>
        <w:t xml:space="preserve">Para la política y el análisis: monitorear el residuo real del diferencial como indicador de la fricción cambiario-financiera del sistema, complementando el seguimiento tradicional del nivel de tasas; y avanzar en la publicación de series largas y homogéneas (encaje por moneda y plazo, operaciones forward) que permitan descomposiciones más finas del riesgo.</w:t>
      </w:r>
    </w:p>
    <w:p>
      <w:pPr>
        <w:spacing w:after="160" w:line="300" w:lineRule="auto"/>
        <w:jc w:val="both"/>
      </w:pPr>
      <w:r>
        <w:t xml:space="preserve">Para investigaciones futuras: (i) medir el componente expectacional con las encuestas de expectativas del BCP en lugar de la inflación observada; (ii) explotar la profundización del mercado forward para construir un precio del riesgo cambiario y contrastar la paridad cubierta; (iii) completar la cronología de encajes por resoluciones (2004-2012) para una robustez regulatoria de ventana completa; (iv) buscar identificación causal mediante control sintético o comparación con economías vecinas que no adoptaron metas de inflación en el período; y (v) explorar especificaciones de la prima con volatilidad implícita o medidas de riesgo de cola, cuando existan datos.</w:t>
      </w:r>
    </w:p>
    <w:p w14:paraId="3B6B217D"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26" w:name="_Toc233474074"/>
      <w:r>
        <w:rPr>
          <w:rFonts w:ascii="Arial" w:eastAsia="Arial" w:hAnsi="Arial" w:cs="Arial"/>
          <w:b/>
          <w:bCs/>
          <w:color w:val="000000"/>
          <w:lang w:val="es-ES" w:eastAsia="es-ES"/>
        </w:rPr>
        <w:lastRenderedPageBreak/>
        <w:t>Referencias</w:t>
      </w:r>
      <w:bookmarkEnd w:id="26"/>
    </w:p>
    <w:p w14:paraId="17F089C9"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Andrews, D. W. K. (1991). Heteroskedasticity and autocorrelation consistent covariance matrix estimation. </w:t>
      </w:r>
      <w:r>
        <w:rPr>
          <w:rFonts w:ascii="Arial" w:eastAsia="Arial" w:hAnsi="Arial" w:cs="Arial"/>
          <w:i/>
          <w:iCs/>
          <w:lang w:val="es-ES" w:eastAsia="es-ES"/>
        </w:rPr>
        <w:t>Econometrica, 59</w:t>
      </w:r>
      <w:r>
        <w:rPr>
          <w:rFonts w:ascii="Arial" w:eastAsia="Arial" w:hAnsi="Arial" w:cs="Arial"/>
          <w:lang w:val="es-ES" w:eastAsia="es-ES"/>
        </w:rPr>
        <w:t>(3), 817–858.</w:t>
      </w:r>
    </w:p>
    <w:p w14:paraId="01E2A18A"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Bai, J., &amp; Perron, P. (1998). Estimating and testing linear models with multiple structural changes. </w:t>
      </w:r>
      <w:r>
        <w:rPr>
          <w:rFonts w:ascii="Arial" w:eastAsia="Arial" w:hAnsi="Arial" w:cs="Arial"/>
          <w:i/>
          <w:iCs/>
          <w:lang w:val="es-ES" w:eastAsia="es-ES"/>
        </w:rPr>
        <w:t>Econometrica, 66</w:t>
      </w:r>
      <w:r>
        <w:rPr>
          <w:rFonts w:ascii="Arial" w:eastAsia="Arial" w:hAnsi="Arial" w:cs="Arial"/>
          <w:lang w:val="es-ES" w:eastAsia="es-ES"/>
        </w:rPr>
        <w:t>(1), 47–78.</w:t>
      </w:r>
    </w:p>
    <w:p w14:paraId="6E5BE37A"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Banco Central del Paraguay. (2011). </w:t>
      </w:r>
      <w:r>
        <w:rPr>
          <w:rFonts w:ascii="Arial" w:eastAsia="Arial" w:hAnsi="Arial" w:cs="Arial"/>
          <w:i/>
          <w:iCs/>
          <w:lang w:val="es-ES" w:eastAsia="es-ES"/>
        </w:rPr>
        <w:t>Resolución N.º 22, Acta N.º 31: Adopción del régimen de Metas de Inflación</w:t>
      </w:r>
      <w:r>
        <w:rPr>
          <w:rFonts w:ascii="Arial" w:eastAsia="Arial" w:hAnsi="Arial" w:cs="Arial"/>
          <w:lang w:val="es-ES" w:eastAsia="es-ES"/>
        </w:rPr>
        <w:t>. https://www.bcp.gov.py</w:t>
      </w:r>
    </w:p>
    <w:p w14:paraId="5632AFF0"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Banco Central del Paraguay. (2024). </w:t>
      </w:r>
      <w:r>
        <w:rPr>
          <w:rFonts w:ascii="Arial" w:eastAsia="Arial" w:hAnsi="Arial" w:cs="Arial"/>
          <w:i/>
          <w:iCs/>
          <w:lang w:val="es-ES" w:eastAsia="es-ES"/>
        </w:rPr>
        <w:t>Estadísticas monetarias y financieras: tasas de interés pasivas, tipo de cambio nominal, dolarización de depósitos y encaje legal</w:t>
      </w:r>
      <w:r>
        <w:rPr>
          <w:rFonts w:ascii="Arial" w:eastAsia="Arial" w:hAnsi="Arial" w:cs="Arial"/>
          <w:lang w:val="es-ES" w:eastAsia="es-ES"/>
        </w:rPr>
        <w:t xml:space="preserve"> [Base de datos]. https://www.bcp.gov.py/estadisticas</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Bansal, R., &amp; Dahlquist, M. (2000). The forward premium puzzle: Different tales from developed and emerging economies. </w:t>
      </w:r>
      <w:r>
        <w:rPr>
          <w:rFonts w:ascii="Arial" w:eastAsia="Arial" w:hAnsi="Arial" w:cs="Arial"/>
          <w:i/>
          <w:iCs/>
          <w:lang w:val="es-ES" w:eastAsia="es-ES"/>
        </w:rPr>
        <w:t>Journal of International Economics, 51</w:t>
      </w:r>
      <w:r>
        <w:rPr>
          <w:rFonts w:ascii="Arial" w:eastAsia="Arial" w:hAnsi="Arial" w:cs="Arial"/>
          <w:lang w:val="es-ES" w:eastAsia="es-ES"/>
        </w:rPr>
        <w:t>(1), 115–144.</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Brunnermeier, M. K., Nagel, S., &amp; Pedersen, L. H. (2009). Carry trades and currency crashes. En D. Acemoglu, K. Rogoff &amp; M. Woodford (Eds.), </w:t>
      </w:r>
      <w:r>
        <w:rPr>
          <w:rFonts w:ascii="Arial" w:eastAsia="Arial" w:hAnsi="Arial" w:cs="Arial"/>
          <w:i/>
          <w:iCs/>
          <w:lang w:val="es-ES" w:eastAsia="es-ES"/>
        </w:rPr>
        <w:t>NBER Macroeconomics Annual 2008</w:t>
      </w:r>
      <w:r>
        <w:rPr>
          <w:rFonts w:ascii="Arial" w:eastAsia="Arial" w:hAnsi="Arial" w:cs="Arial"/>
          <w:lang w:val="es-ES" w:eastAsia="es-ES"/>
        </w:rPr>
        <w:t xml:space="preserve"> (Vol. 23, pp. 313–347). University of Chicago Press.</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Calvo, G. A., &amp; Reinhart, C. M. (2002). Fear of floating. </w:t>
      </w:r>
      <w:r>
        <w:rPr>
          <w:rFonts w:ascii="Arial" w:eastAsia="Arial" w:hAnsi="Arial" w:cs="Arial"/>
          <w:i/>
          <w:iCs/>
          <w:lang w:val="es-ES" w:eastAsia="es-ES"/>
        </w:rPr>
        <w:t xml:space="preserve">The Quarterly Journal of Economics, 117</w:t>
      </w:r>
      <w:r>
        <w:rPr>
          <w:rFonts w:ascii="Arial" w:eastAsia="Arial" w:hAnsi="Arial" w:cs="Arial"/>
          <w:lang w:val="es-ES" w:eastAsia="es-ES"/>
        </w:rPr>
        <w:t xml:space="preserve">(2), 379–408.</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Calvo, G. A., &amp; Végh, C. A. (1992). Currency substitution in developing countries: An introduction. </w:t>
      </w:r>
      <w:r>
        <w:rPr>
          <w:rFonts w:ascii="Arial" w:eastAsia="Arial" w:hAnsi="Arial" w:cs="Arial"/>
          <w:i/>
          <w:iCs/>
          <w:lang w:val="es-ES" w:eastAsia="es-ES"/>
        </w:rPr>
        <w:t>Revista de Análisis Económico, 7</w:t>
      </w:r>
      <w:r>
        <w:rPr>
          <w:rFonts w:ascii="Arial" w:eastAsia="Arial" w:hAnsi="Arial" w:cs="Arial"/>
          <w:lang w:val="es-ES" w:eastAsia="es-ES"/>
        </w:rPr>
        <w:t>(1), 3–27.</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Ditzen, J., Karavias, Y., &amp; Westerlund, J. (2021). </w:t>
      </w:r>
      <w:r>
        <w:rPr>
          <w:rFonts w:ascii="Arial" w:eastAsia="Arial" w:hAnsi="Arial" w:cs="Arial"/>
          <w:i/>
          <w:iCs/>
          <w:lang w:val="es-ES" w:eastAsia="es-ES"/>
        </w:rPr>
        <w:t xml:space="preserve">Testing and estimating structural breaks in time series and panel data in Stata</w:t>
      </w:r>
      <w:r>
        <w:rPr>
          <w:rFonts w:ascii="Arial" w:eastAsia="Arial" w:hAnsi="Arial" w:cs="Arial"/>
          <w:lang w:val="es-ES" w:eastAsia="es-ES"/>
        </w:rPr>
        <w:t xml:space="preserve"> (arXiv: 2110.14550). arXiv.</w:t>
      </w:r>
    </w:p>
    <w:p w14:paraId="71947B40"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Engel, C. (1996). The forward discount anomaly and the risk premium: A survey of recent evidence. </w:t>
      </w:r>
      <w:r>
        <w:rPr>
          <w:rFonts w:ascii="Arial" w:eastAsia="Arial" w:hAnsi="Arial" w:cs="Arial"/>
          <w:i/>
          <w:iCs/>
          <w:lang w:val="es-ES" w:eastAsia="es-ES"/>
        </w:rPr>
        <w:t>Journal of Empirical Finance, 3</w:t>
      </w:r>
      <w:r>
        <w:rPr>
          <w:rFonts w:ascii="Arial" w:eastAsia="Arial" w:hAnsi="Arial" w:cs="Arial"/>
          <w:lang w:val="es-ES" w:eastAsia="es-ES"/>
        </w:rPr>
        <w:t>(2), 123–192.</w:t>
      </w:r>
    </w:p>
    <w:p w14:paraId="68494A1F"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Fama, E. F. (1984). Forward and spot exchange rates. </w:t>
      </w:r>
      <w:r>
        <w:rPr>
          <w:rFonts w:ascii="Arial" w:eastAsia="Arial" w:hAnsi="Arial" w:cs="Arial"/>
          <w:i/>
          <w:iCs/>
          <w:lang w:val="es-ES" w:eastAsia="es-ES"/>
        </w:rPr>
        <w:t>Journal of Monetary Economics, 14</w:t>
      </w:r>
      <w:r>
        <w:rPr>
          <w:rFonts w:ascii="Arial" w:eastAsia="Arial" w:hAnsi="Arial" w:cs="Arial"/>
          <w:lang w:val="es-ES" w:eastAsia="es-ES"/>
        </w:rPr>
        <w:t>(3), 319–338.</w:t>
      </w:r>
    </w:p>
    <w:p w14:paraId="5EAD7B79"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Federal Reserve System. (2024). </w:t>
      </w:r>
      <w:r>
        <w:rPr>
          <w:rFonts w:ascii="Arial" w:eastAsia="Arial" w:hAnsi="Arial" w:cs="Arial"/>
          <w:i/>
          <w:iCs/>
          <w:lang w:val="es-ES" w:eastAsia="es-ES"/>
        </w:rPr>
        <w:t>Federal funds effective rate</w:t>
      </w:r>
      <w:r>
        <w:rPr>
          <w:rFonts w:ascii="Arial" w:eastAsia="Arial" w:hAnsi="Arial" w:cs="Arial"/>
          <w:lang w:val="es-ES" w:eastAsia="es-ES"/>
        </w:rPr>
        <w:t xml:space="preserve"> [Base de datos]. FRED Economic Data. https://fred.stlouisfed.org/series/FEDFUNDS</w:t>
      </w:r>
    </w:p>
    <w:p w14:paraId="4066C698"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Fisher, I. (1930). </w:t>
      </w:r>
      <w:r>
        <w:rPr>
          <w:rFonts w:ascii="Arial" w:eastAsia="Arial" w:hAnsi="Arial" w:cs="Arial"/>
          <w:i/>
          <w:iCs/>
          <w:lang w:val="es-ES" w:eastAsia="es-ES"/>
        </w:rPr>
        <w:t>The theory of interest</w:t>
      </w:r>
      <w:r>
        <w:rPr>
          <w:rFonts w:ascii="Arial" w:eastAsia="Arial" w:hAnsi="Arial" w:cs="Arial"/>
          <w:lang w:val="es-ES" w:eastAsia="es-ES"/>
        </w:rPr>
        <w:t>. Macmillan.</w:t>
      </w:r>
    </w:p>
    <w:p w14:paraId="41DD95CD"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Frenkel, J. A. (1973). Elasticities and the interest parity theory. </w:t>
      </w:r>
      <w:r>
        <w:rPr>
          <w:rFonts w:ascii="Arial" w:eastAsia="Arial" w:hAnsi="Arial" w:cs="Arial"/>
          <w:i/>
          <w:iCs/>
          <w:lang w:val="es-ES" w:eastAsia="es-ES"/>
        </w:rPr>
        <w:t>Journal of Political Economy, 81</w:t>
      </w:r>
      <w:r>
        <w:rPr>
          <w:rFonts w:ascii="Arial" w:eastAsia="Arial" w:hAnsi="Arial" w:cs="Arial"/>
          <w:lang w:val="es-ES" w:eastAsia="es-ES"/>
        </w:rPr>
        <w:t>(3), 741–747.</w:t>
      </w:r>
    </w:p>
    <w:p w14:paraId="6CC8B87B"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Hansen, L. P., &amp; Hodrick, R. J. (1980). Forward exchange rates as optimal predictors of future spot rates: An econometric analysis. </w:t>
      </w:r>
      <w:r>
        <w:rPr>
          <w:rFonts w:ascii="Arial" w:eastAsia="Arial" w:hAnsi="Arial" w:cs="Arial"/>
          <w:i/>
          <w:iCs/>
          <w:lang w:val="es-ES" w:eastAsia="es-ES"/>
        </w:rPr>
        <w:t>Journal of Political Economy, 88</w:t>
      </w:r>
      <w:r>
        <w:rPr>
          <w:rFonts w:ascii="Arial" w:eastAsia="Arial" w:hAnsi="Arial" w:cs="Arial"/>
          <w:lang w:val="es-ES" w:eastAsia="es-ES"/>
        </w:rPr>
        <w:t>(5), 829–853.</w:t>
      </w:r>
    </w:p>
    <w:p w14:paraId="6B5A2CCF"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Ize, A., &amp; Levy-Yeyati, E. (2003). Financial dollarization. </w:t>
      </w:r>
      <w:r>
        <w:rPr>
          <w:rFonts w:ascii="Arial" w:eastAsia="Arial" w:hAnsi="Arial" w:cs="Arial"/>
          <w:i/>
          <w:iCs/>
          <w:lang w:val="es-ES" w:eastAsia="es-ES"/>
        </w:rPr>
        <w:t>Journal of International Economics, 59</w:t>
      </w:r>
      <w:r>
        <w:rPr>
          <w:rFonts w:ascii="Arial" w:eastAsia="Arial" w:hAnsi="Arial" w:cs="Arial"/>
          <w:lang w:val="es-ES" w:eastAsia="es-ES"/>
        </w:rPr>
        <w:t>(2), 323–347.</w:t>
      </w:r>
    </w:p>
    <w:p w14:paraId="7D75F137"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Keynes, J. M. (1923). </w:t>
      </w:r>
      <w:r>
        <w:rPr>
          <w:rFonts w:ascii="Arial" w:eastAsia="Arial" w:hAnsi="Arial" w:cs="Arial"/>
          <w:i/>
          <w:iCs/>
          <w:lang w:val="es-ES" w:eastAsia="es-ES"/>
        </w:rPr>
        <w:t>A tract on monetary reform</w:t>
      </w:r>
      <w:r>
        <w:rPr>
          <w:rFonts w:ascii="Arial" w:eastAsia="Arial" w:hAnsi="Arial" w:cs="Arial"/>
          <w:lang w:val="es-ES" w:eastAsia="es-ES"/>
        </w:rPr>
        <w:t>. Macmillan.</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Krasker, W. S. (1980). The peso problem in testing the efficiency of forward exchange markets. </w:t>
      </w:r>
      <w:r>
        <w:rPr>
          <w:rFonts w:ascii="Arial" w:eastAsia="Arial" w:hAnsi="Arial" w:cs="Arial"/>
          <w:i/>
          <w:iCs/>
          <w:lang w:val="es-ES" w:eastAsia="es-ES"/>
        </w:rPr>
        <w:t>Journal of Monetary Economics, 6</w:t>
      </w:r>
      <w:r>
        <w:rPr>
          <w:rFonts w:ascii="Arial" w:eastAsia="Arial" w:hAnsi="Arial" w:cs="Arial"/>
          <w:lang w:val="es-ES" w:eastAsia="es-ES"/>
        </w:rPr>
        <w:t>(2), 269–276.</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Leiderman, L., Maino, R., &amp; Parrado, E. (2006). </w:t>
      </w:r>
      <w:r>
        <w:rPr>
          <w:rFonts w:ascii="Arial" w:eastAsia="Arial" w:hAnsi="Arial" w:cs="Arial"/>
          <w:i/>
          <w:iCs/>
          <w:lang w:val="es-ES" w:eastAsia="es-ES"/>
        </w:rPr>
        <w:t>Inflation targeting in dollarized economies</w:t>
      </w:r>
      <w:r>
        <w:rPr>
          <w:rFonts w:ascii="Arial" w:eastAsia="Arial" w:hAnsi="Arial" w:cs="Arial"/>
          <w:lang w:val="es-ES" w:eastAsia="es-ES"/>
        </w:rPr>
        <w:t xml:space="preserve"> (IMF Working Paper No. 06/157). International Monetary Fund.</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Lewis, K. K. (1995). Puzzles in international financial markets. En G. M. Grossman &amp; K. Rogoff (Eds.), </w:t>
      </w:r>
      <w:r>
        <w:rPr>
          <w:rFonts w:ascii="Arial" w:eastAsia="Arial" w:hAnsi="Arial" w:cs="Arial"/>
          <w:i/>
          <w:iCs/>
          <w:lang w:val="es-ES" w:eastAsia="es-ES"/>
        </w:rPr>
        <w:t xml:space="preserve">Handbook of International Economics</w:t>
      </w:r>
      <w:r>
        <w:rPr>
          <w:rFonts w:ascii="Arial" w:eastAsia="Arial" w:hAnsi="Arial" w:cs="Arial"/>
          <w:lang w:val="es-ES" w:eastAsia="es-ES"/>
        </w:rPr>
        <w:t xml:space="preserve"> (Vol. 3, pp. 1913–1971). Elsevier.</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Ley N.º 489/95, Orgánica del Banco Central del Paraguay (1995). </w:t>
      </w:r>
      <w:r>
        <w:rPr>
          <w:rFonts w:ascii="Arial" w:eastAsia="Arial" w:hAnsi="Arial" w:cs="Arial"/>
          <w:i/>
          <w:iCs/>
          <w:lang w:val="es-ES" w:eastAsia="es-ES"/>
        </w:rPr>
        <w:t xml:space="preserve">Gaceta Oficial de la República del Paraguay</w:t>
      </w:r>
      <w:r>
        <w:rPr>
          <w:rFonts w:ascii="Arial" w:eastAsia="Arial" w:hAnsi="Arial" w:cs="Arial"/>
          <w:lang w:val="es-ES" w:eastAsia="es-ES"/>
        </w:rPr>
        <w:t xml:space="preserve">.</w:t>
      </w:r>
    </w:p>
    <w:p>
      <w:pPr>
        <w:spacing w:after="160" w:line="300" w:lineRule="auto"/>
        <w:jc w:val="both"/>
      </w:pPr>
      <w:r>
        <w:t xml:space="preserve">Banco Central del Paraguay. (2024). Resolución N.º 48, Acta N.º 60 (16 de diciembre de 2024): meta de inflación de 3,5 % ± 2 pp. Banco Central del Paraguay. https://www.bcp.gov.py/</w:t>
      </w:r>
    </w:p>
    <w:p>
      <w:pPr>
        <w:spacing w:after="160" w:line="300" w:lineRule="auto"/>
        <w:jc w:val="both"/>
      </w:pPr>
      <w:r>
        <w:t xml:space="preserve">Banco Central del Paraguay. (2026). Tasa de Política Monetaria (serie histórica) [Conjunto de datos]. https://www.bcp.gov.py/tasa-de-politica-monetaria</w:t>
      </w:r>
    </w:p>
    <w:p>
      <w:pPr>
        <w:spacing w:after="160" w:line="300" w:lineRule="auto"/>
        <w:jc w:val="both"/>
      </w:pPr>
      <w:r>
        <w:t xml:space="preserve">U.S. Bureau of Labor Statistics. (2026). Consumer Price Index for All Urban Consumers: All Items in U.S. City Average (CPIAUCSL) [Conjunto de datos]. FRED, Federal Reserve Bank of St. Louis. https://fred.stlouisfed.org/series/CPIAUCSL</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Lustig, H., &amp; Verdelhan, A. (2007). The cross section of foreign currency risk premia and consumption growth risk. </w:t>
      </w:r>
      <w:r>
        <w:rPr>
          <w:rFonts w:ascii="Arial" w:eastAsia="Arial" w:hAnsi="Arial" w:cs="Arial"/>
          <w:i/>
          <w:iCs/>
          <w:lang w:val="es-ES" w:eastAsia="es-ES"/>
        </w:rPr>
        <w:t xml:space="preserve">American Economic Review, 97</w:t>
      </w:r>
      <w:r>
        <w:rPr>
          <w:rFonts w:ascii="Arial" w:eastAsia="Arial" w:hAnsi="Arial" w:cs="Arial"/>
          <w:lang w:val="es-ES" w:eastAsia="es-ES"/>
        </w:rPr>
        <w:t xml:space="preserve">(1), 89–117.</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Malmendier, U., &amp; Nagel, S. (2011). Depression babies: Do macroeconomic experiences affect risk taking? </w:t>
      </w:r>
      <w:r>
        <w:rPr>
          <w:rFonts w:ascii="Arial" w:eastAsia="Arial" w:hAnsi="Arial" w:cs="Arial"/>
          <w:i/>
          <w:iCs/>
          <w:lang w:val="es-ES" w:eastAsia="es-ES"/>
        </w:rPr>
        <w:t>Quarterly Journal of Economics, 126</w:t>
      </w:r>
      <w:r>
        <w:rPr>
          <w:rFonts w:ascii="Arial" w:eastAsia="Arial" w:hAnsi="Arial" w:cs="Arial"/>
          <w:lang w:val="es-ES" w:eastAsia="es-ES"/>
        </w:rPr>
        <w:t>(1), 373–416.</w:t>
      </w:r>
    </w:p>
    <w:p w14:paraId="30B3BA1A"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Mishkin, F. S. (2004). </w:t>
      </w:r>
      <w:r>
        <w:rPr>
          <w:rFonts w:ascii="Arial" w:eastAsia="Arial" w:hAnsi="Arial" w:cs="Arial"/>
          <w:i/>
          <w:iCs/>
          <w:lang w:val="es-ES" w:eastAsia="es-ES"/>
        </w:rPr>
        <w:t>Can inflation targeting work in emerging market countries?</w:t>
      </w:r>
      <w:r>
        <w:rPr>
          <w:rFonts w:ascii="Arial" w:eastAsia="Arial" w:hAnsi="Arial" w:cs="Arial"/>
          <w:lang w:val="es-ES" w:eastAsia="es-ES"/>
        </w:rPr>
        <w:t xml:space="preserve"> (NBER Working Paper No. 10646). National Bureau of Economic Research.</w:t>
      </w:r>
    </w:p>
    <w:p w14:paraId="79F7394E"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Mishkin, F. S., &amp; Schmidt-Hebbel, K. (2007). Does inflation targeting make a difference? En F. S. Mishkin &amp; K. Schmidt-Hebbel (Eds.), </w:t>
      </w:r>
      <w:r>
        <w:rPr>
          <w:rFonts w:ascii="Arial" w:eastAsia="Arial" w:hAnsi="Arial" w:cs="Arial"/>
          <w:i/>
          <w:iCs/>
          <w:lang w:val="es-ES" w:eastAsia="es-ES"/>
        </w:rPr>
        <w:t>Monetary policy under inflation targeting</w:t>
      </w:r>
      <w:r>
        <w:rPr>
          <w:rFonts w:ascii="Arial" w:eastAsia="Arial" w:hAnsi="Arial" w:cs="Arial"/>
          <w:lang w:val="es-ES" w:eastAsia="es-ES"/>
        </w:rPr>
        <w:t xml:space="preserve"> (pp. 291–372). Banco Central de Chile.</w:t>
      </w:r>
    </w:p>
    <w:p w14:paraId="1C5E5894"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Mundell, R. A. (1963). Capital mobility and stabilization policy under fixed and flexible exchange rates. </w:t>
      </w:r>
      <w:r>
        <w:rPr>
          <w:rFonts w:ascii="Arial" w:eastAsia="Arial" w:hAnsi="Arial" w:cs="Arial"/>
          <w:i/>
          <w:iCs/>
          <w:lang w:val="es-ES" w:eastAsia="es-ES"/>
        </w:rPr>
        <w:t>Canadian Journal of Economics and Political Science, 29</w:t>
      </w:r>
      <w:r>
        <w:rPr>
          <w:rFonts w:ascii="Arial" w:eastAsia="Arial" w:hAnsi="Arial" w:cs="Arial"/>
          <w:lang w:val="es-ES" w:eastAsia="es-ES"/>
        </w:rPr>
        <w:t>(4), 475–485.</w:t>
      </w:r>
    </w:p>
    <w:p w14:paraId="6A78E753"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Newey, W. K., &amp; West, K. D. (1987). A simple, positive semi-definite, heteroskedasticity and autocorrelation consistent covariance matrix. </w:t>
      </w:r>
      <w:r>
        <w:rPr>
          <w:rFonts w:ascii="Arial" w:eastAsia="Arial" w:hAnsi="Arial" w:cs="Arial"/>
          <w:i/>
          <w:iCs/>
          <w:lang w:val="es-ES" w:eastAsia="es-ES"/>
        </w:rPr>
        <w:t>Econometrica, 55</w:t>
      </w:r>
      <w:r>
        <w:rPr>
          <w:rFonts w:ascii="Arial" w:eastAsia="Arial" w:hAnsi="Arial" w:cs="Arial"/>
          <w:lang w:val="es-ES" w:eastAsia="es-ES"/>
        </w:rPr>
        <w:t>(3), 703–708.</w:t>
      </w:r>
    </w:p>
    <w:p w14:paraId="6E11A7FF"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Svensson, L. E. O. (1997). Inflation forecast targeting: Implementing and monitoring inflation targets. </w:t>
      </w:r>
      <w:r>
        <w:rPr>
          <w:rFonts w:ascii="Arial" w:eastAsia="Arial" w:hAnsi="Arial" w:cs="Arial"/>
          <w:i/>
          <w:iCs/>
          <w:lang w:val="es-ES" w:eastAsia="es-ES"/>
        </w:rPr>
        <w:t>European Economic Review, 41</w:t>
      </w:r>
      <w:r>
        <w:rPr>
          <w:rFonts w:ascii="Arial" w:eastAsia="Arial" w:hAnsi="Arial" w:cs="Arial"/>
          <w:lang w:val="es-ES" w:eastAsia="es-ES"/>
        </w:rPr>
        <w:t>(6), 1111–1146.</w:t>
      </w:r>
    </w:p>
    <w:p w14:paraId="3666CFEF" w14:textId="77777777" w:rsidR="00D27E85" w:rsidRPr="001444A5" w:rsidRDefault="00D27E85" w:rsidP="00D27E85">
      <w:pPr>
        <w:spacing w:after="0" w:line="360" w:lineRule="auto"/>
        <w:jc w:val="both"/>
        <w:rPr>
          <w:rFonts w:ascii="Times New Roman" w:hAnsi="Times New Roman" w:cs="Times New Roman"/>
          <w:color w:val="000000" w:themeColor="text1"/>
        </w:rPr>
      </w:pPr>
    </w:p>
    <w:p w14:paraId="38850C82" w14:textId="4771971A" w:rsidR="0076436A" w:rsidRPr="001444A5" w:rsidRDefault="0076436A" w:rsidP="00DF3903">
      <w:pPr>
        <w:spacing w:after="0" w:line="360" w:lineRule="auto"/>
        <w:jc w:val="both"/>
        <w:rPr>
          <w:rFonts w:ascii="Times New Roman" w:hAnsi="Times New Roman" w:cs="Times New Roman"/>
          <w:color w:val="000000" w:themeColor="text1"/>
        </w:rPr>
      </w:pPr>
    </w:p>
    <w:sectPr w:rsidR="0076436A" w:rsidRPr="001444A5" w:rsidSect="00D27E85">
      <w:footerReference w:type="default" r:id="rId16"/>
      <w:pgSz w:w="11906" w:h="16838"/>
      <w:pgMar w:top="1417" w:right="1417"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EB347" w14:textId="77777777" w:rsidR="002D0124" w:rsidRDefault="002D0124" w:rsidP="005924D5">
      <w:pPr>
        <w:spacing w:after="0" w:line="240" w:lineRule="auto"/>
      </w:pPr>
      <w:r>
        <w:separator/>
      </w:r>
    </w:p>
  </w:endnote>
  <w:endnote w:type="continuationSeparator" w:id="0">
    <w:p w14:paraId="577CCC35" w14:textId="77777777" w:rsidR="002D0124" w:rsidRDefault="002D0124" w:rsidP="00592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CC77" w14:textId="77777777" w:rsidR="00B62E0F" w:rsidRDefault="00B62E0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AD635" w14:textId="2B6FD36E" w:rsidR="005924D5" w:rsidRPr="005924D5" w:rsidRDefault="005924D5">
    <w:pPr>
      <w:pStyle w:val="Piedepgina"/>
      <w:jc w:val="center"/>
      <w:rPr>
        <w:caps/>
      </w:rPr>
    </w:pPr>
  </w:p>
  <w:p w14:paraId="492AB292" w14:textId="77777777" w:rsidR="005924D5" w:rsidRDefault="005924D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CB11" w14:textId="77777777" w:rsidR="00B62E0F" w:rsidRDefault="00B62E0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5326E" w14:textId="77777777" w:rsidR="00DF3903" w:rsidRDefault="00DF3903">
    <w:pPr>
      <w:jc w:val="center"/>
    </w:pPr>
    <w:r>
      <w:rPr>
        <w:sz w:val="18"/>
        <w:szCs w:val="18"/>
      </w:rPr>
      <w:fldChar w:fldCharType="begin"/>
    </w:r>
    <w:r>
      <w:rPr>
        <w:sz w:val="18"/>
        <w:szCs w:val="18"/>
      </w:rPr>
      <w:instrText>PAGE</w:instrText>
    </w:r>
    <w:r>
      <w:rPr>
        <w:sz w:val="18"/>
        <w:szCs w:val="18"/>
      </w:rPr>
      <w:fldChar w:fldCharType="separate"/>
    </w:r>
    <w:r>
      <w:rPr>
        <w:noProof/>
        <w:sz w:val="18"/>
        <w:szCs w:val="18"/>
      </w:rPr>
      <w:t>i</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C5B0" w14:textId="77777777" w:rsidR="00D27E85" w:rsidRDefault="00D27E85">
    <w:pPr>
      <w:jc w:val="center"/>
    </w:pP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89795" w14:textId="77777777" w:rsidR="002D0124" w:rsidRDefault="002D0124" w:rsidP="005924D5">
      <w:pPr>
        <w:spacing w:after="0" w:line="240" w:lineRule="auto"/>
      </w:pPr>
      <w:r>
        <w:separator/>
      </w:r>
    </w:p>
  </w:footnote>
  <w:footnote w:type="continuationSeparator" w:id="0">
    <w:p w14:paraId="4CA95F1D" w14:textId="77777777" w:rsidR="002D0124" w:rsidRDefault="002D0124" w:rsidP="005924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0BB3" w14:textId="77777777" w:rsidR="00B62E0F" w:rsidRDefault="00B62E0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2036E" w14:textId="77777777" w:rsidR="00B62E0F" w:rsidRDefault="00B62E0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C3E0B" w14:textId="77777777" w:rsidR="00B62E0F" w:rsidRDefault="00B62E0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66409"/>
    <w:multiLevelType w:val="hybridMultilevel"/>
    <w:tmpl w:val="DDACC1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0D69E0"/>
    <w:multiLevelType w:val="multilevel"/>
    <w:tmpl w:val="1A7A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F73E8"/>
    <w:multiLevelType w:val="multilevel"/>
    <w:tmpl w:val="CF044EE6"/>
    <w:lvl w:ilvl="0">
      <w:start w:val="1"/>
      <w:numFmt w:val="bullet"/>
      <w:pStyle w:val="Listaconnmeros"/>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1144CE"/>
    <w:multiLevelType w:val="multilevel"/>
    <w:tmpl w:val="A0902D18"/>
    <w:lvl w:ilvl="0">
      <w:start w:val="1"/>
      <w:numFmt w:val="bullet"/>
      <w:pStyle w:val="Listaconvietas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EA34A0"/>
    <w:multiLevelType w:val="hybridMultilevel"/>
    <w:tmpl w:val="121C317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1BB76EF7"/>
    <w:multiLevelType w:val="hybridMultilevel"/>
    <w:tmpl w:val="92E4A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D922A7B"/>
    <w:multiLevelType w:val="multilevel"/>
    <w:tmpl w:val="D62A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A3EB3"/>
    <w:multiLevelType w:val="multilevel"/>
    <w:tmpl w:val="3198E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AC4999"/>
    <w:multiLevelType w:val="hybridMultilevel"/>
    <w:tmpl w:val="C12C26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7AB5FBA"/>
    <w:multiLevelType w:val="multilevel"/>
    <w:tmpl w:val="5808A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16199B"/>
    <w:multiLevelType w:val="multilevel"/>
    <w:tmpl w:val="FE4A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282A51"/>
    <w:multiLevelType w:val="hybridMultilevel"/>
    <w:tmpl w:val="1C0098B2"/>
    <w:lvl w:ilvl="0" w:tplc="49DC036E">
      <w:start w:val="1"/>
      <w:numFmt w:val="decimal"/>
      <w:lvlText w:val="%1)"/>
      <w:lvlJc w:val="left"/>
      <w:pPr>
        <w:ind w:left="720" w:hanging="360"/>
      </w:pPr>
    </w:lvl>
    <w:lvl w:ilvl="1" w:tplc="0C848C0A">
      <w:numFmt w:val="decimal"/>
      <w:lvlText w:val=""/>
      <w:lvlJc w:val="left"/>
    </w:lvl>
    <w:lvl w:ilvl="2" w:tplc="FAD0B3D6">
      <w:numFmt w:val="decimal"/>
      <w:lvlText w:val=""/>
      <w:lvlJc w:val="left"/>
    </w:lvl>
    <w:lvl w:ilvl="3" w:tplc="AD6EF8E0">
      <w:numFmt w:val="decimal"/>
      <w:lvlText w:val=""/>
      <w:lvlJc w:val="left"/>
    </w:lvl>
    <w:lvl w:ilvl="4" w:tplc="2D847522">
      <w:numFmt w:val="decimal"/>
      <w:lvlText w:val=""/>
      <w:lvlJc w:val="left"/>
    </w:lvl>
    <w:lvl w:ilvl="5" w:tplc="2CFE4FEE">
      <w:numFmt w:val="decimal"/>
      <w:lvlText w:val=""/>
      <w:lvlJc w:val="left"/>
    </w:lvl>
    <w:lvl w:ilvl="6" w:tplc="ADB8E8B6">
      <w:numFmt w:val="decimal"/>
      <w:lvlText w:val=""/>
      <w:lvlJc w:val="left"/>
    </w:lvl>
    <w:lvl w:ilvl="7" w:tplc="38547F8C">
      <w:numFmt w:val="decimal"/>
      <w:lvlText w:val=""/>
      <w:lvlJc w:val="left"/>
    </w:lvl>
    <w:lvl w:ilvl="8" w:tplc="89A851FA">
      <w:numFmt w:val="decimal"/>
      <w:lvlText w:val=""/>
      <w:lvlJc w:val="left"/>
    </w:lvl>
  </w:abstractNum>
  <w:abstractNum w:abstractNumId="12" w15:restartNumberingAfterBreak="0">
    <w:nsid w:val="423C30E4"/>
    <w:multiLevelType w:val="multilevel"/>
    <w:tmpl w:val="C7F2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9F727A"/>
    <w:multiLevelType w:val="multilevel"/>
    <w:tmpl w:val="0CBC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B255E7"/>
    <w:multiLevelType w:val="hybridMultilevel"/>
    <w:tmpl w:val="1D76BC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AA60834"/>
    <w:multiLevelType w:val="multilevel"/>
    <w:tmpl w:val="A9CEEB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C6D3894"/>
    <w:multiLevelType w:val="multilevel"/>
    <w:tmpl w:val="A488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3B7229"/>
    <w:multiLevelType w:val="hybridMultilevel"/>
    <w:tmpl w:val="D7F6A1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A744B3"/>
    <w:multiLevelType w:val="hybridMultilevel"/>
    <w:tmpl w:val="5EDEF8EC"/>
    <w:lvl w:ilvl="0" w:tplc="0C0A0001">
      <w:start w:val="1"/>
      <w:numFmt w:val="bullet"/>
      <w:lvlText w:val=""/>
      <w:lvlJc w:val="left"/>
      <w:pPr>
        <w:ind w:left="783" w:hanging="360"/>
      </w:pPr>
      <w:rPr>
        <w:rFonts w:ascii="Symbol" w:hAnsi="Symbol"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19" w15:restartNumberingAfterBreak="0">
    <w:nsid w:val="58660C86"/>
    <w:multiLevelType w:val="hybridMultilevel"/>
    <w:tmpl w:val="C81C7A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91F30D7"/>
    <w:multiLevelType w:val="hybridMultilevel"/>
    <w:tmpl w:val="A92A2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A843AE4"/>
    <w:multiLevelType w:val="multilevel"/>
    <w:tmpl w:val="FC5E4852"/>
    <w:lvl w:ilvl="0">
      <w:start w:val="1"/>
      <w:numFmt w:val="bullet"/>
      <w:pStyle w:val="Listaconvietas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D641CD1"/>
    <w:multiLevelType w:val="hybridMultilevel"/>
    <w:tmpl w:val="50B215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DD33F82"/>
    <w:multiLevelType w:val="hybridMultilevel"/>
    <w:tmpl w:val="604EE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ECF66A0"/>
    <w:multiLevelType w:val="hybridMultilevel"/>
    <w:tmpl w:val="C4B00AFE"/>
    <w:lvl w:ilvl="0" w:tplc="01CC713A">
      <w:start w:val="1"/>
      <w:numFmt w:val="bullet"/>
      <w:lvlText w:val="•"/>
      <w:lvlJc w:val="left"/>
      <w:pPr>
        <w:ind w:left="720" w:hanging="360"/>
      </w:pPr>
    </w:lvl>
    <w:lvl w:ilvl="1" w:tplc="1B9C85B4">
      <w:numFmt w:val="decimal"/>
      <w:lvlText w:val=""/>
      <w:lvlJc w:val="left"/>
    </w:lvl>
    <w:lvl w:ilvl="2" w:tplc="C2D86CBA">
      <w:numFmt w:val="decimal"/>
      <w:lvlText w:val=""/>
      <w:lvlJc w:val="left"/>
    </w:lvl>
    <w:lvl w:ilvl="3" w:tplc="776025FE">
      <w:numFmt w:val="decimal"/>
      <w:lvlText w:val=""/>
      <w:lvlJc w:val="left"/>
    </w:lvl>
    <w:lvl w:ilvl="4" w:tplc="F01878A6">
      <w:numFmt w:val="decimal"/>
      <w:lvlText w:val=""/>
      <w:lvlJc w:val="left"/>
    </w:lvl>
    <w:lvl w:ilvl="5" w:tplc="D664406A">
      <w:numFmt w:val="decimal"/>
      <w:lvlText w:val=""/>
      <w:lvlJc w:val="left"/>
    </w:lvl>
    <w:lvl w:ilvl="6" w:tplc="B2529B72">
      <w:numFmt w:val="decimal"/>
      <w:lvlText w:val=""/>
      <w:lvlJc w:val="left"/>
    </w:lvl>
    <w:lvl w:ilvl="7" w:tplc="E3B42CB4">
      <w:numFmt w:val="decimal"/>
      <w:lvlText w:val=""/>
      <w:lvlJc w:val="left"/>
    </w:lvl>
    <w:lvl w:ilvl="8" w:tplc="62B09956">
      <w:numFmt w:val="decimal"/>
      <w:lvlText w:val=""/>
      <w:lvlJc w:val="left"/>
    </w:lvl>
  </w:abstractNum>
  <w:abstractNum w:abstractNumId="25" w15:restartNumberingAfterBreak="0">
    <w:nsid w:val="60D763F6"/>
    <w:multiLevelType w:val="multilevel"/>
    <w:tmpl w:val="2C04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761386"/>
    <w:multiLevelType w:val="hybridMultilevel"/>
    <w:tmpl w:val="8182C1B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6A3126D4"/>
    <w:multiLevelType w:val="hybridMultilevel"/>
    <w:tmpl w:val="AE9416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EAB771A"/>
    <w:multiLevelType w:val="hybridMultilevel"/>
    <w:tmpl w:val="CD1C4D4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EBB3F3E"/>
    <w:multiLevelType w:val="hybridMultilevel"/>
    <w:tmpl w:val="FA9CB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B7A57C5"/>
    <w:multiLevelType w:val="hybridMultilevel"/>
    <w:tmpl w:val="F1169E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59002709">
    <w:abstractNumId w:val="3"/>
  </w:num>
  <w:num w:numId="2" w16cid:durableId="2018195631">
    <w:abstractNumId w:val="21"/>
  </w:num>
  <w:num w:numId="3" w16cid:durableId="1080561271">
    <w:abstractNumId w:val="15"/>
  </w:num>
  <w:num w:numId="4" w16cid:durableId="999116314">
    <w:abstractNumId w:val="2"/>
  </w:num>
  <w:num w:numId="5" w16cid:durableId="682325247">
    <w:abstractNumId w:val="9"/>
  </w:num>
  <w:num w:numId="6" w16cid:durableId="1460877108">
    <w:abstractNumId w:val="7"/>
  </w:num>
  <w:num w:numId="7" w16cid:durableId="1482388623">
    <w:abstractNumId w:val="1"/>
  </w:num>
  <w:num w:numId="8" w16cid:durableId="334574368">
    <w:abstractNumId w:val="13"/>
  </w:num>
  <w:num w:numId="9" w16cid:durableId="794756877">
    <w:abstractNumId w:val="6"/>
  </w:num>
  <w:num w:numId="10" w16cid:durableId="1753119181">
    <w:abstractNumId w:val="28"/>
  </w:num>
  <w:num w:numId="11" w16cid:durableId="2085250096">
    <w:abstractNumId w:val="22"/>
  </w:num>
  <w:num w:numId="12" w16cid:durableId="1943105213">
    <w:abstractNumId w:val="14"/>
  </w:num>
  <w:num w:numId="13" w16cid:durableId="102893857">
    <w:abstractNumId w:val="23"/>
  </w:num>
  <w:num w:numId="14" w16cid:durableId="1988240198">
    <w:abstractNumId w:val="30"/>
  </w:num>
  <w:num w:numId="15" w16cid:durableId="1103182610">
    <w:abstractNumId w:val="20"/>
  </w:num>
  <w:num w:numId="16" w16cid:durableId="2078283609">
    <w:abstractNumId w:val="29"/>
  </w:num>
  <w:num w:numId="17" w16cid:durableId="812138178">
    <w:abstractNumId w:val="18"/>
  </w:num>
  <w:num w:numId="18" w16cid:durableId="1885174343">
    <w:abstractNumId w:val="17"/>
  </w:num>
  <w:num w:numId="19" w16cid:durableId="908929060">
    <w:abstractNumId w:val="5"/>
  </w:num>
  <w:num w:numId="20" w16cid:durableId="1600022457">
    <w:abstractNumId w:val="27"/>
  </w:num>
  <w:num w:numId="21" w16cid:durableId="224754728">
    <w:abstractNumId w:val="26"/>
  </w:num>
  <w:num w:numId="22" w16cid:durableId="95446462">
    <w:abstractNumId w:val="0"/>
  </w:num>
  <w:num w:numId="23" w16cid:durableId="1842574671">
    <w:abstractNumId w:val="4"/>
  </w:num>
  <w:num w:numId="24" w16cid:durableId="1168323414">
    <w:abstractNumId w:val="8"/>
  </w:num>
  <w:num w:numId="25" w16cid:durableId="578640140">
    <w:abstractNumId w:val="19"/>
  </w:num>
  <w:num w:numId="26" w16cid:durableId="377315136">
    <w:abstractNumId w:val="25"/>
  </w:num>
  <w:num w:numId="27" w16cid:durableId="645472846">
    <w:abstractNumId w:val="10"/>
  </w:num>
  <w:num w:numId="28" w16cid:durableId="1471048745">
    <w:abstractNumId w:val="16"/>
  </w:num>
  <w:num w:numId="29" w16cid:durableId="1918978332">
    <w:abstractNumId w:val="12"/>
  </w:num>
  <w:num w:numId="30" w16cid:durableId="1863083116">
    <w:abstractNumId w:val="24"/>
    <w:lvlOverride w:ilvl="0">
      <w:startOverride w:val="1"/>
    </w:lvlOverride>
  </w:num>
  <w:num w:numId="31" w16cid:durableId="119500074">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C6D"/>
    <w:rsid w:val="0004002F"/>
    <w:rsid w:val="00040762"/>
    <w:rsid w:val="00041D45"/>
    <w:rsid w:val="0007329D"/>
    <w:rsid w:val="00076974"/>
    <w:rsid w:val="000A53F0"/>
    <w:rsid w:val="000E2809"/>
    <w:rsid w:val="000E68FE"/>
    <w:rsid w:val="001444A5"/>
    <w:rsid w:val="00176CC8"/>
    <w:rsid w:val="00220D82"/>
    <w:rsid w:val="00246CE0"/>
    <w:rsid w:val="002C132D"/>
    <w:rsid w:val="002C66E2"/>
    <w:rsid w:val="002D0124"/>
    <w:rsid w:val="00343C57"/>
    <w:rsid w:val="0034415A"/>
    <w:rsid w:val="00375663"/>
    <w:rsid w:val="003A3121"/>
    <w:rsid w:val="003C22ED"/>
    <w:rsid w:val="0046189E"/>
    <w:rsid w:val="00463786"/>
    <w:rsid w:val="004774E7"/>
    <w:rsid w:val="004819F1"/>
    <w:rsid w:val="00482951"/>
    <w:rsid w:val="0048634D"/>
    <w:rsid w:val="004E3819"/>
    <w:rsid w:val="00503C6D"/>
    <w:rsid w:val="00506EAD"/>
    <w:rsid w:val="005376FA"/>
    <w:rsid w:val="00552C8C"/>
    <w:rsid w:val="00560AB0"/>
    <w:rsid w:val="00565195"/>
    <w:rsid w:val="005924D5"/>
    <w:rsid w:val="005B629F"/>
    <w:rsid w:val="00634B9B"/>
    <w:rsid w:val="00674B79"/>
    <w:rsid w:val="006D50DE"/>
    <w:rsid w:val="006E11BD"/>
    <w:rsid w:val="00756DCF"/>
    <w:rsid w:val="0076436A"/>
    <w:rsid w:val="007B7381"/>
    <w:rsid w:val="007D5982"/>
    <w:rsid w:val="00813C89"/>
    <w:rsid w:val="00823BC9"/>
    <w:rsid w:val="0087060D"/>
    <w:rsid w:val="0089092C"/>
    <w:rsid w:val="00913C5F"/>
    <w:rsid w:val="009536EB"/>
    <w:rsid w:val="00956014"/>
    <w:rsid w:val="009C03D9"/>
    <w:rsid w:val="00A33EAE"/>
    <w:rsid w:val="00A366BF"/>
    <w:rsid w:val="00A44E5C"/>
    <w:rsid w:val="00A8604F"/>
    <w:rsid w:val="00AD6D48"/>
    <w:rsid w:val="00B62E0F"/>
    <w:rsid w:val="00B96214"/>
    <w:rsid w:val="00BB7406"/>
    <w:rsid w:val="00BE1155"/>
    <w:rsid w:val="00BE23A4"/>
    <w:rsid w:val="00C017EB"/>
    <w:rsid w:val="00C06098"/>
    <w:rsid w:val="00C11208"/>
    <w:rsid w:val="00C17E2B"/>
    <w:rsid w:val="00C3119F"/>
    <w:rsid w:val="00C436E2"/>
    <w:rsid w:val="00C575C6"/>
    <w:rsid w:val="00C67026"/>
    <w:rsid w:val="00CD2EEC"/>
    <w:rsid w:val="00CE634B"/>
    <w:rsid w:val="00D05C05"/>
    <w:rsid w:val="00D27E85"/>
    <w:rsid w:val="00D333E8"/>
    <w:rsid w:val="00D37295"/>
    <w:rsid w:val="00D62A12"/>
    <w:rsid w:val="00DF3903"/>
    <w:rsid w:val="00E06030"/>
    <w:rsid w:val="00E5134A"/>
    <w:rsid w:val="00E56315"/>
    <w:rsid w:val="00E57AB0"/>
    <w:rsid w:val="00E77C05"/>
    <w:rsid w:val="00EA7AF6"/>
    <w:rsid w:val="00EB6469"/>
    <w:rsid w:val="00EE63BC"/>
    <w:rsid w:val="00F21FCC"/>
    <w:rsid w:val="00F82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47BB4"/>
  <w15:chartTrackingRefBased/>
  <w15:docId w15:val="{4A258DD8-2CDA-4208-AB7E-45EB53509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3C6D"/>
    <w:pPr>
      <w:spacing w:after="200" w:line="276" w:lineRule="auto"/>
    </w:pPr>
    <w:rPr>
      <w:rFonts w:ascii="Cambria" w:eastAsia="Cambria" w:hAnsi="Cambria" w:cs="Cambria"/>
      <w:kern w:val="0"/>
      <w:sz w:val="22"/>
      <w:szCs w:val="22"/>
      <w:lang w:val="es-PY" w:eastAsia="es-PY"/>
      <w14:ligatures w14:val="none"/>
    </w:rPr>
  </w:style>
  <w:style w:type="paragraph" w:styleId="Ttulo1">
    <w:name w:val="heading 1"/>
    <w:basedOn w:val="Normal"/>
    <w:next w:val="Normal"/>
    <w:link w:val="Ttulo1Car"/>
    <w:uiPriority w:val="9"/>
    <w:qFormat/>
    <w:rsid w:val="004E3819"/>
    <w:pPr>
      <w:keepNext/>
      <w:keepLines/>
      <w:spacing w:before="360" w:after="80" w:line="278" w:lineRule="auto"/>
      <w:outlineLvl w:val="0"/>
    </w:pPr>
    <w:rPr>
      <w:rFonts w:ascii="Times New Roman" w:eastAsiaTheme="majorEastAsia" w:hAnsi="Times New Roman" w:cstheme="majorBidi"/>
      <w:color w:val="0D0D0D" w:themeColor="text1" w:themeTint="F2"/>
      <w:kern w:val="2"/>
      <w:sz w:val="32"/>
      <w:szCs w:val="40"/>
      <w:lang w:val="en-US" w:eastAsia="en-US"/>
      <w14:ligatures w14:val="standardContextual"/>
    </w:rPr>
  </w:style>
  <w:style w:type="paragraph" w:styleId="Ttulo2">
    <w:name w:val="heading 2"/>
    <w:basedOn w:val="Normal"/>
    <w:next w:val="Normal"/>
    <w:link w:val="Ttulo2Car"/>
    <w:uiPriority w:val="9"/>
    <w:unhideWhenUsed/>
    <w:qFormat/>
    <w:rsid w:val="004E3819"/>
    <w:pPr>
      <w:keepNext/>
      <w:keepLines/>
      <w:spacing w:before="160" w:after="80" w:line="278" w:lineRule="auto"/>
      <w:outlineLvl w:val="1"/>
    </w:pPr>
    <w:rPr>
      <w:rFonts w:ascii="Times New Roman" w:eastAsiaTheme="majorEastAsia" w:hAnsi="Times New Roman" w:cstheme="majorBidi"/>
      <w:color w:val="000000" w:themeColor="text1"/>
      <w:kern w:val="2"/>
      <w:sz w:val="28"/>
      <w:szCs w:val="32"/>
      <w:lang w:val="en-US" w:eastAsia="en-US"/>
      <w14:ligatures w14:val="standardContextual"/>
    </w:rPr>
  </w:style>
  <w:style w:type="paragraph" w:styleId="Ttulo3">
    <w:name w:val="heading 3"/>
    <w:basedOn w:val="Normal"/>
    <w:next w:val="Normal"/>
    <w:link w:val="Ttulo3Car"/>
    <w:uiPriority w:val="9"/>
    <w:unhideWhenUsed/>
    <w:qFormat/>
    <w:rsid w:val="004E3819"/>
    <w:pPr>
      <w:keepNext/>
      <w:keepLines/>
      <w:spacing w:before="160" w:after="80" w:line="278" w:lineRule="auto"/>
      <w:outlineLvl w:val="2"/>
    </w:pPr>
    <w:rPr>
      <w:rFonts w:ascii="Times New Roman" w:eastAsiaTheme="majorEastAsia" w:hAnsi="Times New Roman" w:cstheme="majorBidi"/>
      <w:color w:val="000000" w:themeColor="text1"/>
      <w:kern w:val="2"/>
      <w:sz w:val="24"/>
      <w:szCs w:val="28"/>
      <w:lang w:val="en-US" w:eastAsia="en-US"/>
      <w14:ligatures w14:val="standardContextual"/>
    </w:rPr>
  </w:style>
  <w:style w:type="paragraph" w:styleId="Ttulo4">
    <w:name w:val="heading 4"/>
    <w:basedOn w:val="Normal"/>
    <w:next w:val="Normal"/>
    <w:link w:val="Ttulo4Car"/>
    <w:uiPriority w:val="9"/>
    <w:semiHidden/>
    <w:unhideWhenUsed/>
    <w:qFormat/>
    <w:rsid w:val="00503C6D"/>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val="en-US" w:eastAsia="en-US"/>
      <w14:ligatures w14:val="standardContextual"/>
    </w:rPr>
  </w:style>
  <w:style w:type="paragraph" w:styleId="Ttulo5">
    <w:name w:val="heading 5"/>
    <w:basedOn w:val="Normal"/>
    <w:next w:val="Normal"/>
    <w:link w:val="Ttulo5Car"/>
    <w:uiPriority w:val="9"/>
    <w:semiHidden/>
    <w:unhideWhenUsed/>
    <w:qFormat/>
    <w:rsid w:val="00503C6D"/>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lang w:val="en-US" w:eastAsia="en-US"/>
      <w14:ligatures w14:val="standardContextual"/>
    </w:rPr>
  </w:style>
  <w:style w:type="paragraph" w:styleId="Ttulo6">
    <w:name w:val="heading 6"/>
    <w:basedOn w:val="Normal"/>
    <w:next w:val="Normal"/>
    <w:link w:val="Ttulo6Car"/>
    <w:uiPriority w:val="9"/>
    <w:semiHidden/>
    <w:unhideWhenUsed/>
    <w:qFormat/>
    <w:rsid w:val="00503C6D"/>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en-US" w:eastAsia="en-US"/>
      <w14:ligatures w14:val="standardContextual"/>
    </w:rPr>
  </w:style>
  <w:style w:type="paragraph" w:styleId="Ttulo7">
    <w:name w:val="heading 7"/>
    <w:basedOn w:val="Normal"/>
    <w:next w:val="Normal"/>
    <w:link w:val="Ttulo7Car"/>
    <w:uiPriority w:val="9"/>
    <w:semiHidden/>
    <w:unhideWhenUsed/>
    <w:qFormat/>
    <w:rsid w:val="00503C6D"/>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en-US" w:eastAsia="en-US"/>
      <w14:ligatures w14:val="standardContextual"/>
    </w:rPr>
  </w:style>
  <w:style w:type="paragraph" w:styleId="Ttulo8">
    <w:name w:val="heading 8"/>
    <w:basedOn w:val="Normal"/>
    <w:next w:val="Normal"/>
    <w:link w:val="Ttulo8Car"/>
    <w:uiPriority w:val="9"/>
    <w:semiHidden/>
    <w:unhideWhenUsed/>
    <w:qFormat/>
    <w:rsid w:val="00503C6D"/>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en-US" w:eastAsia="en-US"/>
      <w14:ligatures w14:val="standardContextual"/>
    </w:rPr>
  </w:style>
  <w:style w:type="paragraph" w:styleId="Ttulo9">
    <w:name w:val="heading 9"/>
    <w:basedOn w:val="Normal"/>
    <w:next w:val="Normal"/>
    <w:link w:val="Ttulo9Car"/>
    <w:uiPriority w:val="9"/>
    <w:semiHidden/>
    <w:unhideWhenUsed/>
    <w:qFormat/>
    <w:rsid w:val="00503C6D"/>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en-US"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3819"/>
    <w:rPr>
      <w:rFonts w:ascii="Times New Roman" w:eastAsiaTheme="majorEastAsia" w:hAnsi="Times New Roman" w:cstheme="majorBidi"/>
      <w:color w:val="0D0D0D" w:themeColor="text1" w:themeTint="F2"/>
      <w:sz w:val="32"/>
      <w:szCs w:val="40"/>
    </w:rPr>
  </w:style>
  <w:style w:type="character" w:customStyle="1" w:styleId="Ttulo2Car">
    <w:name w:val="Título 2 Car"/>
    <w:basedOn w:val="Fuentedeprrafopredeter"/>
    <w:link w:val="Ttulo2"/>
    <w:uiPriority w:val="9"/>
    <w:rsid w:val="004E3819"/>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4E3819"/>
    <w:rPr>
      <w:rFonts w:ascii="Times New Roman" w:eastAsiaTheme="majorEastAsia" w:hAnsi="Times New Roman" w:cstheme="majorBidi"/>
      <w:color w:val="000000" w:themeColor="text1"/>
      <w:szCs w:val="28"/>
    </w:rPr>
  </w:style>
  <w:style w:type="character" w:customStyle="1" w:styleId="Ttulo4Car">
    <w:name w:val="Título 4 Car"/>
    <w:basedOn w:val="Fuentedeprrafopredeter"/>
    <w:link w:val="Ttulo4"/>
    <w:uiPriority w:val="9"/>
    <w:semiHidden/>
    <w:rsid w:val="00503C6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03C6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03C6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3C6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3C6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3C6D"/>
    <w:rPr>
      <w:rFonts w:eastAsiaTheme="majorEastAsia" w:cstheme="majorBidi"/>
      <w:color w:val="272727" w:themeColor="text1" w:themeTint="D8"/>
    </w:rPr>
  </w:style>
  <w:style w:type="paragraph" w:styleId="Ttulo">
    <w:name w:val="Title"/>
    <w:basedOn w:val="Normal"/>
    <w:next w:val="Normal"/>
    <w:link w:val="TtuloCar"/>
    <w:uiPriority w:val="10"/>
    <w:qFormat/>
    <w:rsid w:val="00503C6D"/>
    <w:pPr>
      <w:spacing w:after="80" w:line="240" w:lineRule="auto"/>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tuloCar">
    <w:name w:val="Título Car"/>
    <w:basedOn w:val="Fuentedeprrafopredeter"/>
    <w:link w:val="Ttulo"/>
    <w:uiPriority w:val="10"/>
    <w:rsid w:val="00503C6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3C6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tuloCar">
    <w:name w:val="Subtítulo Car"/>
    <w:basedOn w:val="Fuentedeprrafopredeter"/>
    <w:link w:val="Subttulo"/>
    <w:uiPriority w:val="11"/>
    <w:rsid w:val="00503C6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3C6D"/>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eastAsia="en-US"/>
      <w14:ligatures w14:val="standardContextual"/>
    </w:rPr>
  </w:style>
  <w:style w:type="character" w:customStyle="1" w:styleId="CitaCar">
    <w:name w:val="Cita Car"/>
    <w:basedOn w:val="Fuentedeprrafopredeter"/>
    <w:link w:val="Cita"/>
    <w:uiPriority w:val="29"/>
    <w:rsid w:val="00503C6D"/>
    <w:rPr>
      <w:i/>
      <w:iCs/>
      <w:color w:val="404040" w:themeColor="text1" w:themeTint="BF"/>
    </w:rPr>
  </w:style>
  <w:style w:type="paragraph" w:styleId="Prrafodelista">
    <w:name w:val="List Paragraph"/>
    <w:basedOn w:val="Normal"/>
    <w:uiPriority w:val="34"/>
    <w:qFormat/>
    <w:rsid w:val="00503C6D"/>
    <w:pPr>
      <w:spacing w:after="160" w:line="278" w:lineRule="auto"/>
      <w:ind w:left="720"/>
      <w:contextualSpacing/>
    </w:pPr>
    <w:rPr>
      <w:rFonts w:asciiTheme="minorHAnsi" w:eastAsiaTheme="minorHAnsi" w:hAnsiTheme="minorHAnsi" w:cstheme="minorBidi"/>
      <w:kern w:val="2"/>
      <w:sz w:val="24"/>
      <w:szCs w:val="24"/>
      <w:lang w:val="en-US" w:eastAsia="en-US"/>
      <w14:ligatures w14:val="standardContextual"/>
    </w:rPr>
  </w:style>
  <w:style w:type="character" w:styleId="nfasisintenso">
    <w:name w:val="Intense Emphasis"/>
    <w:basedOn w:val="Fuentedeprrafopredeter"/>
    <w:uiPriority w:val="21"/>
    <w:qFormat/>
    <w:rsid w:val="00503C6D"/>
    <w:rPr>
      <w:i/>
      <w:iCs/>
      <w:color w:val="2F5496" w:themeColor="accent1" w:themeShade="BF"/>
    </w:rPr>
  </w:style>
  <w:style w:type="paragraph" w:styleId="Citadestacada">
    <w:name w:val="Intense Quote"/>
    <w:basedOn w:val="Normal"/>
    <w:next w:val="Normal"/>
    <w:link w:val="CitadestacadaCar"/>
    <w:uiPriority w:val="30"/>
    <w:qFormat/>
    <w:rsid w:val="00503C6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val="en-US" w:eastAsia="en-US"/>
      <w14:ligatures w14:val="standardContextual"/>
    </w:rPr>
  </w:style>
  <w:style w:type="character" w:customStyle="1" w:styleId="CitadestacadaCar">
    <w:name w:val="Cita destacada Car"/>
    <w:basedOn w:val="Fuentedeprrafopredeter"/>
    <w:link w:val="Citadestacada"/>
    <w:uiPriority w:val="30"/>
    <w:rsid w:val="00503C6D"/>
    <w:rPr>
      <w:i/>
      <w:iCs/>
      <w:color w:val="2F5496" w:themeColor="accent1" w:themeShade="BF"/>
    </w:rPr>
  </w:style>
  <w:style w:type="character" w:styleId="Referenciaintensa">
    <w:name w:val="Intense Reference"/>
    <w:basedOn w:val="Fuentedeprrafopredeter"/>
    <w:uiPriority w:val="32"/>
    <w:qFormat/>
    <w:rsid w:val="00503C6D"/>
    <w:rPr>
      <w:b/>
      <w:bCs/>
      <w:smallCaps/>
      <w:color w:val="2F5496" w:themeColor="accent1" w:themeShade="BF"/>
      <w:spacing w:val="5"/>
    </w:rPr>
  </w:style>
  <w:style w:type="paragraph" w:styleId="Listaconvietas2">
    <w:name w:val="List Bullet 2"/>
    <w:basedOn w:val="Normal"/>
    <w:uiPriority w:val="99"/>
    <w:unhideWhenUsed/>
    <w:rsid w:val="00BB7406"/>
    <w:pPr>
      <w:numPr>
        <w:numId w:val="1"/>
      </w:numPr>
      <w:ind w:left="0" w:firstLine="0"/>
      <w:contextualSpacing/>
    </w:pPr>
  </w:style>
  <w:style w:type="paragraph" w:styleId="Listaconvietas3">
    <w:name w:val="List Bullet 3"/>
    <w:basedOn w:val="Normal"/>
    <w:uiPriority w:val="99"/>
    <w:unhideWhenUsed/>
    <w:rsid w:val="00BB7406"/>
    <w:pPr>
      <w:numPr>
        <w:numId w:val="2"/>
      </w:numPr>
      <w:ind w:left="0" w:firstLine="0"/>
      <w:contextualSpacing/>
    </w:pPr>
  </w:style>
  <w:style w:type="paragraph" w:styleId="Listaconnmeros">
    <w:name w:val="List Number"/>
    <w:basedOn w:val="Normal"/>
    <w:uiPriority w:val="99"/>
    <w:unhideWhenUsed/>
    <w:rsid w:val="00BB7406"/>
    <w:pPr>
      <w:numPr>
        <w:numId w:val="4"/>
      </w:numPr>
      <w:ind w:left="0" w:firstLine="0"/>
      <w:contextualSpacing/>
    </w:pPr>
  </w:style>
  <w:style w:type="paragraph" w:styleId="Textoindependiente">
    <w:name w:val="Body Text"/>
    <w:basedOn w:val="Normal"/>
    <w:link w:val="TextoindependienteCar"/>
    <w:qFormat/>
    <w:rsid w:val="00463786"/>
    <w:pPr>
      <w:spacing w:before="180" w:after="180" w:line="240" w:lineRule="auto"/>
    </w:pPr>
    <w:rPr>
      <w:rFonts w:asciiTheme="minorHAnsi" w:eastAsiaTheme="minorHAnsi" w:hAnsiTheme="minorHAnsi" w:cstheme="minorBidi"/>
      <w:sz w:val="24"/>
      <w:szCs w:val="24"/>
      <w:lang w:val="es" w:eastAsia="en-US"/>
    </w:rPr>
  </w:style>
  <w:style w:type="character" w:customStyle="1" w:styleId="TextoindependienteCar">
    <w:name w:val="Texto independiente Car"/>
    <w:basedOn w:val="Fuentedeprrafopredeter"/>
    <w:link w:val="Textoindependiente"/>
    <w:rsid w:val="00463786"/>
    <w:rPr>
      <w:kern w:val="0"/>
      <w:lang w:val="es"/>
      <w14:ligatures w14:val="none"/>
    </w:rPr>
  </w:style>
  <w:style w:type="table" w:styleId="Tablaconcuadrcula">
    <w:name w:val="Table Grid"/>
    <w:basedOn w:val="Tablanormal"/>
    <w:uiPriority w:val="59"/>
    <w:rsid w:val="00463786"/>
    <w:pPr>
      <w:spacing w:after="0" w:line="240" w:lineRule="auto"/>
    </w:pPr>
    <w:rPr>
      <w:kern w:val="0"/>
      <w:lang w:val="e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20D82"/>
    <w:rPr>
      <w:color w:val="666666"/>
    </w:rPr>
  </w:style>
  <w:style w:type="character" w:styleId="Fuerte">
    <w:name w:val="Strong"/>
    <w:basedOn w:val="Fuentedeprrafopredeter"/>
    <w:uiPriority w:val="22"/>
    <w:qFormat/>
    <w:rsid w:val="001444A5"/>
    <w:rPr>
      <w:b/>
      <w:bCs/>
    </w:rPr>
  </w:style>
  <w:style w:type="paragraph" w:styleId="NormalWeb">
    <w:name w:val="Normal (Web)"/>
    <w:basedOn w:val="Normal"/>
    <w:uiPriority w:val="99"/>
    <w:unhideWhenUsed/>
    <w:rsid w:val="001444A5"/>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styleId="nfasis">
    <w:name w:val="Emphasis"/>
    <w:basedOn w:val="Fuentedeprrafopredeter"/>
    <w:uiPriority w:val="20"/>
    <w:qFormat/>
    <w:rsid w:val="001444A5"/>
    <w:rPr>
      <w:i/>
      <w:iCs/>
    </w:rPr>
  </w:style>
  <w:style w:type="character" w:styleId="CdigoHTML">
    <w:name w:val="HTML Code"/>
    <w:basedOn w:val="Fuentedeprrafopredeter"/>
    <w:uiPriority w:val="99"/>
    <w:semiHidden/>
    <w:unhideWhenUsed/>
    <w:rsid w:val="001444A5"/>
    <w:rPr>
      <w:rFonts w:ascii="Courier New" w:eastAsia="Times New Roman" w:hAnsi="Courier New" w:cs="Courier New"/>
      <w:sz w:val="20"/>
      <w:szCs w:val="20"/>
    </w:rPr>
  </w:style>
  <w:style w:type="paragraph" w:styleId="Encabezado">
    <w:name w:val="header"/>
    <w:basedOn w:val="Normal"/>
    <w:link w:val="EncabezadoCar"/>
    <w:uiPriority w:val="99"/>
    <w:unhideWhenUsed/>
    <w:rsid w:val="005924D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924D5"/>
    <w:rPr>
      <w:rFonts w:ascii="Cambria" w:eastAsia="Cambria" w:hAnsi="Cambria" w:cs="Cambria"/>
      <w:kern w:val="0"/>
      <w:sz w:val="22"/>
      <w:szCs w:val="22"/>
      <w:lang w:val="es-PY" w:eastAsia="es-PY"/>
      <w14:ligatures w14:val="none"/>
    </w:rPr>
  </w:style>
  <w:style w:type="paragraph" w:styleId="Piedepgina">
    <w:name w:val="footer"/>
    <w:basedOn w:val="Normal"/>
    <w:link w:val="PiedepginaCar"/>
    <w:uiPriority w:val="99"/>
    <w:unhideWhenUsed/>
    <w:rsid w:val="005924D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924D5"/>
    <w:rPr>
      <w:rFonts w:ascii="Cambria" w:eastAsia="Cambria" w:hAnsi="Cambria" w:cs="Cambria"/>
      <w:kern w:val="0"/>
      <w:sz w:val="22"/>
      <w:szCs w:val="22"/>
      <w:lang w:val="es-PY" w:eastAsia="es-PY"/>
      <w14:ligatures w14:val="none"/>
    </w:rPr>
  </w:style>
  <w:style w:type="character" w:styleId="Hipervnculo">
    <w:name w:val="Hyperlink"/>
    <w:basedOn w:val="Fuentedeprrafopredeter"/>
    <w:uiPriority w:val="99"/>
    <w:unhideWhenUsed/>
    <w:rsid w:val="00375663"/>
    <w:rPr>
      <w:color w:val="0563C1" w:themeColor="hyperlink"/>
      <w:u w:val="single"/>
    </w:rPr>
  </w:style>
  <w:style w:type="character" w:styleId="Mencinsinresolver">
    <w:name w:val="Unresolved Mention"/>
    <w:basedOn w:val="Fuentedeprrafopredeter"/>
    <w:uiPriority w:val="99"/>
    <w:semiHidden/>
    <w:unhideWhenUsed/>
    <w:rsid w:val="00375663"/>
    <w:rPr>
      <w:color w:val="605E5C"/>
      <w:shd w:val="clear" w:color="auto" w:fill="E1DFDD"/>
    </w:rPr>
  </w:style>
  <w:style w:type="paragraph" w:styleId="TtuloTDC">
    <w:name w:val="TOC Heading"/>
    <w:basedOn w:val="Ttulo1"/>
    <w:next w:val="Normal"/>
    <w:uiPriority w:val="39"/>
    <w:unhideWhenUsed/>
    <w:qFormat/>
    <w:rsid w:val="004E3819"/>
    <w:pPr>
      <w:spacing w:before="240" w:after="0" w:line="259" w:lineRule="auto"/>
      <w:outlineLvl w:val="9"/>
    </w:pPr>
    <w:rPr>
      <w:kern w:val="0"/>
      <w:szCs w:val="32"/>
      <w:lang w:val="es-ES" w:eastAsia="es-ES"/>
      <w14:ligatures w14:val="none"/>
    </w:rPr>
  </w:style>
  <w:style w:type="paragraph" w:styleId="TDC2">
    <w:name w:val="toc 2"/>
    <w:basedOn w:val="Normal"/>
    <w:next w:val="Normal"/>
    <w:autoRedefine/>
    <w:uiPriority w:val="39"/>
    <w:unhideWhenUsed/>
    <w:rsid w:val="004E3819"/>
    <w:pPr>
      <w:spacing w:after="100" w:line="259" w:lineRule="auto"/>
      <w:ind w:left="220"/>
    </w:pPr>
    <w:rPr>
      <w:rFonts w:asciiTheme="minorHAnsi" w:eastAsiaTheme="minorEastAsia" w:hAnsiTheme="minorHAnsi" w:cs="Times New Roman"/>
      <w:lang w:val="es-ES" w:eastAsia="es-ES"/>
    </w:rPr>
  </w:style>
  <w:style w:type="paragraph" w:styleId="TDC1">
    <w:name w:val="toc 1"/>
    <w:basedOn w:val="Normal"/>
    <w:next w:val="Normal"/>
    <w:autoRedefine/>
    <w:uiPriority w:val="39"/>
    <w:unhideWhenUsed/>
    <w:rsid w:val="004E3819"/>
    <w:pPr>
      <w:spacing w:after="100" w:line="259" w:lineRule="auto"/>
    </w:pPr>
    <w:rPr>
      <w:rFonts w:asciiTheme="minorHAnsi" w:eastAsiaTheme="minorEastAsia" w:hAnsiTheme="minorHAnsi" w:cs="Times New Roman"/>
      <w:lang w:val="es-ES" w:eastAsia="es-ES"/>
    </w:rPr>
  </w:style>
  <w:style w:type="paragraph" w:styleId="TDC3">
    <w:name w:val="toc 3"/>
    <w:basedOn w:val="Normal"/>
    <w:next w:val="Normal"/>
    <w:autoRedefine/>
    <w:uiPriority w:val="39"/>
    <w:unhideWhenUsed/>
    <w:rsid w:val="004E3819"/>
    <w:pPr>
      <w:spacing w:after="100" w:line="259" w:lineRule="auto"/>
      <w:ind w:left="440"/>
    </w:pPr>
    <w:rPr>
      <w:rFonts w:asciiTheme="minorHAnsi" w:eastAsiaTheme="minorEastAsia" w:hAnsiTheme="minorHAnsi" w:cs="Times New Roman"/>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16594">
      <w:bodyDiv w:val="1"/>
      <w:marLeft w:val="0"/>
      <w:marRight w:val="0"/>
      <w:marTop w:val="0"/>
      <w:marBottom w:val="0"/>
      <w:divBdr>
        <w:top w:val="none" w:sz="0" w:space="0" w:color="auto"/>
        <w:left w:val="none" w:sz="0" w:space="0" w:color="auto"/>
        <w:bottom w:val="none" w:sz="0" w:space="0" w:color="auto"/>
        <w:right w:val="none" w:sz="0" w:space="0" w:color="auto"/>
      </w:divBdr>
    </w:div>
    <w:div w:id="2146895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100" Type="http://schemas.openxmlformats.org/officeDocument/2006/relationships/image" Target="media/imageR1.png"/><Relationship Id="rId101" Type="http://schemas.openxmlformats.org/officeDocument/2006/relationships/image" Target="media/imageR2.png"/><Relationship Id="rId102" Type="http://schemas.openxmlformats.org/officeDocument/2006/relationships/image" Target="media/imageR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BCP25</b:Tag>
    <b:SourceType>InternetSite</b:SourceType>
    <b:Guid>{BAD38D9E-596F-4FC7-BD8F-9381295E0187}</b:Guid>
    <b:Author>
      <b:Author>
        <b:NameList>
          <b:Person>
            <b:Last>BCP</b:Last>
          </b:Person>
        </b:NameList>
      </b:Author>
    </b:Author>
    <b:Title>BCP</b:Title>
    <b:InternetSiteTitle>Informe estadístico de IPC</b:InternetSiteTitle>
    <b:URL>www.bcp.gov.py</b:URL>
    <b:RefOrder>1</b:RefOrder>
  </b:Source>
  <b:Source>
    <b:Tag>OPE</b:Tag>
    <b:SourceType>Book</b:SourceType>
    <b:Guid>{3F934C00-9822-4F25-8960-6D2F4F9777C2}</b:Guid>
    <b:Author>
      <b:Author>
        <b:NameList>
          <b:Person>
            <b:Last>OPEP</b:Last>
          </b:Person>
        </b:NameList>
      </b:Author>
    </b:Author>
    <b:Title>OPEP</b:Title>
    <b:URL>https://asb.opec.org</b:URL>
    <b:RefOrder>2</b:RefOrder>
  </b:Source>
  <b:Source>
    <b:Tag>Kru18</b:Tag>
    <b:SourceType>Book</b:SourceType>
    <b:Guid>{28DCA1C3-969E-4257-8C68-503DFAAF6B17}</b:Guid>
    <b:Title>Economia Internacional: Teoría y Política (11º Ed)</b:Title>
    <b:Year>2018</b:Year>
    <b:Author>
      <b:Author>
        <b:NameList>
          <b:Person>
            <b:Last>Krugman</b:Last>
            <b:First>P.,</b:First>
            <b:Middle>Obstfeld, M., &amp; Melitz, M.</b:Middle>
          </b:Person>
        </b:NameList>
      </b:Author>
    </b:Author>
    <b:RefOrder>5</b:RefOrder>
  </b:Source>
  <b:Source>
    <b:Tag>MarcadorDePosición1</b:Tag>
    <b:SourceType>InternetSite</b:SourceType>
    <b:Guid>{1B9E2540-5462-4865-86B9-72EFC750E440}</b:Guid>
    <b:Author>
      <b:Author>
        <b:NameList>
          <b:Person>
            <b:Last>BCP</b:Last>
          </b:Person>
        </b:NameList>
      </b:Author>
    </b:Author>
    <b:Title>BCP</b:Title>
    <b:InternetSiteTitle>Informe estadístico de IPC</b:InternetSiteTitle>
    <b:URL>www.bcp.gov.py</b:URL>
    <b:Year>2025</b:Year>
    <b:RefOrder>3</b:RefOrder>
  </b:Source>
  <b:Source>
    <b:Tag>MarcadorDePosición2</b:Tag>
    <b:SourceType>InternetSite</b:SourceType>
    <b:Guid>{8B5C4EC6-E433-4ADA-BE91-95E30CA4D2D1}</b:Guid>
    <b:Author>
      <b:Author>
        <b:NameList>
          <b:Person>
            <b:Last>OPEP</b:Last>
          </b:Person>
        </b:NameList>
      </b:Author>
    </b:Author>
    <b:Title>OPEP</b:Title>
    <b:URL>https://asb.opec.org</b:URL>
    <b:InternetSiteTitle>Annual Statistical Bulletin. Viena: OPEC Secretariat</b:InternetSiteTitle>
    <b:Year>2023</b:Year>
    <b:RefOrder>4</b:RefOrder>
  </b:Source>
</b:Sources>
</file>

<file path=customXml/itemProps1.xml><?xml version="1.0" encoding="utf-8"?>
<ds:datastoreItem xmlns:ds="http://schemas.openxmlformats.org/officeDocument/2006/customXml" ds:itemID="{B14B10B8-0EBD-4C39-A0A2-1585FDEC2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22</Pages>
  <Words>6457</Words>
  <Characters>35517</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Mirta Camacho</dc:creator>
  <cp:keywords/>
  <dc:description/>
  <cp:lastModifiedBy>Laviero Scavera</cp:lastModifiedBy>
  <cp:revision>8</cp:revision>
  <dcterms:created xsi:type="dcterms:W3CDTF">2025-11-18T21:17:00Z</dcterms:created>
  <dcterms:modified xsi:type="dcterms:W3CDTF">2026-06-27T22:23:00Z</dcterms:modified>
</cp:coreProperties>
</file>