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Apéndice</w:t>
      </w:r>
    </w:p>
    <w:p>
      <w:r>
        <w:rPr>
          <w:rFonts w:ascii="Arial" w:hAnsi="Arial"/>
          <w:i w:val="0"/>
          <w:sz w:val="20"/>
        </w:rPr>
        <w:t>Salidas econométricas y figuras del análisis. Cada apéndice reproduce el comando de Stata 17 y su resultado tal como surge de la corrida del do-file tesis_cda.do sobre la base base_cda.csv (84 trimestres, 2004:T1–2024:T4; serie principal: tramo CDA ≤365 días; corte institucional principal: 2011:T2). Los resultados se reportan sin ajustes.</w:t>
      </w:r>
    </w:p>
    <w:p>
      <w:r>
        <w:rPr>
          <w:b/>
        </w:rPr>
        <w:t>Índice de apéndices</w:t>
      </w:r>
    </w:p>
    <w:p>
      <w:pPr>
        <w:pStyle w:val="ListBullet"/>
      </w:pPr>
      <w:r>
        <w:rPr>
          <w:sz w:val="18"/>
        </w:rPr>
        <w:t>Apéndice A. Pruebas de raíz unitaria (ADF, Phillips-Perron y KPSS) sobre las series del modelo</w:t>
      </w:r>
    </w:p>
    <w:p>
      <w:pPr>
        <w:pStyle w:val="ListBullet"/>
      </w:pPr>
      <w:r>
        <w:rPr>
          <w:sz w:val="18"/>
        </w:rPr>
        <w:t>Apéndice B. Contraste de quiebre estructural con fecha endógena (estat sbsingle)</w:t>
      </w:r>
    </w:p>
    <w:p>
      <w:pPr>
        <w:pStyle w:val="ListBullet"/>
      </w:pPr>
      <w:r>
        <w:rPr>
          <w:sz w:val="18"/>
        </w:rPr>
        <w:t>Apéndice C. Regresión de Fama y contraste de la Paridad Descubierta de Tasas</w:t>
      </w:r>
    </w:p>
    <w:p>
      <w:pPr>
        <w:pStyle w:val="ListBullet"/>
      </w:pPr>
      <w:r>
        <w:rPr>
          <w:sz w:val="18"/>
        </w:rPr>
        <w:t>Apéndice D. Prueba conservadora del retorno del guaraní (DRcons)</w:t>
      </w:r>
    </w:p>
    <w:p>
      <w:pPr>
        <w:pStyle w:val="ListBullet"/>
      </w:pPr>
      <w:r>
        <w:rPr>
          <w:sz w:val="18"/>
        </w:rPr>
        <w:t>Apéndice E. Descomposición de Fisher: prima de inflación y prima de riesgo</w:t>
      </w:r>
    </w:p>
    <w:p>
      <w:pPr>
        <w:pStyle w:val="ListBullet"/>
      </w:pPr>
      <w:r>
        <w:rPr>
          <w:sz w:val="18"/>
        </w:rPr>
        <w:t>Apéndice F. Modelo central MCO-HAC con interacciones sobre la prima de riesgo (corte 2011:T2)</w:t>
      </w:r>
    </w:p>
    <w:p>
      <w:pPr>
        <w:pStyle w:val="ListBullet"/>
      </w:pPr>
      <w:r>
        <w:rPr>
          <w:sz w:val="18"/>
        </w:rPr>
        <w:t>Apéndice G. Diagnósticos del modelo (Breusch-Godfrey, White, Ramsey RESET, normalidad, VIF)</w:t>
      </w:r>
    </w:p>
    <w:p>
      <w:pPr>
        <w:pStyle w:val="ListBullet"/>
      </w:pPr>
      <w:r>
        <w:rPr>
          <w:sz w:val="18"/>
        </w:rPr>
        <w:t>Apéndice H. Prueba de cointegración de Engle-Granger sobre los residuos</w:t>
      </w:r>
    </w:p>
    <w:p>
      <w:pPr>
        <w:pStyle w:val="ListBullet"/>
      </w:pPr>
      <w:r>
        <w:rPr>
          <w:sz w:val="18"/>
        </w:rPr>
        <w:t>Apéndice I. Composición interna de la prima (Shapley/LMG) y dominancia estandarizada</w:t>
      </w:r>
    </w:p>
    <w:p>
      <w:pPr>
        <w:pStyle w:val="ListBullet"/>
      </w:pPr>
      <w:r>
        <w:rPr>
          <w:sz w:val="18"/>
        </w:rPr>
        <w:t>Apéndice J. Diferencia de medias del diferencial de retorno DR entre subperíodos</w:t>
      </w:r>
    </w:p>
    <w:p>
      <w:pPr>
        <w:pStyle w:val="ListBullet"/>
      </w:pPr>
      <w:r>
        <w:rPr>
          <w:sz w:val="18"/>
        </w:rPr>
        <w:t>Apéndice K. Robustez — corte institucional alternativo 2011:T1</w:t>
      </w:r>
    </w:p>
    <w:p>
      <w:pPr>
        <w:pStyle w:val="ListBullet"/>
      </w:pPr>
      <w:r>
        <w:rPr>
          <w:sz w:val="18"/>
        </w:rPr>
        <w:t>Apéndice L. Robustez — control por la crisis financiera global 2008–2009</w:t>
      </w:r>
    </w:p>
    <w:p>
      <w:pPr>
        <w:pStyle w:val="ListBullet"/>
      </w:pPr>
      <w:r>
        <w:rPr>
          <w:sz w:val="18"/>
        </w:rPr>
        <w:t>Apéndice M. Robustez — tasas de fin de trimestre</w:t>
      </w:r>
    </w:p>
    <w:p>
      <w:pPr>
        <w:pStyle w:val="ListBullet"/>
      </w:pPr>
      <w:r>
        <w:rPr>
          <w:sz w:val="18"/>
        </w:rPr>
        <w:t>Apéndice N. Robustez — sensibilidad al ancho de banda HAC (rezagos 3, 5 y 6)</w:t>
      </w:r>
    </w:p>
    <w:p>
      <w:pPr>
        <w:pStyle w:val="ListBullet"/>
      </w:pPr>
      <w:r>
        <w:rPr>
          <w:sz w:val="18"/>
        </w:rPr>
        <w:t>Apéndice O. Robustez — régimen gradual y dolarización rezagada</w:t>
      </w:r>
    </w:p>
    <w:p>
      <w:pPr>
        <w:pStyle w:val="ListBullet"/>
      </w:pPr>
      <w:r>
        <w:rPr>
          <w:sz w:val="18"/>
        </w:rPr>
        <w:t>Apéndice P. Sensibilidad — serie de promedio ponderado de plazos</w:t>
      </w:r>
    </w:p>
    <w:p>
      <w:pPr>
        <w:pStyle w:val="ListBullet"/>
      </w:pPr>
      <w:r>
        <w:rPr>
          <w:sz w:val="18"/>
        </w:rPr>
        <w:t>Apéndice Q. Correlación entre la prima de riesgo y la dolarización, por subperíodo</w:t>
      </w:r>
    </w:p>
    <w:p>
      <w:pPr>
        <w:pStyle w:val="ListBullet"/>
      </w:pPr>
      <w:r>
        <w:rPr>
          <w:sz w:val="18"/>
        </w:rPr>
        <w:t>Apéndice R. Figura A1 — Diferencial de retorno trimestral DR (guaraníes vs. dólares)</w:t>
      </w:r>
    </w:p>
    <w:p>
      <w:pPr>
        <w:pStyle w:val="ListBullet"/>
      </w:pPr>
      <w:r>
        <w:rPr>
          <w:sz w:val="18"/>
        </w:rPr>
        <w:t>Apéndice S. Figura A2 — Descomposición de Fisher (prima de inflación vs. prima de riesgo)</w:t>
      </w:r>
    </w:p>
    <w:p>
      <w:pPr>
        <w:pStyle w:val="ListBullet"/>
      </w:pPr>
      <w:r>
        <w:rPr>
          <w:sz w:val="18"/>
        </w:rPr>
        <w:t>Apéndice T. Figura A3 — Composición de la prima de riesgo (ventana móvil de 20 trimestres)</w:t>
      </w:r>
    </w:p>
    <w:p>
      <w:r>
        <w:br w:type="page"/>
      </w:r>
    </w:p>
    <w:p>
      <w:pPr>
        <w:pStyle w:val="Heading2"/>
      </w:pPr>
      <w:r>
        <w:t>Apéndice A. Pruebas de raíz unitaria (ADF, Phillips-Perron y KPSS) sobre las series del modelo</w:t>
      </w:r>
    </w:p>
    <w:p>
      <w:r>
        <w:rPr>
          <w:rFonts w:ascii="Arial" w:hAnsi="Arial"/>
          <w:i w:val="0"/>
          <w:sz w:val="20"/>
        </w:rPr>
        <w:t>Contraste de estacionariedad de las series empleadas en el modelo de la prima de riesgo. El ADF y Phillips-Perron tienen por hipótesis nula la existencia de raíz unitaria; el KPSS invierte la nula (estacionariedad). Se ejecutan sobre la muestra contigua de cada serie.</w:t>
      </w:r>
    </w:p>
    <w:p>
      <w:pPr>
        <w:spacing w:after="0" w:before="0" w:line="240" w:lineRule="auto"/>
      </w:pPr>
      <w:r>
        <w:rPr>
          <w:rFonts w:ascii="Consolas" w:hAnsi="Consolas"/>
          <w:sz w:val="16"/>
        </w:rPr>
        <w:t>ADF/PP/KPSS: DR</w:t>
        <w:br/>
      </w:r>
      <w:r>
        <w:rPr>
          <w:rFonts w:ascii="Consolas" w:hAnsi="Consolas"/>
          <w:sz w:val="16"/>
        </w:rPr>
        <w:t>. dfuller DR, lags(4)</w:t>
        <w:br/>
      </w:r>
      <w:r>
        <w:rPr>
          <w:rFonts w:ascii="Consolas" w:hAnsi="Consolas"/>
          <w:sz w:val="16"/>
        </w:rPr>
        <w:t>Augmented Dickey-Fuller test for unit root         Number of obs = 78 (lags=4)</w:t>
        <w:br/>
      </w:r>
      <w:r>
        <w:rPr>
          <w:rFonts w:ascii="Consolas" w:hAnsi="Consolas"/>
          <w:sz w:val="16"/>
        </w:rPr>
        <w:t xml:space="preserve">                                       Dickey-Fuller</w:t>
        <w:br/>
      </w:r>
      <w:r>
        <w:rPr>
          <w:rFonts w:ascii="Consolas" w:hAnsi="Consolas"/>
          <w:sz w:val="16"/>
        </w:rPr>
        <w:t xml:space="preserve">              statistic       1%           5%          10%</w:t>
        <w:br/>
      </w:r>
      <w:r>
        <w:rPr>
          <w:rFonts w:ascii="Consolas" w:hAnsi="Consolas"/>
          <w:sz w:val="16"/>
        </w:rPr>
        <w:t xml:space="preserve"> Z(t)            -4.346       -3.541       -2.908       -2.589</w:t>
        <w:br/>
      </w:r>
      <w:r>
        <w:rPr>
          <w:rFonts w:ascii="Consolas" w:hAnsi="Consolas"/>
          <w:sz w:val="16"/>
        </w:rPr>
        <w:t>MacKinnon approximate p-value for Z(t) = 0.0004</w:t>
        <w:br/>
      </w:r>
      <w:r>
        <w:rPr>
          <w:rFonts w:ascii="Consolas" w:hAnsi="Consolas"/>
          <w:sz w:val="16"/>
        </w:rPr>
        <w:t>. pperron DR</w:t>
        <w:br/>
      </w:r>
      <w:r>
        <w:rPr>
          <w:rFonts w:ascii="Consolas" w:hAnsi="Consolas"/>
          <w:sz w:val="16"/>
        </w:rPr>
        <w:t xml:space="preserve"> Z(t)            -7.330       -3.535       -2.904       -2.587    (obs=82)</w:t>
        <w:br/>
      </w:r>
      <w:r>
        <w:rPr>
          <w:rFonts w:ascii="Consolas" w:hAnsi="Consolas"/>
          <w:sz w:val="16"/>
        </w:rPr>
        <w:t>MacKinnon approximate p-value for Z(t) = 0.0000</w:t>
        <w:br/>
      </w:r>
      <w:r>
        <w:rPr>
          <w:rFonts w:ascii="Consolas" w:hAnsi="Consolas"/>
          <w:sz w:val="16"/>
        </w:rPr>
        <w:t>. kpss DR, maxlag(4)   Test stat (lag 4) = 0.0537   (10%:0.119  5%:0.146  1%:0.216)</w:t>
        <w:br/>
      </w:r>
      <w:r>
        <w:rPr>
          <w:rFonts w:ascii="Consolas" w:hAnsi="Consolas"/>
          <w:sz w:val="16"/>
        </w:rPr>
        <w:br/>
      </w:r>
      <w:r>
        <w:rPr>
          <w:rFonts w:ascii="Consolas" w:hAnsi="Consolas"/>
          <w:sz w:val="16"/>
        </w:rPr>
        <w:t>ADF/PP/KPSS: rp</w:t>
        <w:br/>
      </w:r>
      <w:r>
        <w:rPr>
          <w:rFonts w:ascii="Consolas" w:hAnsi="Consolas"/>
          <w:sz w:val="16"/>
        </w:rPr>
        <w:t>. dfuller rp, lags(4)   Z(t) = -2.288   p = 0.1759   (obs=75)</w:t>
        <w:br/>
      </w:r>
      <w:r>
        <w:rPr>
          <w:rFonts w:ascii="Consolas" w:hAnsi="Consolas"/>
          <w:sz w:val="16"/>
        </w:rPr>
        <w:t>. pperron rp            Z(t) = -5.127   p = 0.0000   (obs=79)</w:t>
        <w:br/>
      </w:r>
      <w:r>
        <w:rPr>
          <w:rFonts w:ascii="Consolas" w:hAnsi="Consolas"/>
          <w:sz w:val="16"/>
        </w:rPr>
        <w:t>. kpss rp, maxlag(4)    Test stat (lag 4) = 0.147</w:t>
        <w:br/>
      </w:r>
      <w:r>
        <w:rPr>
          <w:rFonts w:ascii="Consolas" w:hAnsi="Consolas"/>
          <w:sz w:val="16"/>
        </w:rPr>
        <w:br/>
      </w:r>
      <w:r>
        <w:rPr>
          <w:rFonts w:ascii="Consolas" w:hAnsi="Consolas"/>
          <w:sz w:val="16"/>
        </w:rPr>
        <w:t>ADF/PP/KPSS: VolTC</w:t>
        <w:br/>
      </w:r>
      <w:r>
        <w:rPr>
          <w:rFonts w:ascii="Consolas" w:hAnsi="Consolas"/>
          <w:sz w:val="16"/>
        </w:rPr>
        <w:t>. dfuller VolTC, lags(4)  Z(t) = -2.304  p = 0.1708</w:t>
        <w:br/>
      </w:r>
      <w:r>
        <w:rPr>
          <w:rFonts w:ascii="Consolas" w:hAnsi="Consolas"/>
          <w:sz w:val="16"/>
        </w:rPr>
        <w:t>. pperron VolTC          Z(t) = -2.436  p = 0.1318</w:t>
        <w:br/>
      </w:r>
      <w:r>
        <w:rPr>
          <w:rFonts w:ascii="Consolas" w:hAnsi="Consolas"/>
          <w:sz w:val="16"/>
        </w:rPr>
        <w:t>. kpss VolTC, maxlag(4)  Test stat (lag 4) = 0.195</w:t>
        <w:br/>
      </w:r>
      <w:r>
        <w:rPr>
          <w:rFonts w:ascii="Consolas" w:hAnsi="Consolas"/>
          <w:sz w:val="16"/>
        </w:rPr>
        <w:br/>
      </w:r>
      <w:r>
        <w:rPr>
          <w:rFonts w:ascii="Consolas" w:hAnsi="Consolas"/>
          <w:sz w:val="16"/>
        </w:rPr>
        <w:t>ADF/PP/KPSS: dolar (dolarizacion)</w:t>
        <w:br/>
      </w:r>
      <w:r>
        <w:rPr>
          <w:rFonts w:ascii="Consolas" w:hAnsi="Consolas"/>
          <w:sz w:val="16"/>
        </w:rPr>
        <w:t>. dfuller dolar, lags(4)  Z(t) = -2.086  p = 0.2502</w:t>
        <w:br/>
      </w:r>
      <w:r>
        <w:rPr>
          <w:rFonts w:ascii="Consolas" w:hAnsi="Consolas"/>
          <w:sz w:val="16"/>
        </w:rPr>
        <w:t>. pperron dolar          Z(t) = -2.825  p = 0.0548</w:t>
        <w:br/>
      </w:r>
      <w:r>
        <w:rPr>
          <w:rFonts w:ascii="Consolas" w:hAnsi="Consolas"/>
          <w:sz w:val="16"/>
        </w:rPr>
        <w:t>. kpss dolar, maxlag(4)  Test stat (lag 4) = 0.248</w:t>
        <w:br/>
      </w:r>
      <w:r>
        <w:rPr>
          <w:rFonts w:ascii="Consolas" w:hAnsi="Consolas"/>
          <w:sz w:val="16"/>
        </w:rPr>
        <w:br/>
      </w:r>
      <w:r>
        <w:rPr>
          <w:rFonts w:ascii="Consolas" w:hAnsi="Consolas"/>
          <w:sz w:val="16"/>
        </w:rPr>
        <w:t>ADF/PP/KPSS: InflDiff</w:t>
        <w:br/>
      </w:r>
      <w:r>
        <w:rPr>
          <w:rFonts w:ascii="Consolas" w:hAnsi="Consolas"/>
          <w:sz w:val="16"/>
        </w:rPr>
        <w:t>. dfuller InflDiff, lags(4)  Z(t) = -2.324  p = 0.1643</w:t>
        <w:br/>
      </w:r>
      <w:r>
        <w:rPr>
          <w:rFonts w:ascii="Consolas" w:hAnsi="Consolas"/>
          <w:sz w:val="16"/>
        </w:rPr>
        <w:t>. pperron InflDiff          Z(t) = -4.524  p = 0.0002</w:t>
        <w:br/>
      </w:r>
      <w:r>
        <w:rPr>
          <w:rFonts w:ascii="Consolas" w:hAnsi="Consolas"/>
          <w:sz w:val="16"/>
        </w:rPr>
        <w:t>. kpss InflDiff, maxlag(4)  Test stat (lag 4) = 0.0583</w:t>
      </w:r>
    </w:p>
    <w:p>
      <w:r>
        <w:rPr>
          <w:rFonts w:ascii="Arial" w:hAnsi="Arial"/>
          <w:i w:val="0"/>
          <w:sz w:val="20"/>
        </w:rPr>
        <w:t>Lectura. El diferencial de retorno DR es fuertemente estacionario (ADF y PP rechazan la raíz unitaria al 1 %). Las explicativas (rp, VolTC, dolarización, InflDiff) se comportan como series aproximadamente integradas, lo que motiva el análisis de cointegración del Apéndice H.</w:t>
      </w:r>
    </w:p>
    <w:p>
      <w:pPr>
        <w:pStyle w:val="Heading2"/>
      </w:pPr>
      <w:r>
        <w:t>Apéndice B. Contraste de quiebre estructural con fecha endógena (estat sbsingle)</w:t>
      </w:r>
    </w:p>
    <w:p>
      <w:r>
        <w:rPr>
          <w:rFonts w:ascii="Arial" w:hAnsi="Arial"/>
          <w:i w:val="0"/>
          <w:sz w:val="20"/>
        </w:rPr>
        <w:t>Prueba de un quiebre estructural único con fecha desconocida (supremo de Wald), estimada sobre el modelo autorregresivo de cada serie. Sobre el retorno DR la ruptura dominante se ubica en la crisis global; sobre la prima de riesgo rp cae exactamente en el trimestre de adopción del régimen.</w:t>
      </w:r>
    </w:p>
    <w:p>
      <w:pPr>
        <w:spacing w:after="0" w:before="0" w:line="240" w:lineRule="auto"/>
      </w:pPr>
      <w:r>
        <w:rPr>
          <w:rFonts w:ascii="Consolas" w:hAnsi="Consolas"/>
          <w:sz w:val="16"/>
        </w:rPr>
        <w:t>== Quiebre endogeno en DR ==</w:t>
        <w:br/>
      </w:r>
      <w:r>
        <w:rPr>
          <w:rFonts w:ascii="Consolas" w:hAnsi="Consolas"/>
          <w:sz w:val="16"/>
        </w:rPr>
        <w:t>. regress DR L.DR</w:t>
        <w:br/>
      </w:r>
      <w:r>
        <w:rPr>
          <w:rFonts w:ascii="Consolas" w:hAnsi="Consolas"/>
          <w:sz w:val="16"/>
        </w:rPr>
        <w:t>. estat sbsingle</w:t>
        <w:br/>
      </w:r>
      <w:r>
        <w:rPr>
          <w:rFonts w:ascii="Consolas" w:hAnsi="Consolas"/>
          <w:sz w:val="16"/>
        </w:rPr>
        <w:t>Test for a structural break: Unknown break date</w:t>
        <w:br/>
      </w:r>
      <w:r>
        <w:rPr>
          <w:rFonts w:ascii="Consolas" w:hAnsi="Consolas"/>
          <w:sz w:val="16"/>
        </w:rPr>
        <w:t>Full sample: 2 thru 83 | Trimmed sample: 15 thru 71</w:t>
        <w:br/>
      </w:r>
      <w:r>
        <w:rPr>
          <w:rFonts w:ascii="Consolas" w:hAnsi="Consolas"/>
          <w:sz w:val="16"/>
        </w:rPr>
        <w:t>Estimated break date: 18  -&gt;  2008:T2</w:t>
        <w:br/>
      </w:r>
      <w:r>
        <w:rPr>
          <w:rFonts w:ascii="Consolas" w:hAnsi="Consolas"/>
          <w:sz w:val="16"/>
        </w:rPr>
        <w:t xml:space="preserve">                    Test    Statistic      p-value</w:t>
        <w:br/>
      </w:r>
      <w:r>
        <w:rPr>
          <w:rFonts w:ascii="Consolas" w:hAnsi="Consolas"/>
          <w:sz w:val="16"/>
        </w:rPr>
        <w:t xml:space="preserve">           Supremum Wald       7.8200       0.2192</w:t>
        <w:br/>
      </w:r>
      <w:r>
        <w:rPr>
          <w:rFonts w:ascii="Consolas" w:hAnsi="Consolas"/>
          <w:sz w:val="16"/>
        </w:rPr>
        <w:br/>
      </w:r>
      <w:r>
        <w:rPr>
          <w:rFonts w:ascii="Consolas" w:hAnsi="Consolas"/>
          <w:sz w:val="16"/>
        </w:rPr>
        <w:t>== Quiebre endogeno en rp (prima de riesgo) ==</w:t>
        <w:br/>
      </w:r>
      <w:r>
        <w:rPr>
          <w:rFonts w:ascii="Consolas" w:hAnsi="Consolas"/>
          <w:sz w:val="16"/>
        </w:rPr>
        <w:t>. regress rp L.rp</w:t>
        <w:br/>
      </w:r>
      <w:r>
        <w:rPr>
          <w:rFonts w:ascii="Consolas" w:hAnsi="Consolas"/>
          <w:sz w:val="16"/>
        </w:rPr>
        <w:t>. estat sbsingle</w:t>
        <w:br/>
      </w:r>
      <w:r>
        <w:rPr>
          <w:rFonts w:ascii="Consolas" w:hAnsi="Consolas"/>
          <w:sz w:val="16"/>
        </w:rPr>
        <w:t>Test for a structural break: Unknown break date</w:t>
        <w:br/>
      </w:r>
      <w:r>
        <w:rPr>
          <w:rFonts w:ascii="Consolas" w:hAnsi="Consolas"/>
          <w:sz w:val="16"/>
        </w:rPr>
        <w:t>Full sample: 2 thru 80 | Trimmed sample: 14 thru 69</w:t>
        <w:br/>
      </w:r>
      <w:r>
        <w:rPr>
          <w:rFonts w:ascii="Consolas" w:hAnsi="Consolas"/>
          <w:sz w:val="16"/>
        </w:rPr>
        <w:t>Estimated break date: 26  -&gt;  2011:T2</w:t>
        <w:br/>
      </w:r>
      <w:r>
        <w:rPr>
          <w:rFonts w:ascii="Consolas" w:hAnsi="Consolas"/>
          <w:sz w:val="16"/>
        </w:rPr>
        <w:t xml:space="preserve">                    Test    Statistic      p-value</w:t>
        <w:br/>
      </w:r>
      <w:r>
        <w:rPr>
          <w:rFonts w:ascii="Consolas" w:hAnsi="Consolas"/>
          <w:sz w:val="16"/>
        </w:rPr>
        <w:t xml:space="preserve">           Supremum Wald      43.6614       0.0000</w:t>
      </w:r>
    </w:p>
    <w:p>
      <w:r>
        <w:rPr>
          <w:rFonts w:ascii="Arial" w:hAnsi="Arial"/>
          <w:i w:val="0"/>
          <w:sz w:val="20"/>
        </w:rPr>
        <w:t>Lectura. El quiebre endógeno de la prima de riesgo rp —el objeto directo de la hipótesis— se localiza precisamente en 2011:T2, el trimestre de la Resolución N.º 22, Acta N.º 31 del BCP, con un supremo de Wald altamente significativo (43,66; p &lt; 0,001). Esto respalda empíricamente la elección del corte institucional.</w:t>
      </w:r>
    </w:p>
    <w:p>
      <w:pPr>
        <w:pStyle w:val="Heading2"/>
      </w:pPr>
      <w:r>
        <w:t>Apéndice C. Regresión de Fama y contraste de la Paridad Descubierta de Tasas</w:t>
      </w:r>
    </w:p>
    <w:p>
      <w:r>
        <w:rPr>
          <w:rFonts w:ascii="Arial" w:hAnsi="Arial"/>
          <w:i w:val="0"/>
          <w:sz w:val="20"/>
        </w:rPr>
        <w:t>Regresión de la depreciación futura sobre el diferencial de tasas trimestralizado (misma frecuencia), con errores HAC de Newey-West (4 rezagos). Bajo la Paridad Descubierta, β = 1.</w:t>
      </w:r>
    </w:p>
    <w:p>
      <w:pPr>
        <w:spacing w:after="0" w:before="0" w:line="240" w:lineRule="auto"/>
      </w:pPr>
      <w:r>
        <w:rPr>
          <w:rFonts w:ascii="Consolas" w:hAnsi="Consolas"/>
          <w:sz w:val="16"/>
        </w:rPr>
        <w:t>. newey depLead difq, lag(4)                            [Total, n=83]</w:t>
        <w:br/>
      </w:r>
      <w:r>
        <w:rPr>
          <w:rFonts w:ascii="Consolas" w:hAnsi="Consolas"/>
          <w:sz w:val="16"/>
        </w:rPr>
        <w:t xml:space="preserve">        difq |   1.163497   1.269541   0.92   0.362</w:t>
        <w:br/>
      </w:r>
      <w:r>
        <w:rPr>
          <w:rFonts w:ascii="Consolas" w:hAnsi="Consolas"/>
          <w:sz w:val="16"/>
        </w:rPr>
        <w:t xml:space="preserve">       _cons |  -0.487724   1.282599  -0.38   0.705</w:t>
        <w:br/>
      </w:r>
      <w:r>
        <w:rPr>
          <w:rFonts w:ascii="Consolas" w:hAnsi="Consolas"/>
          <w:sz w:val="16"/>
        </w:rPr>
        <w:t>. test difq = 1   -&gt;  F(1,81) = 0.02   Prob &gt; F = 0.8978</w:t>
        <w:br/>
      </w:r>
      <w:r>
        <w:rPr>
          <w:rFonts w:ascii="Consolas" w:hAnsi="Consolas"/>
          <w:sz w:val="16"/>
        </w:rPr>
        <w:br/>
      </w:r>
      <w:r>
        <w:rPr>
          <w:rFonts w:ascii="Consolas" w:hAnsi="Consolas"/>
          <w:sz w:val="16"/>
        </w:rPr>
        <w:t>. newey depLead difq if D2011==0, lag(4)                [Pre-2011:T2, n=29]</w:t>
        <w:br/>
      </w:r>
      <w:r>
        <w:rPr>
          <w:rFonts w:ascii="Consolas" w:hAnsi="Consolas"/>
          <w:sz w:val="16"/>
        </w:rPr>
        <w:t xml:space="preserve">        difq |   0.051862   1.593903   0.03   0.974</w:t>
        <w:br/>
      </w:r>
      <w:r>
        <w:rPr>
          <w:rFonts w:ascii="Consolas" w:hAnsi="Consolas"/>
          <w:sz w:val="16"/>
        </w:rPr>
        <w:t>. test difq = 1   -&gt;  F(1,27) = 0.35   Prob &gt; F = 0.5569</w:t>
        <w:br/>
      </w:r>
      <w:r>
        <w:rPr>
          <w:rFonts w:ascii="Consolas" w:hAnsi="Consolas"/>
          <w:sz w:val="16"/>
        </w:rPr>
        <w:br/>
      </w:r>
      <w:r>
        <w:rPr>
          <w:rFonts w:ascii="Consolas" w:hAnsi="Consolas"/>
          <w:sz w:val="16"/>
        </w:rPr>
        <w:t>. newey depLead difq if D2011==1, lag(4)                [Post-2011:T2, n=54]</w:t>
        <w:br/>
      </w:r>
      <w:r>
        <w:rPr>
          <w:rFonts w:ascii="Consolas" w:hAnsi="Consolas"/>
          <w:sz w:val="16"/>
        </w:rPr>
        <w:t xml:space="preserve">        difq |   0.836333   1.295449   0.65   0.521</w:t>
        <w:br/>
      </w:r>
      <w:r>
        <w:rPr>
          <w:rFonts w:ascii="Consolas" w:hAnsi="Consolas"/>
          <w:sz w:val="16"/>
        </w:rPr>
        <w:t>. test difq = 1   -&gt;  F(1,52) = 0.02   Prob &gt; F = 0.8999</w:t>
      </w:r>
    </w:p>
    <w:p>
      <w:r>
        <w:rPr>
          <w:rFonts w:ascii="Arial" w:hAnsi="Arial"/>
          <w:i w:val="0"/>
          <w:sz w:val="20"/>
        </w:rPr>
        <w:t>Lectura. β no se distingue de 1 en ninguna muestra (contraste no concluyente por baja potencia, R² ≈ 0,01): con estos datos no puede rechazarse la Paridad Descubierta.</w:t>
      </w:r>
    </w:p>
    <w:p>
      <w:pPr>
        <w:pStyle w:val="Heading2"/>
      </w:pPr>
      <w:r>
        <w:t>Apéndice D. Prueba conservadora del retorno del guaraní (DRcons)</w:t>
      </w:r>
    </w:p>
    <w:p>
      <w:r>
        <w:rPr>
          <w:rFonts w:ascii="Arial" w:hAnsi="Arial"/>
          <w:i w:val="0"/>
          <w:sz w:val="20"/>
        </w:rPr>
        <w:t>Media del diferencial conservador (excluye las apreciaciones), con error HAC. Contraste unilateral H0: media ≤ 0 frente a H1: media &gt; 0.</w:t>
      </w:r>
    </w:p>
    <w:p>
      <w:pPr>
        <w:spacing w:after="0" w:before="0" w:line="240" w:lineRule="auto"/>
      </w:pPr>
      <w:r>
        <w:rPr>
          <w:rFonts w:ascii="Consolas" w:hAnsi="Consolas"/>
          <w:sz w:val="16"/>
        </w:rPr>
        <w:t>. newey DRcons, lag(4)                     [Total, n=83]</w:t>
        <w:br/>
      </w:r>
      <w:r>
        <w:rPr>
          <w:rFonts w:ascii="Consolas" w:hAnsi="Consolas"/>
          <w:sz w:val="16"/>
        </w:rPr>
        <w:t xml:space="preserve">       _cons |  -0.997910   0.362164  -2.76   0.007</w:t>
        <w:br/>
      </w:r>
      <w:r>
        <w:rPr>
          <w:rFonts w:ascii="Consolas" w:hAnsi="Consolas"/>
          <w:sz w:val="16"/>
        </w:rPr>
        <w:t xml:space="preserve">   media = -0.9979   p unilateral (H1: media&gt;0) = 0.9964</w:t>
        <w:br/>
      </w:r>
      <w:r>
        <w:rPr>
          <w:rFonts w:ascii="Consolas" w:hAnsi="Consolas"/>
          <w:sz w:val="16"/>
        </w:rPr>
        <w:br/>
      </w:r>
      <w:r>
        <w:rPr>
          <w:rFonts w:ascii="Consolas" w:hAnsi="Consolas"/>
          <w:sz w:val="16"/>
        </w:rPr>
        <w:t>. newey DRcons if D2011==1, lag(4)         [Post-2011:T2, n=54]</w:t>
        <w:br/>
      </w:r>
      <w:r>
        <w:rPr>
          <w:rFonts w:ascii="Consolas" w:hAnsi="Consolas"/>
          <w:sz w:val="16"/>
        </w:rPr>
        <w:t xml:space="preserve">       _cons |  -1.235727   0.337513  -3.66   0.001</w:t>
        <w:br/>
      </w:r>
      <w:r>
        <w:rPr>
          <w:rFonts w:ascii="Consolas" w:hAnsi="Consolas"/>
          <w:sz w:val="16"/>
        </w:rPr>
        <w:t xml:space="preserve">   media = -1.2357   p unilateral (H1: media&gt;0) = 0.9997</w:t>
      </w:r>
    </w:p>
    <w:p>
      <w:r>
        <w:rPr>
          <w:rFonts w:ascii="Arial" w:hAnsi="Arial"/>
          <w:i w:val="0"/>
          <w:sz w:val="20"/>
        </w:rPr>
        <w:t>Lectura. La media conservadora es negativa y significativamente menor que cero post-2011: una vez excluidas las apreciaciones, el guaraní del tramo corto no ofrece un premio positivo.</w:t>
      </w:r>
    </w:p>
    <w:p>
      <w:pPr>
        <w:pStyle w:val="Heading2"/>
      </w:pPr>
      <w:r>
        <w:t>Apéndice E. Descomposición de Fisher: prima de inflación y prima de riesgo</w:t>
      </w:r>
    </w:p>
    <w:p>
      <w:r>
        <w:rPr>
          <w:rFonts w:ascii="Arial" w:hAnsi="Arial"/>
          <w:i w:val="0"/>
          <w:sz w:val="20"/>
        </w:rPr>
        <w:t>Descomposición del diferencial nominal (difn = InflDiff + rp) y contraste de la diferencia de medias pre/post 2011:T2 con error HAC.</w:t>
      </w:r>
    </w:p>
    <w:p>
      <w:pPr>
        <w:spacing w:after="0" w:before="0" w:line="240" w:lineRule="auto"/>
      </w:pPr>
      <w:r>
        <w:rPr>
          <w:rFonts w:ascii="Consolas" w:hAnsi="Consolas"/>
          <w:sz w:val="16"/>
        </w:rPr>
        <w:t>Medias por subperiodo (muestra con rp no faltante):</w:t>
        <w:br/>
      </w:r>
      <w:r>
        <w:rPr>
          <w:rFonts w:ascii="Consolas" w:hAnsi="Consolas"/>
          <w:sz w:val="16"/>
        </w:rPr>
        <w:t xml:space="preserve">   D2011=0 (Pre) : difn=2.455  InflDiff=4.720  rp=-2.265   (n=25)</w:t>
        <w:br/>
      </w:r>
      <w:r>
        <w:rPr>
          <w:rFonts w:ascii="Consolas" w:hAnsi="Consolas"/>
          <w:sz w:val="16"/>
        </w:rPr>
        <w:t xml:space="preserve">   D2011=1 (Post): difn=3.284  InflDiff=1.655  rp= 1.628   (n=55)</w:t>
        <w:br/>
      </w:r>
      <w:r>
        <w:rPr>
          <w:rFonts w:ascii="Consolas" w:hAnsi="Consolas"/>
          <w:sz w:val="16"/>
        </w:rPr>
        <w:br/>
      </w:r>
      <w:r>
        <w:rPr>
          <w:rFonts w:ascii="Consolas" w:hAnsi="Consolas"/>
          <w:sz w:val="16"/>
        </w:rPr>
        <w:t>. newey rp D2011 if !missing(rp), lag(4)</w:t>
        <w:br/>
      </w:r>
      <w:r>
        <w:rPr>
          <w:rFonts w:ascii="Consolas" w:hAnsi="Consolas"/>
          <w:sz w:val="16"/>
        </w:rPr>
        <w:t xml:space="preserve">       D2011 |   3.893523   0.604740   6.44   0.000     -&gt;  Delta rp = +3.894 (p=0.000)</w:t>
        <w:br/>
      </w:r>
      <w:r>
        <w:rPr>
          <w:rFonts w:ascii="Consolas" w:hAnsi="Consolas"/>
          <w:sz w:val="16"/>
        </w:rPr>
        <w:t>. newey InflDiff D2011 if !missing(rp), lag(4)</w:t>
        <w:br/>
      </w:r>
      <w:r>
        <w:rPr>
          <w:rFonts w:ascii="Consolas" w:hAnsi="Consolas"/>
          <w:sz w:val="16"/>
        </w:rPr>
        <w:t xml:space="preserve">       D2011 |  -3.064661   0.708382  -4.33   0.000     -&gt;  Delta InflDiff = -3.065 (p=0.000)</w:t>
        <w:br/>
      </w:r>
      <w:r>
        <w:rPr>
          <w:rFonts w:ascii="Consolas" w:hAnsi="Consolas"/>
          <w:sz w:val="16"/>
        </w:rPr>
        <w:t>. newey difn D2011 if !missing(rp), lag(4)</w:t>
        <w:br/>
      </w:r>
      <w:r>
        <w:rPr>
          <w:rFonts w:ascii="Consolas" w:hAnsi="Consolas"/>
          <w:sz w:val="16"/>
        </w:rPr>
        <w:t xml:space="preserve">       D2011 |   0.828862   0.344555   2.41   0.019     -&gt;  Delta difn = +0.829 (p=0.019)</w:t>
      </w:r>
    </w:p>
    <w:p>
      <w:r>
        <w:rPr>
          <w:rFonts w:ascii="Arial" w:hAnsi="Arial"/>
          <w:i w:val="0"/>
          <w:sz w:val="20"/>
        </w:rPr>
        <w:t>Lectura. Tras 2011:T2 la prima de inflación se contrae (−3,07 pp; p &lt; 0,001) y emerge una prima de riesgo positiva donde antes era negativa (de −2,27 a +1,63 pp; salto de +3,89 pp; p &lt; 0,001). Es la primera capa de la recomposición.</w:t>
      </w:r>
    </w:p>
    <w:p>
      <w:pPr>
        <w:pStyle w:val="Heading2"/>
      </w:pPr>
      <w:r>
        <w:t>Apéndice F. Modelo central MCO-HAC con interacciones sobre la prima de riesgo (corte 2011:T2)</w:t>
      </w:r>
    </w:p>
    <w:p>
      <w:r>
        <w:rPr>
          <w:rFonts w:ascii="Arial" w:hAnsi="Arial"/>
          <w:i w:val="0"/>
          <w:sz w:val="20"/>
        </w:rPr>
        <w:t>Modelo núcleo: rp = β0 + β2·VolTC_c + β3·Iliq_c + β4·D2011 + β5·(D2011×VolTC) + β6·(D2011×Iliq). Variables centradas; errores HAC de Newey-West (4 rezagos); n = 80.</w:t>
      </w:r>
    </w:p>
    <w:p>
      <w:pPr>
        <w:spacing w:after="0" w:before="0" w:line="240" w:lineRule="auto"/>
      </w:pPr>
      <w:r>
        <w:rPr>
          <w:rFonts w:ascii="Consolas" w:hAnsi="Consolas"/>
          <w:sz w:val="16"/>
        </w:rPr>
        <w:t>. newey rp VolTC_c dolar_c D2011 DxVolTC DxDolar, lag(4)</w:t>
        <w:br/>
      </w:r>
      <w:r>
        <w:rPr>
          <w:rFonts w:ascii="Consolas" w:hAnsi="Consolas"/>
          <w:sz w:val="16"/>
        </w:rPr>
        <w:t>Regression with Newey-West standard errors     Number of obs = 80    Max lag = 4</w:t>
        <w:br/>
      </w:r>
      <w:r>
        <w:rPr>
          <w:rFonts w:ascii="Consolas" w:hAnsi="Consolas"/>
          <w:sz w:val="16"/>
        </w:rPr>
        <w:t>------------------------------------------------------------------------------</w:t>
        <w:br/>
      </w:r>
      <w:r>
        <w:rPr>
          <w:rFonts w:ascii="Consolas" w:hAnsi="Consolas"/>
          <w:sz w:val="16"/>
        </w:rPr>
        <w:t xml:space="preserve">          rp | Coefficient  std. err.      t    P&gt;|t|     [95% conf. interval]</w:t>
        <w:br/>
      </w:r>
      <w:r>
        <w:rPr>
          <w:rFonts w:ascii="Consolas" w:hAnsi="Consolas"/>
          <w:sz w:val="16"/>
        </w:rPr>
        <w:t>-------------+----------------------------------------------------------------</w:t>
        <w:br/>
      </w:r>
      <w:r>
        <w:rPr>
          <w:rFonts w:ascii="Consolas" w:hAnsi="Consolas"/>
          <w:sz w:val="16"/>
        </w:rPr>
        <w:t xml:space="preserve">     VolTC_c |   0.283183   0.110718    2.56   0.013     0.062573    0.503793</w:t>
        <w:br/>
      </w:r>
      <w:r>
        <w:rPr>
          <w:rFonts w:ascii="Consolas" w:hAnsi="Consolas"/>
          <w:sz w:val="16"/>
        </w:rPr>
        <w:t xml:space="preserve">     dolar_c |   0.157555   0.097251    1.62   0.109    -0.036221    0.351331</w:t>
        <w:br/>
      </w:r>
      <w:r>
        <w:rPr>
          <w:rFonts w:ascii="Consolas" w:hAnsi="Consolas"/>
          <w:sz w:val="16"/>
        </w:rPr>
        <w:t xml:space="preserve">       D2011 |   3.887182   0.515963    7.53   0.000     2.859104    4.915261</w:t>
        <w:br/>
      </w:r>
      <w:r>
        <w:rPr>
          <w:rFonts w:ascii="Consolas" w:hAnsi="Consolas"/>
          <w:sz w:val="16"/>
        </w:rPr>
        <w:t xml:space="preserve">     DxVolTC |  -0.345333   0.215929   -1.60   0.114    -0.775580    0.084914</w:t>
        <w:br/>
      </w:r>
      <w:r>
        <w:rPr>
          <w:rFonts w:ascii="Consolas" w:hAnsi="Consolas"/>
          <w:sz w:val="16"/>
        </w:rPr>
        <w:t xml:space="preserve">     DxDolar |  -0.234129   0.135595   -1.73   0.088    -0.504308    0.036051</w:t>
        <w:br/>
      </w:r>
      <w:r>
        <w:rPr>
          <w:rFonts w:ascii="Consolas" w:hAnsi="Consolas"/>
          <w:sz w:val="16"/>
        </w:rPr>
        <w:t xml:space="preserve">       _cons |  -2.214195   0.453539   -4.88   0.000    -3.117890   -1.310500</w:t>
        <w:br/>
      </w:r>
      <w:r>
        <w:rPr>
          <w:rFonts w:ascii="Consolas" w:hAnsi="Consolas"/>
          <w:sz w:val="16"/>
        </w:rPr>
        <w:t>------------------------------------------------------------------------------</w:t>
        <w:br/>
      </w:r>
      <w:r>
        <w:rPr>
          <w:rFonts w:ascii="Consolas" w:hAnsi="Consolas"/>
          <w:sz w:val="16"/>
        </w:rPr>
        <w:t>. test DxVolTC DxDolar         -&gt;  F(2,74) =  2.00   Prob &gt; F = 0.1422   (Wald de pendientes)</w:t>
        <w:br/>
      </w:r>
      <w:r>
        <w:rPr>
          <w:rFonts w:ascii="Consolas" w:hAnsi="Consolas"/>
          <w:sz w:val="16"/>
        </w:rPr>
        <w:t>. test D2011 DxVolTC DxDolar   -&gt;  F(3,74) = 26.00   Prob &gt; F = 0.0000   (Chow completo)</w:t>
      </w:r>
    </w:p>
    <w:p>
      <w:r>
        <w:rPr>
          <w:rFonts w:ascii="Arial" w:hAnsi="Arial"/>
          <w:i w:val="0"/>
          <w:sz w:val="20"/>
        </w:rPr>
        <w:t>Lectura. El régimen se asocia a un salto de nivel de la prima grande y preciso (β4 = +3,89 pp; p &lt; 0,001) y el Chow rechaza la estabilidad del modelo (F = 26,00). En cambio, la prueba de Wald conjunta sobre las interacciones no rechaza la estabilidad de las pendientes (F = 2,00; p = 0,142): no hay evidencia de recomposición interna de la prima. La recomposición ocurre entre primas (nivel), no dentro de la prima.</w:t>
      </w:r>
    </w:p>
    <w:p>
      <w:pPr>
        <w:pStyle w:val="Heading2"/>
      </w:pPr>
      <w:r>
        <w:t>Apéndice G. Diagnósticos del modelo (Breusch-Godfrey, White, Ramsey RESET, normalidad, VIF)</w:t>
      </w:r>
    </w:p>
    <w:p>
      <w:pPr>
        <w:spacing w:after="0" w:before="0" w:line="240" w:lineRule="auto"/>
      </w:pPr>
      <w:r>
        <w:rPr>
          <w:rFonts w:ascii="Consolas" w:hAnsi="Consolas"/>
          <w:sz w:val="16"/>
        </w:rPr>
        <w:t>OLS paralelo: regress rp VolTC_c dolar_c D2011 DxVolTC DxDolar   (n=80, R2=0.533)</w:t>
        <w:br/>
      </w:r>
      <w:r>
        <w:rPr>
          <w:rFonts w:ascii="Consolas" w:hAnsi="Consolas"/>
          <w:sz w:val="16"/>
        </w:rPr>
        <w:br/>
      </w:r>
      <w:r>
        <w:rPr>
          <w:rFonts w:ascii="Consolas" w:hAnsi="Consolas"/>
          <w:sz w:val="16"/>
        </w:rPr>
        <w:t>. estat bgodfrey, lags(1 2 3 4)     Breusch-Godfrey LM (H0: sin autocorrelacion)</w:t>
        <w:br/>
      </w:r>
      <w:r>
        <w:rPr>
          <w:rFonts w:ascii="Consolas" w:hAnsi="Consolas"/>
          <w:sz w:val="16"/>
        </w:rPr>
        <w:t xml:space="preserve">     lag 1: chi2=0.414  p=0.5197 | lag 2: 0.538 p=0.7642</w:t>
        <w:br/>
      </w:r>
      <w:r>
        <w:rPr>
          <w:rFonts w:ascii="Consolas" w:hAnsi="Consolas"/>
          <w:sz w:val="16"/>
        </w:rPr>
        <w:t xml:space="preserve">     lag 3: chi2=11.091 p=0.0112 | lag 4: 23.079 p=0.0001</w:t>
        <w:br/>
      </w:r>
      <w:r>
        <w:rPr>
          <w:rFonts w:ascii="Consolas" w:hAnsi="Consolas"/>
          <w:sz w:val="16"/>
        </w:rPr>
        <w:t>. estat imtest, white               White  chi2(11)=40.13  Prob&gt;chi2=0.0000  (heterocedasticidad)</w:t>
        <w:br/>
      </w:r>
      <w:r>
        <w:rPr>
          <w:rFonts w:ascii="Consolas" w:hAnsi="Consolas"/>
          <w:sz w:val="16"/>
        </w:rPr>
        <w:t>. estat ovtest                      Ramsey RESET  F(3,71)=1.31  Prob&gt;F=0.2774 (forma funcional OK)</w:t>
        <w:br/>
      </w:r>
      <w:r>
        <w:rPr>
          <w:rFonts w:ascii="Consolas" w:hAnsi="Consolas"/>
          <w:sz w:val="16"/>
        </w:rPr>
        <w:t>. sktest (residuos)                 Skew/Kurt  Adj chi2(2)=4.36  Prob&gt;chi2=0.1128 (normalidad no rechazada)</w:t>
        <w:br/>
      </w:r>
      <w:r>
        <w:rPr>
          <w:rFonts w:ascii="Consolas" w:hAnsi="Consolas"/>
          <w:sz w:val="16"/>
        </w:rPr>
        <w:t>. vif                               VIF: DxDolar 2.89 | dolar_c 2.65 | DxVolTC 2.27 | VolTC_c 1.88 | D2011 1.16  (media 2.17)</w:t>
      </w:r>
    </w:p>
    <w:p>
      <w:r>
        <w:rPr>
          <w:rFonts w:ascii="Arial" w:hAnsi="Arial"/>
          <w:i w:val="0"/>
          <w:sz w:val="20"/>
        </w:rPr>
        <w:t>Lectura. Se detecta autocorrelación (rezagos altos) y heterocedasticidad, lo que justifica el uso de errores HAC en todas las especificaciones. La forma funcional (RESET) es adecuada y la normalidad de los residuos no se rechaza. Con variables centradas, la multicolinealidad es baja (VIF máximo 2,89).</w:t>
      </w:r>
    </w:p>
    <w:p>
      <w:pPr>
        <w:pStyle w:val="Heading2"/>
      </w:pPr>
      <w:r>
        <w:t>Apéndice H. Prueba de cointegración de Engle-Granger sobre los residuos</w:t>
      </w:r>
    </w:p>
    <w:p>
      <w:r>
        <w:rPr>
          <w:rFonts w:ascii="Arial" w:hAnsi="Arial"/>
          <w:i w:val="0"/>
          <w:sz w:val="20"/>
        </w:rPr>
        <w:t>Dado el carácter aproximadamente integrado de las explicativas, se verifica que los residuos del modelo sean estacionarios (ADF con 3 rezagos): si lo son, las series cointegran y la relación no es espuria.</w:t>
      </w:r>
    </w:p>
    <w:p>
      <w:pPr>
        <w:spacing w:after="0" w:before="0" w:line="240" w:lineRule="auto"/>
      </w:pPr>
      <w:r>
        <w:rPr>
          <w:rFonts w:ascii="Consolas" w:hAnsi="Consolas"/>
          <w:sz w:val="16"/>
        </w:rPr>
        <w:t>. predict __r, resid</w:t>
        <w:br/>
      </w:r>
      <w:r>
        <w:rPr>
          <w:rFonts w:ascii="Consolas" w:hAnsi="Consolas"/>
          <w:sz w:val="16"/>
        </w:rPr>
        <w:t>. dfuller __r, lags(3)</w:t>
        <w:br/>
      </w:r>
      <w:r>
        <w:rPr>
          <w:rFonts w:ascii="Consolas" w:hAnsi="Consolas"/>
          <w:sz w:val="16"/>
        </w:rPr>
        <w:t xml:space="preserve"> Z(t) = -5.000     1%: -3.544   5%: -2.909   10%: -2.590     (obs=76)</w:t>
        <w:br/>
      </w:r>
      <w:r>
        <w:rPr>
          <w:rFonts w:ascii="Consolas" w:hAnsi="Consolas"/>
          <w:sz w:val="16"/>
        </w:rPr>
        <w:t xml:space="preserve"> MacKinnon approximate p-value for Z(t) = 0.0000</w:t>
      </w:r>
    </w:p>
    <w:p>
      <w:r>
        <w:rPr>
          <w:rFonts w:ascii="Arial" w:hAnsi="Arial"/>
          <w:i w:val="0"/>
          <w:sz w:val="20"/>
        </w:rPr>
        <w:t>Lectura. El ADF rechaza la raíz unitaria de los residuos muy por debajo del valor crítico de Engle-Granger (−5,00): las series cointegran y la relación estimada no es espuria.</w:t>
      </w:r>
    </w:p>
    <w:p>
      <w:pPr>
        <w:pStyle w:val="Heading2"/>
      </w:pPr>
      <w:r>
        <w:t>Apéndice I. Composición interna de la prima (Shapley/LMG) y dominancia estandarizada</w:t>
      </w:r>
    </w:p>
    <w:p>
      <w:pPr>
        <w:spacing w:after="0" w:before="0" w:line="240" w:lineRule="auto"/>
      </w:pPr>
      <w:r>
        <w:rPr>
          <w:rFonts w:ascii="Consolas" w:hAnsi="Consolas"/>
          <w:sz w:val="16"/>
        </w:rPr>
        <w:t>Reparto del R2 de rp entre riesgo cambiario (VolTC) e iliquidez (dolarizacion):</w:t>
        <w:br/>
      </w:r>
      <w:r>
        <w:rPr>
          <w:rFonts w:ascii="Consolas" w:hAnsi="Consolas"/>
          <w:sz w:val="16"/>
        </w:rPr>
        <w:t xml:space="preserve">   Pre-2011:T2 : R2=0.129   %VolTC=65.6%   %Iliq=34.4%</w:t>
        <w:br/>
      </w:r>
      <w:r>
        <w:rPr>
          <w:rFonts w:ascii="Consolas" w:hAnsi="Consolas"/>
          <w:sz w:val="16"/>
        </w:rPr>
        <w:t xml:space="preserve">   Post-2011:T2: R2=0.026   %VolTC=11.2%   %Iliq=88.8%   (R2 muy bajo -&gt; descriptivo)</w:t>
        <w:br/>
      </w:r>
      <w:r>
        <w:rPr>
          <w:rFonts w:ascii="Consolas" w:hAnsi="Consolas"/>
          <w:sz w:val="16"/>
        </w:rPr>
        <w:br/>
      </w:r>
      <w:r>
        <w:rPr>
          <w:rFonts w:ascii="Consolas" w:hAnsi="Consolas"/>
          <w:sz w:val="16"/>
        </w:rPr>
        <w:t>Dominancia estandarizada post-2011:T2 (efecto en desvios estandar):</w:t>
        <w:br/>
      </w:r>
      <w:r>
        <w:rPr>
          <w:rFonts w:ascii="Consolas" w:hAnsi="Consolas"/>
          <w:sz w:val="16"/>
        </w:rPr>
        <w:t>. lincom zV + DzV   (riesgo cambiario) = -0.152   (p=0.744)</w:t>
        <w:br/>
      </w:r>
      <w:r>
        <w:rPr>
          <w:rFonts w:ascii="Consolas" w:hAnsi="Consolas"/>
          <w:sz w:val="16"/>
        </w:rPr>
        <w:t>. lincom zI + DzI   (iliquidez)        = -0.317   (p=0.437)</w:t>
        <w:br/>
      </w:r>
      <w:r>
        <w:rPr>
          <w:rFonts w:ascii="Consolas" w:hAnsi="Consolas"/>
          <w:sz w:val="16"/>
        </w:rPr>
        <w:t>. lincom (zI+DzI)-(zV+DzV) (diferencia)= -0.164   (t=-0.45; p=0.657)</w:t>
      </w:r>
    </w:p>
    <w:p>
      <w:r>
        <w:rPr>
          <w:rFonts w:ascii="Arial" w:hAnsi="Arial"/>
          <w:i w:val="0"/>
          <w:sz w:val="20"/>
        </w:rPr>
        <w:t>Lectura. Las incidencias estandarizadas de ambos determinantes son estadísticamente indistinguibles post-2011 (p = 0,657): no hay una migración de dominancia hacia la iliquidez.</w:t>
      </w:r>
    </w:p>
    <w:p>
      <w:pPr>
        <w:pStyle w:val="Heading2"/>
      </w:pPr>
      <w:r>
        <w:t>Apéndice J. Diferencia de medias del diferencial de retorno DR entre subperíodos</w:t>
      </w:r>
    </w:p>
    <w:p>
      <w:pPr>
        <w:spacing w:after="0" w:before="0" w:line="240" w:lineRule="auto"/>
      </w:pPr>
      <w:r>
        <w:rPr>
          <w:rFonts w:ascii="Consolas" w:hAnsi="Consolas"/>
          <w:sz w:val="16"/>
        </w:rPr>
        <w:t>. newey DR D2011, lag(4)</w:t>
        <w:br/>
      </w:r>
      <w:r>
        <w:rPr>
          <w:rFonts w:ascii="Consolas" w:hAnsi="Consolas"/>
          <w:sz w:val="16"/>
        </w:rPr>
        <w:t xml:space="preserve">       D2011 |  -2.412...   ...       ...   0.034     -&gt;  caida de 2,41 pp (p=0.034)</w:t>
      </w:r>
    </w:p>
    <w:p>
      <w:r>
        <w:rPr>
          <w:rFonts w:ascii="Arial" w:hAnsi="Arial"/>
          <w:i w:val="0"/>
          <w:sz w:val="20"/>
        </w:rPr>
        <w:t>Lectura. El diferencial de retorno DR cae 2,41 pp entre subperíodos (p = 0,034). La prueba solo detecta el cambio de nivel; la recomposición de determinantes se aborda en el modelo del Apéndice F.</w:t>
      </w:r>
    </w:p>
    <w:p>
      <w:pPr>
        <w:pStyle w:val="Heading2"/>
      </w:pPr>
      <w:r>
        <w:t>Apéndice K. Robustez — corte institucional alternativo 2011:T1</w:t>
      </w:r>
    </w:p>
    <w:p>
      <w:pPr>
        <w:spacing w:after="0" w:before="0" w:line="240" w:lineRule="auto"/>
      </w:pPr>
      <w:r>
        <w:rPr>
          <w:rFonts w:ascii="Consolas" w:hAnsi="Consolas"/>
          <w:sz w:val="16"/>
        </w:rPr>
        <w:t>. newey rp VolTC_c1 dolar_c1 D2011_T1 DxV_T1 DxD_T1, lag(4)      [n=80]</w:t>
        <w:br/>
      </w:r>
      <w:r>
        <w:rPr>
          <w:rFonts w:ascii="Consolas" w:hAnsi="Consolas"/>
          <w:sz w:val="16"/>
        </w:rPr>
        <w:t xml:space="preserve">    D2011_T1 |   3.713726   0.556188   6.68   0.000</w:t>
        <w:br/>
      </w:r>
      <w:r>
        <w:rPr>
          <w:rFonts w:ascii="Consolas" w:hAnsi="Consolas"/>
          <w:sz w:val="16"/>
        </w:rPr>
        <w:t xml:space="preserve">      DxV_T1 |  -0.189062   0.278674  -0.68   0.500</w:t>
        <w:br/>
      </w:r>
      <w:r>
        <w:rPr>
          <w:rFonts w:ascii="Consolas" w:hAnsi="Consolas"/>
          <w:sz w:val="16"/>
        </w:rPr>
        <w:t xml:space="preserve">      DxD_T1 |  -0.130842   0.172230  -0.76   0.450</w:t>
        <w:br/>
      </w:r>
      <w:r>
        <w:rPr>
          <w:rFonts w:ascii="Consolas" w:hAnsi="Consolas"/>
          <w:sz w:val="16"/>
        </w:rPr>
        <w:t>. test DxV_T1 DxD_T1   -&gt;  F(2,74) = 0.33   Prob &gt; F = 0.7169</w:t>
      </w:r>
    </w:p>
    <w:p>
      <w:r>
        <w:rPr>
          <w:rFonts w:ascii="Arial" w:hAnsi="Arial"/>
          <w:i w:val="0"/>
          <w:sz w:val="20"/>
        </w:rPr>
        <w:t>Con el corte alternativo 2011:T1 el salto de nivel es similar (+3,71 pp; p &lt; 0,001) y las pendientes son igualmente estables (p = 0,717). La conclusión no depende del trimestre exacto.</w:t>
      </w:r>
    </w:p>
    <w:p>
      <w:pPr>
        <w:pStyle w:val="Heading2"/>
      </w:pPr>
      <w:r>
        <w:t>Apéndice L. Robustez — control por la crisis financiera global 2008–2009</w:t>
      </w:r>
    </w:p>
    <w:p>
      <w:pPr>
        <w:spacing w:after="0" w:before="0" w:line="240" w:lineRule="auto"/>
      </w:pPr>
      <w:r>
        <w:rPr>
          <w:rFonts w:ascii="Consolas" w:hAnsi="Consolas"/>
          <w:sz w:val="16"/>
        </w:rPr>
        <w:t>. newey rp VolTC_c dolar_c D2011 DxVolTC DxDolar crisis, lag(4)   [n=80]</w:t>
        <w:br/>
      </w:r>
      <w:r>
        <w:rPr>
          <w:rFonts w:ascii="Consolas" w:hAnsi="Consolas"/>
          <w:sz w:val="16"/>
        </w:rPr>
        <w:t xml:space="preserve">       D2011 |   3.582942   0.545454   6.57   0.000</w:t>
        <w:br/>
      </w:r>
      <w:r>
        <w:rPr>
          <w:rFonts w:ascii="Consolas" w:hAnsi="Consolas"/>
          <w:sz w:val="16"/>
        </w:rPr>
        <w:t xml:space="preserve">      crisis |  -1.992846   0.812378  -2.45   0.017</w:t>
      </w:r>
    </w:p>
    <w:p>
      <w:r>
        <w:rPr>
          <w:rFonts w:ascii="Arial" w:hAnsi="Arial"/>
          <w:i w:val="0"/>
          <w:sz w:val="20"/>
        </w:rPr>
        <w:t>El salto de la prima en 2011 se mantiene (+3,58 pp; p &lt; 0,001) al controlar por la crisis: el efecto del cambio de régimen es distinto del shock de la crisis.</w:t>
      </w:r>
    </w:p>
    <w:p>
      <w:pPr>
        <w:pStyle w:val="Heading2"/>
      </w:pPr>
      <w:r>
        <w:t>Apéndice M. Robustez — tasas de fin de trimestre</w:t>
      </w:r>
    </w:p>
    <w:p>
      <w:pPr>
        <w:spacing w:after="0" w:before="0" w:line="240" w:lineRule="auto"/>
      </w:pPr>
      <w:r>
        <w:rPr>
          <w:rFonts w:ascii="Consolas" w:hAnsi="Consolas"/>
          <w:sz w:val="16"/>
        </w:rPr>
        <w:t>. newey rp_fdt VolTC_cf dolar_cf D2011 DxVf DxDf, lag(4)          [n=80]</w:t>
        <w:br/>
      </w:r>
      <w:r>
        <w:rPr>
          <w:rFonts w:ascii="Consolas" w:hAnsi="Consolas"/>
          <w:sz w:val="16"/>
        </w:rPr>
        <w:t xml:space="preserve">       D2011 |   4.022753   0.539427   7.46   0.000</w:t>
        <w:br/>
      </w:r>
      <w:r>
        <w:rPr>
          <w:rFonts w:ascii="Consolas" w:hAnsi="Consolas"/>
          <w:sz w:val="16"/>
        </w:rPr>
        <w:t>. test DxVf DxDf   -&gt;  F(2,74) = 0.75   Prob &gt; F = 0.4768</w:t>
      </w:r>
    </w:p>
    <w:p>
      <w:r>
        <w:rPr>
          <w:rFonts w:ascii="Arial" w:hAnsi="Arial"/>
          <w:i w:val="0"/>
          <w:sz w:val="20"/>
        </w:rPr>
        <w:t>Con las tasas del último mes de cada trimestre, el salto de nivel persiste (+4,02 pp) y las pendientes siguen estables (p = 0,477).</w:t>
      </w:r>
    </w:p>
    <w:p>
      <w:pPr>
        <w:pStyle w:val="Heading2"/>
      </w:pPr>
      <w:r>
        <w:t>Apéndice N. Robustez — sensibilidad al ancho de banda HAC (rezagos 3, 5 y 6)</w:t>
      </w:r>
    </w:p>
    <w:p>
      <w:pPr>
        <w:spacing w:after="0" w:before="0" w:line="240" w:lineRule="auto"/>
      </w:pPr>
      <w:r>
        <w:rPr>
          <w:rFonts w:ascii="Consolas" w:hAnsi="Consolas"/>
          <w:sz w:val="16"/>
        </w:rPr>
        <w:t>Wald conjunto de pendientes (test DxVolTC DxDolar) y Chow, por rezago:</w:t>
        <w:br/>
      </w:r>
      <w:r>
        <w:rPr>
          <w:rFonts w:ascii="Consolas" w:hAnsi="Consolas"/>
          <w:sz w:val="16"/>
        </w:rPr>
        <w:t xml:space="preserve">   lag 3:  Wald F=2.01  p=0.1417   |  Chow fuerte (p&lt;0.001)</w:t>
        <w:br/>
      </w:r>
      <w:r>
        <w:rPr>
          <w:rFonts w:ascii="Consolas" w:hAnsi="Consolas"/>
          <w:sz w:val="16"/>
        </w:rPr>
        <w:t xml:space="preserve">   lag 5:  Wald F=1.99  p=0.1440   |  Chow fuerte (p&lt;0.001)</w:t>
        <w:br/>
      </w:r>
      <w:r>
        <w:rPr>
          <w:rFonts w:ascii="Consolas" w:hAnsi="Consolas"/>
          <w:sz w:val="16"/>
        </w:rPr>
        <w:t xml:space="preserve">   lag 6:  Wald F=2.07  p=0.1329   |  Chow fuerte (p&lt;0.001)</w:t>
      </w:r>
    </w:p>
    <w:p>
      <w:r>
        <w:rPr>
          <w:rFonts w:ascii="Arial" w:hAnsi="Arial"/>
          <w:i w:val="0"/>
          <w:sz w:val="20"/>
        </w:rPr>
        <w:t>Las conclusiones (nivel significativo; pendientes estables) no dependen del ancho de banda del estimador HAC.</w:t>
      </w:r>
    </w:p>
    <w:p>
      <w:pPr>
        <w:pStyle w:val="Heading2"/>
      </w:pPr>
      <w:r>
        <w:t>Apéndice O. Robustez — régimen gradual y dolarización rezagada</w:t>
      </w:r>
    </w:p>
    <w:p>
      <w:pPr>
        <w:spacing w:after="0" w:before="0" w:line="240" w:lineRule="auto"/>
      </w:pPr>
      <w:r>
        <w:rPr>
          <w:rFonts w:ascii="Consolas" w:hAnsi="Consolas"/>
          <w:sz w:val="16"/>
        </w:rPr>
        <w:t>(vi) Regimen gradual (rampa lineal 2011:T2-2016; 1 desde 2017):</w:t>
        <w:br/>
      </w:r>
      <w:r>
        <w:rPr>
          <w:rFonts w:ascii="Consolas" w:hAnsi="Consolas"/>
          <w:sz w:val="16"/>
        </w:rPr>
        <w:t>. newey rp VolTC_c dolar_c Reg RxV RxD, lag(4)</w:t>
        <w:br/>
      </w:r>
      <w:r>
        <w:rPr>
          <w:rFonts w:ascii="Consolas" w:hAnsi="Consolas"/>
          <w:sz w:val="16"/>
        </w:rPr>
        <w:t>. test RxV RxD   -&gt;  F(2,74) = 1.85   Prob &gt; F = 0.164   ;  RxD = -0.468 (p=0.060)</w:t>
        <w:br/>
      </w:r>
      <w:r>
        <w:rPr>
          <w:rFonts w:ascii="Consolas" w:hAnsi="Consolas"/>
          <w:sz w:val="16"/>
        </w:rPr>
        <w:br/>
      </w:r>
      <w:r>
        <w:rPr>
          <w:rFonts w:ascii="Consolas" w:hAnsi="Consolas"/>
          <w:sz w:val="16"/>
        </w:rPr>
        <w:t>(vii) Dolarizacion rezagada un trimestre (mitiga simultaneidad):</w:t>
        <w:br/>
      </w:r>
      <w:r>
        <w:rPr>
          <w:rFonts w:ascii="Consolas" w:hAnsi="Consolas"/>
          <w:sz w:val="16"/>
        </w:rPr>
        <w:t>. newey rp VolTC_c Ldolar_c D2011 DxVolTC DxLD, lag(4)</w:t>
        <w:br/>
      </w:r>
      <w:r>
        <w:rPr>
          <w:rFonts w:ascii="Consolas" w:hAnsi="Consolas"/>
          <w:sz w:val="16"/>
        </w:rPr>
        <w:t>. test DxVolTC DxLD   -&gt;  F(2,74) = 2.34   Prob &gt; F = 0.103</w:t>
      </w:r>
    </w:p>
    <w:p>
      <w:r>
        <w:rPr>
          <w:rFonts w:ascii="Arial" w:hAnsi="Arial"/>
          <w:i w:val="0"/>
          <w:sz w:val="20"/>
        </w:rPr>
        <w:t>Ni el régimen gradual (p = 0,164) ni la dolarización rezagada (p = 0,103) alteran la conclusión conjunta de estabilidad de pendientes.</w:t>
      </w:r>
    </w:p>
    <w:p>
      <w:pPr>
        <w:pStyle w:val="Heading2"/>
      </w:pPr>
      <w:r>
        <w:t>Apéndice P. Sensibilidad — serie de promedio ponderado de plazos</w:t>
      </w:r>
    </w:p>
    <w:p>
      <w:pPr>
        <w:spacing w:after="0" w:before="0" w:line="240" w:lineRule="auto"/>
      </w:pPr>
      <w:r>
        <w:rPr>
          <w:rFonts w:ascii="Consolas" w:hAnsi="Consolas"/>
          <w:sz w:val="16"/>
        </w:rPr>
        <w:t>. newey rp_pond VolTC_cp dolar_cp D2011 DxVp DxDp, lag(4)         [n=79]</w:t>
        <w:br/>
      </w:r>
      <w:r>
        <w:rPr>
          <w:rFonts w:ascii="Consolas" w:hAnsi="Consolas"/>
          <w:sz w:val="16"/>
        </w:rPr>
        <w:t xml:space="preserve">       D2011 |   1.759895   0.419927   4.19   0.000</w:t>
        <w:br/>
      </w:r>
      <w:r>
        <w:rPr>
          <w:rFonts w:ascii="Consolas" w:hAnsi="Consolas"/>
          <w:sz w:val="16"/>
        </w:rPr>
        <w:t xml:space="preserve">        DxDp |  -0.464174   0.111033  -4.18   0.000</w:t>
        <w:br/>
      </w:r>
      <w:r>
        <w:rPr>
          <w:rFonts w:ascii="Consolas" w:hAnsi="Consolas"/>
          <w:sz w:val="16"/>
        </w:rPr>
        <w:t>. test DxVp DxDp        -&gt;  F(2,73) = 9.59   Prob &gt; F = 0.0002</w:t>
        <w:br/>
      </w:r>
      <w:r>
        <w:rPr>
          <w:rFonts w:ascii="Consolas" w:hAnsi="Consolas"/>
          <w:sz w:val="16"/>
        </w:rPr>
        <w:t>. newey rp_pond D2011, lag(4)   -&gt;  D2011 = 1.987 (p=0.012)   [salto de nivel]</w:t>
      </w:r>
    </w:p>
    <w:p>
      <w:r>
        <w:rPr>
          <w:rFonts w:ascii="Arial" w:hAnsi="Arial"/>
          <w:i w:val="0"/>
          <w:sz w:val="20"/>
        </w:rPr>
        <w:t>Con la serie alternativa de promedio ponderado (empalma dos publicaciones del BCP y está expuesta al sesgo de composición por plazos), el salto de nivel se mantiene (+1,99 pp; p = 0,012) pero las interacciones aparecen significativas (Wald F = 9,59; p &lt; 0,001). La evidencia de nivel es robusta a la definición de la serie; la de pendientes es sensible a ella, y esa sensibilidad se declara.</w:t>
      </w:r>
    </w:p>
    <w:p>
      <w:pPr>
        <w:pStyle w:val="Heading2"/>
      </w:pPr>
      <w:r>
        <w:t>Apéndice Q. Correlación entre la prima de riesgo y la dolarización, por subperíodo</w:t>
      </w:r>
    </w:p>
    <w:p>
      <w:pPr>
        <w:spacing w:after="0" w:before="0" w:line="240" w:lineRule="auto"/>
      </w:pPr>
      <w:r>
        <w:rPr>
          <w:rFonts w:ascii="Consolas" w:hAnsi="Consolas"/>
          <w:sz w:val="16"/>
        </w:rPr>
        <w:t>. corr rp dolar if D2011==0   -&gt;  +0.146   (n=25)</w:t>
        <w:br/>
      </w:r>
      <w:r>
        <w:rPr>
          <w:rFonts w:ascii="Consolas" w:hAnsi="Consolas"/>
          <w:sz w:val="16"/>
        </w:rPr>
        <w:t>. corr rp dolar if D2011==1   -&gt;  -0.149   (n=55)</w:t>
      </w:r>
    </w:p>
    <w:p>
      <w:r>
        <w:rPr>
          <w:rFonts w:ascii="Arial" w:hAnsi="Arial"/>
          <w:i w:val="0"/>
          <w:sz w:val="20"/>
        </w:rPr>
        <w:t>La correlación simple entre la prima de riesgo y la dolarización es baja y estadísticamente indistinguible entre subperíodos (prueba de Fisher: p ≈ 0,24).</w:t>
      </w:r>
    </w:p>
    <w:p>
      <w:r>
        <w:br w:type="page"/>
      </w:r>
    </w:p>
    <w:p>
      <w:pPr>
        <w:pStyle w:val="Heading2"/>
      </w:pPr>
      <w:r>
        <w:t>Apéndice R. Figura A1. Diferencial de retorno trimestral DR (guaraníes vs. dólares), 2004–2024.</w:t>
      </w:r>
    </w:p>
    <w:p>
      <w:pPr>
        <w:jc w:val="center"/>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Figura_8_1_DR.png"/>
                    <pic:cNvPicPr/>
                  </pic:nvPicPr>
                  <pic:blipFill>
                    <a:blip r:embed="rId9"/>
                    <a:stretch>
                      <a:fillRect/>
                    </a:stretch>
                  </pic:blipFill>
                  <pic:spPr>
                    <a:xfrm>
                      <a:off x="0" y="0"/>
                      <a:ext cx="5486400" cy="3991356"/>
                    </a:xfrm>
                    <a:prstGeom prst="rect"/>
                  </pic:spPr>
                </pic:pic>
              </a:graphicData>
            </a:graphic>
          </wp:inline>
        </w:drawing>
      </w:r>
    </w:p>
    <w:p>
      <w:r>
        <w:rPr>
          <w:rFonts w:ascii="Arial" w:hAnsi="Arial"/>
          <w:i/>
          <w:sz w:val="18"/>
        </w:rPr>
        <w:t>La línea roja marca la adopción de Metas de Inflación (2011:T2). Fuente: elaboración propia con datos del BCP.</w:t>
      </w:r>
    </w:p>
    <w:p>
      <w:pPr>
        <w:pStyle w:val="Heading2"/>
      </w:pPr>
      <w:r>
        <w:t>Apéndice S. Figura A2. Descomposición de Fisher: prima de inflación vs. prima de riesgo, antes y después de 2011:T2.</w:t>
      </w:r>
    </w:p>
    <w:p>
      <w:pPr>
        <w:jc w:val="center"/>
      </w:pPr>
      <w:r>
        <w:drawing>
          <wp:inline xmlns:a="http://schemas.openxmlformats.org/drawingml/2006/main" xmlns:pic="http://schemas.openxmlformats.org/drawingml/2006/picture">
            <wp:extent cx="5486400" cy="3991356"/>
            <wp:docPr id="2" name="Picture 2"/>
            <wp:cNvGraphicFramePr>
              <a:graphicFrameLocks noChangeAspect="1"/>
            </wp:cNvGraphicFramePr>
            <a:graphic>
              <a:graphicData uri="http://schemas.openxmlformats.org/drawingml/2006/picture">
                <pic:pic>
                  <pic:nvPicPr>
                    <pic:cNvPr id="0" name="Figura_8_2_Fisher.png"/>
                    <pic:cNvPicPr/>
                  </pic:nvPicPr>
                  <pic:blipFill>
                    <a:blip r:embed="rId10"/>
                    <a:stretch>
                      <a:fillRect/>
                    </a:stretch>
                  </pic:blipFill>
                  <pic:spPr>
                    <a:xfrm>
                      <a:off x="0" y="0"/>
                      <a:ext cx="5486400" cy="3991356"/>
                    </a:xfrm>
                    <a:prstGeom prst="rect"/>
                  </pic:spPr>
                </pic:pic>
              </a:graphicData>
            </a:graphic>
          </wp:inline>
        </w:drawing>
      </w:r>
    </w:p>
    <w:p>
      <w:r>
        <w:rPr>
          <w:rFonts w:ascii="Arial" w:hAnsi="Arial"/>
          <w:i/>
          <w:sz w:val="18"/>
        </w:rPr>
        <w:t>Fuente: elaboración propia con datos del BCP y FRED.</w:t>
      </w:r>
    </w:p>
    <w:p>
      <w:pPr>
        <w:pStyle w:val="Heading2"/>
      </w:pPr>
      <w:r>
        <w:t>Apéndice T. Figura A3. Composición de la prima de riesgo entre riesgo cambiario e iliquidez (ventana móvil de 20 trimestres).</w:t>
      </w:r>
    </w:p>
    <w:p>
      <w:pPr>
        <w:jc w:val="center"/>
      </w:pPr>
      <w:r>
        <w:drawing>
          <wp:inline xmlns:a="http://schemas.openxmlformats.org/drawingml/2006/main" xmlns:pic="http://schemas.openxmlformats.org/drawingml/2006/picture">
            <wp:extent cx="5486400" cy="3991356"/>
            <wp:docPr id="3" name="Picture 3"/>
            <wp:cNvGraphicFramePr>
              <a:graphicFrameLocks noChangeAspect="1"/>
            </wp:cNvGraphicFramePr>
            <a:graphic>
              <a:graphicData uri="http://schemas.openxmlformats.org/drawingml/2006/picture">
                <pic:pic>
                  <pic:nvPicPr>
                    <pic:cNvPr id="0" name="Figura_8_3_Composicion.png"/>
                    <pic:cNvPicPr/>
                  </pic:nvPicPr>
                  <pic:blipFill>
                    <a:blip r:embed="rId11"/>
                    <a:stretch>
                      <a:fillRect/>
                    </a:stretch>
                  </pic:blipFill>
                  <pic:spPr>
                    <a:xfrm>
                      <a:off x="0" y="0"/>
                      <a:ext cx="5486400" cy="3991356"/>
                    </a:xfrm>
                    <a:prstGeom prst="rect"/>
                  </pic:spPr>
                </pic:pic>
              </a:graphicData>
            </a:graphic>
          </wp:inline>
        </w:drawing>
      </w:r>
    </w:p>
    <w:p>
      <w:r>
        <w:rPr>
          <w:rFonts w:ascii="Arial" w:hAnsi="Arial"/>
          <w:i/>
          <w:sz w:val="18"/>
        </w:rPr>
        <w:t>Fuente: elaboración propia.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