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C59" w:rsidRPr="00ED7EEC" w:rsidRDefault="00C07C59" w:rsidP="00C07C59">
      <w:pPr>
        <w:rPr>
          <w:rFonts w:ascii="Times New Roman" w:hAnsi="Times New Roman" w:cs="Times New Roman"/>
          <w:b/>
        </w:rPr>
      </w:pPr>
      <w:r w:rsidRPr="00ED7EEC">
        <w:rPr>
          <w:rFonts w:ascii="Times New Roman" w:hAnsi="Times New Roman" w:cs="Times New Roman"/>
          <w:b/>
        </w:rPr>
        <w:t>Dimension Reduction</w:t>
      </w:r>
    </w:p>
    <w:p w:rsidR="00C07C59" w:rsidRPr="00ED7EEC" w:rsidRDefault="00C07C59" w:rsidP="00C07C59">
      <w:pPr>
        <w:rPr>
          <w:rFonts w:ascii="Times New Roman" w:hAnsi="Times New Roman" w:cs="Times New Roman"/>
        </w:rPr>
      </w:pPr>
      <w:r w:rsidRPr="00ED7EEC">
        <w:rPr>
          <w:rFonts w:ascii="Times New Roman" w:hAnsi="Times New Roman" w:cs="Times New Roman" w:hint="eastAsia"/>
        </w:rPr>
        <w:t>Multiple Correspondence Analysis</w:t>
      </w:r>
      <w:r w:rsidRPr="00ED7EEC">
        <w:rPr>
          <w:rFonts w:ascii="Times New Roman" w:hAnsi="Times New Roman" w:cs="Times New Roman"/>
        </w:rPr>
        <w:t xml:space="preserve"> </w:t>
      </w:r>
      <w:r w:rsidRPr="00ED7EEC">
        <w:rPr>
          <w:rFonts w:ascii="Times New Roman" w:hAnsi="Times New Roman" w:cs="Times New Roman" w:hint="eastAsia"/>
        </w:rPr>
        <w:t>(</w:t>
      </w:r>
      <w:r w:rsidRPr="00ED7EEC">
        <w:rPr>
          <w:rFonts w:ascii="Times New Roman" w:hAnsi="Times New Roman" w:cs="Times New Roman"/>
        </w:rPr>
        <w:t>MCA</w:t>
      </w:r>
      <w:r w:rsidRPr="00ED7EEC">
        <w:rPr>
          <w:rFonts w:ascii="Times New Roman" w:hAnsi="Times New Roman" w:cs="Times New Roman" w:hint="eastAsia"/>
        </w:rPr>
        <w:t>)</w:t>
      </w:r>
      <w:r w:rsidRPr="00ED7EEC">
        <w:rPr>
          <w:rFonts w:ascii="Times New Roman" w:hAnsi="Times New Roman" w:cs="Times New Roman"/>
        </w:rPr>
        <w:t xml:space="preserve"> </w:t>
      </w:r>
      <w:r w:rsidR="002C4029">
        <w:rPr>
          <w:rFonts w:ascii="Times New Roman" w:hAnsi="Times New Roman" w:cs="Times New Roman"/>
        </w:rPr>
        <w:t>[9</w:t>
      </w:r>
      <w:r w:rsidR="00961D49" w:rsidRPr="00ED7EEC">
        <w:rPr>
          <w:rFonts w:ascii="Times New Roman" w:hAnsi="Times New Roman" w:cs="Times New Roman"/>
        </w:rPr>
        <w:t xml:space="preserve">] </w:t>
      </w:r>
      <w:r w:rsidRPr="00ED7EEC">
        <w:rPr>
          <w:rFonts w:ascii="Times New Roman" w:hAnsi="Times New Roman" w:cs="Times New Roman"/>
        </w:rPr>
        <w:t xml:space="preserve">method, which is a generalization of Principal Component Analysis (PCA), has been applied to reduce dimensions before clustering. </w:t>
      </w:r>
      <w:r w:rsidR="00ED7EEC">
        <w:rPr>
          <w:rFonts w:ascii="Times New Roman" w:hAnsi="Times New Roman" w:cs="Times New Roman"/>
        </w:rPr>
        <w:t xml:space="preserve">We use an R implementation of MCA </w:t>
      </w:r>
      <w:r w:rsidR="003B2280">
        <w:rPr>
          <w:rFonts w:ascii="Times New Roman" w:hAnsi="Times New Roman" w:cs="Times New Roman"/>
        </w:rPr>
        <w:t xml:space="preserve">in the package: </w:t>
      </w:r>
      <w:proofErr w:type="spellStart"/>
      <w:r w:rsidR="003B2280">
        <w:rPr>
          <w:rFonts w:ascii="Times New Roman" w:hAnsi="Times New Roman" w:cs="Times New Roman"/>
        </w:rPr>
        <w:t>FactoMineR</w:t>
      </w:r>
      <w:proofErr w:type="spellEnd"/>
      <w:r w:rsidR="003B2280">
        <w:rPr>
          <w:rFonts w:ascii="Times New Roman" w:hAnsi="Times New Roman" w:cs="Times New Roman"/>
        </w:rPr>
        <w:t xml:space="preserve"> [10</w:t>
      </w:r>
      <w:r w:rsidR="00ED7EEC">
        <w:rPr>
          <w:rFonts w:ascii="Times New Roman" w:hAnsi="Times New Roman" w:cs="Times New Roman"/>
        </w:rPr>
        <w:t xml:space="preserve">] to do our experiments. </w:t>
      </w:r>
      <w:r w:rsidRPr="00ED7EEC">
        <w:rPr>
          <w:rFonts w:ascii="Times New Roman" w:hAnsi="Times New Roman" w:cs="Times New Roman"/>
        </w:rPr>
        <w:t>After preprocessing steps, we get an indicator matrix with each row representing a patient and each column as a SNP. Every element in the indicator matrix is either ‘y’ or ‘n’ standing for having this SNP and not having it representatively. Applying MCA to the indicator matrix with a given reduction dimension, e.g. 100 in our experiment, will gives us a new matrix with only 100 columns and every element in the new matrix has been converted to continuous value instead of categorical value. In the new matrix, every column as a dimension can be interpreted as a combination of original columns in the indicator matrix, i.e. SNPs and we can get the variance of each dimension and which SNPs contribute most to this dimension after computation. Thus, by checking the result of MCA, we may tell which groups of SNPs play significant roles in the determination of different subtypes of PD.</w:t>
      </w:r>
    </w:p>
    <w:p w:rsidR="00C07C59" w:rsidRPr="00C07C59" w:rsidRDefault="00C07C59">
      <w:pPr>
        <w:rPr>
          <w:rFonts w:ascii="Times New Roman" w:hAnsi="Times New Roman" w:cs="Times New Roman"/>
          <w:b/>
        </w:rPr>
      </w:pPr>
      <w:r w:rsidRPr="00C07C59">
        <w:rPr>
          <w:rFonts w:ascii="Times New Roman" w:hAnsi="Times New Roman" w:cs="Times New Roman" w:hint="eastAsia"/>
          <w:b/>
        </w:rPr>
        <w:t>Dimension</w:t>
      </w:r>
      <w:r w:rsidRPr="00C07C59">
        <w:rPr>
          <w:rFonts w:ascii="Times New Roman" w:hAnsi="Times New Roman" w:cs="Times New Roman"/>
          <w:b/>
        </w:rPr>
        <w:t xml:space="preserve"> Reduction – Result</w:t>
      </w:r>
    </w:p>
    <w:p w:rsidR="00C07C59" w:rsidRDefault="000227F8">
      <w:pPr>
        <w:rPr>
          <w:rFonts w:ascii="Times New Roman" w:hAnsi="Times New Roman" w:cs="Times New Roman"/>
        </w:rPr>
      </w:pPr>
      <w:r>
        <w:rPr>
          <w:rFonts w:ascii="Times New Roman" w:hAnsi="Times New Roman" w:cs="Times New Roman" w:hint="eastAsia"/>
        </w:rPr>
        <w:t xml:space="preserve">The </w:t>
      </w:r>
      <w:r>
        <w:rPr>
          <w:rFonts w:ascii="Times New Roman" w:hAnsi="Times New Roman" w:cs="Times New Roman"/>
        </w:rPr>
        <w:t>percentages of variance of the first 50 dimensions in the new matrix (MCA processed matrix) are plotted below:</w:t>
      </w:r>
    </w:p>
    <w:p w:rsidR="000227F8" w:rsidRDefault="00BD0980" w:rsidP="000227F8">
      <w:pPr>
        <w:jc w:val="center"/>
        <w:rPr>
          <w:rFonts w:ascii="Times New Roman" w:hAnsi="Times New Roman" w:cs="Times New Roman"/>
        </w:rPr>
      </w:pPr>
      <w:r w:rsidRPr="00BD0980">
        <w:rPr>
          <w:rFonts w:ascii="Times New Roman" w:hAnsi="Times New Roman" w:cs="Times New Roman"/>
          <w:noProof/>
        </w:rPr>
        <w:drawing>
          <wp:inline distT="0" distB="0" distL="0" distR="0">
            <wp:extent cx="4540250" cy="3972717"/>
            <wp:effectExtent l="0" t="0" r="0" b="8890"/>
            <wp:docPr id="10" name="Picture 10" descr="C:\Users\JH Sun\Desktop\mygraph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 Sun\Desktop\mygraphic.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52608" cy="3983530"/>
                    </a:xfrm>
                    <a:prstGeom prst="rect">
                      <a:avLst/>
                    </a:prstGeom>
                    <a:noFill/>
                    <a:ln>
                      <a:noFill/>
                    </a:ln>
                  </pic:spPr>
                </pic:pic>
              </a:graphicData>
            </a:graphic>
          </wp:inline>
        </w:drawing>
      </w:r>
    </w:p>
    <w:p w:rsidR="000227F8" w:rsidRDefault="000227F8" w:rsidP="000227F8">
      <w:pPr>
        <w:rPr>
          <w:rFonts w:ascii="Times New Roman" w:hAnsi="Times New Roman" w:cs="Times New Roman"/>
        </w:rPr>
      </w:pPr>
      <w:r>
        <w:rPr>
          <w:rFonts w:ascii="Times New Roman" w:hAnsi="Times New Roman" w:cs="Times New Roman" w:hint="eastAsia"/>
        </w:rPr>
        <w:t xml:space="preserve">We can find that </w:t>
      </w:r>
      <w:r>
        <w:rPr>
          <w:rFonts w:ascii="Times New Roman" w:hAnsi="Times New Roman" w:cs="Times New Roman"/>
        </w:rPr>
        <w:t xml:space="preserve">the first dimension accounts for the most variance of all, which is nearly as </w:t>
      </w:r>
      <w:r w:rsidR="00DA7724">
        <w:rPr>
          <w:rFonts w:ascii="Times New Roman" w:hAnsi="Times New Roman" w:cs="Times New Roman"/>
        </w:rPr>
        <w:t>twice</w:t>
      </w:r>
      <w:r>
        <w:rPr>
          <w:rFonts w:ascii="Times New Roman" w:hAnsi="Times New Roman" w:cs="Times New Roman"/>
        </w:rPr>
        <w:t xml:space="preserve"> as the second one.</w:t>
      </w:r>
    </w:p>
    <w:p w:rsidR="00DA7724" w:rsidRDefault="00DA7724" w:rsidP="000227F8">
      <w:pPr>
        <w:rPr>
          <w:rFonts w:ascii="Times New Roman" w:hAnsi="Times New Roman" w:cs="Times New Roman"/>
        </w:rPr>
      </w:pPr>
      <w:r>
        <w:rPr>
          <w:rFonts w:ascii="Times New Roman" w:hAnsi="Times New Roman" w:cs="Times New Roman"/>
        </w:rPr>
        <w:lastRenderedPageBreak/>
        <w:t>After calculating the correlation coefficients between every SNP and every dimension in the MCA processed matrix, here we list most influential SNPs on the first dimension along with their R-squared statistics and p-values:</w:t>
      </w:r>
    </w:p>
    <w:tbl>
      <w:tblPr>
        <w:tblStyle w:val="TableGrid"/>
        <w:tblW w:w="0" w:type="auto"/>
        <w:tblLook w:val="04A0" w:firstRow="1" w:lastRow="0" w:firstColumn="1" w:lastColumn="0" w:noHBand="0" w:noVBand="1"/>
      </w:tblPr>
      <w:tblGrid>
        <w:gridCol w:w="554"/>
        <w:gridCol w:w="827"/>
        <w:gridCol w:w="1046"/>
        <w:gridCol w:w="7149"/>
      </w:tblGrid>
      <w:tr w:rsidR="00F66B12" w:rsidRPr="00F66B12" w:rsidTr="00F66B12">
        <w:trPr>
          <w:trHeight w:val="319"/>
        </w:trPr>
        <w:tc>
          <w:tcPr>
            <w:tcW w:w="554" w:type="dxa"/>
          </w:tcPr>
          <w:p w:rsidR="00F66B12" w:rsidRDefault="00F66B12" w:rsidP="00DA7724">
            <w:pPr>
              <w:rPr>
                <w:rFonts w:ascii="Times New Roman" w:hAnsi="Times New Roman" w:cs="Times New Roman"/>
                <w:sz w:val="16"/>
              </w:rPr>
            </w:pPr>
            <w:r>
              <w:rPr>
                <w:rFonts w:ascii="Times New Roman" w:hAnsi="Times New Roman" w:cs="Times New Roman" w:hint="eastAsia"/>
                <w:sz w:val="16"/>
              </w:rPr>
              <w:t>Rank</w:t>
            </w:r>
          </w:p>
        </w:tc>
        <w:tc>
          <w:tcPr>
            <w:tcW w:w="827"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R</w:t>
            </w:r>
            <w:r>
              <w:rPr>
                <w:rFonts w:ascii="Times New Roman" w:hAnsi="Times New Roman" w:cs="Times New Roman"/>
                <w:sz w:val="16"/>
                <w:vertAlign w:val="superscript"/>
              </w:rPr>
              <w:t>2</w:t>
            </w:r>
          </w:p>
        </w:tc>
        <w:tc>
          <w:tcPr>
            <w:tcW w:w="1046"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p-value</w:t>
            </w:r>
          </w:p>
        </w:tc>
        <w:tc>
          <w:tcPr>
            <w:tcW w:w="7149" w:type="dxa"/>
          </w:tcPr>
          <w:p w:rsidR="00F66B12" w:rsidRPr="00F66B12" w:rsidRDefault="00F66B12">
            <w:pPr>
              <w:rPr>
                <w:rFonts w:ascii="Times New Roman" w:hAnsi="Times New Roman" w:cs="Times New Roman"/>
                <w:sz w:val="16"/>
              </w:rPr>
            </w:pPr>
            <w:r>
              <w:rPr>
                <w:rFonts w:ascii="Times New Roman" w:hAnsi="Times New Roman" w:cs="Times New Roman" w:hint="eastAsia"/>
                <w:sz w:val="16"/>
              </w:rPr>
              <w:t>SNP</w:t>
            </w:r>
          </w:p>
        </w:tc>
      </w:tr>
      <w:tr w:rsidR="00F66B12" w:rsidRPr="00F66B12" w:rsidTr="00F66B12">
        <w:trPr>
          <w:trHeight w:val="319"/>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1</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0.784723</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1.29E-216</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OR1L1:NM_001005236:exon1:c.A283G:p.S95G</w:t>
            </w:r>
          </w:p>
        </w:tc>
      </w:tr>
      <w:tr w:rsidR="00F66B12" w:rsidRPr="00F66B12" w:rsidTr="00F66B12">
        <w:trPr>
          <w:trHeight w:val="280"/>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2</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0.776604</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1.90E-211</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RP1L1:NM_178857:exon2:c.C335G:p.T112S</w:t>
            </w:r>
          </w:p>
        </w:tc>
      </w:tr>
      <w:tr w:rsidR="00F66B12" w:rsidRPr="00F66B12" w:rsidTr="00F66B12">
        <w:trPr>
          <w:trHeight w:val="280"/>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3</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0.754697</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2.23E-198</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SIGLEC9:NM_001198558:exon1:c.A391C:p.K131QSIGLEC9:NM_014441:exon1:c.A391C:p.K131Q</w:t>
            </w:r>
          </w:p>
        </w:tc>
      </w:tr>
      <w:tr w:rsidR="00F66B12" w:rsidRPr="00F66B12" w:rsidTr="00F66B12">
        <w:trPr>
          <w:trHeight w:val="280"/>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4</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0.754697</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2.23E-198</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SIGLEC9:NM_001198558:exon5:c.T1046C:p.V349ASIGLEC9:NM_014441:exon5:c.T1046C:p.V349A</w:t>
            </w:r>
          </w:p>
        </w:tc>
      </w:tr>
      <w:tr w:rsidR="00F66B12" w:rsidRPr="00F66B12" w:rsidTr="00F66B12">
        <w:trPr>
          <w:trHeight w:val="274"/>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5</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0.712313</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4.11E-176</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NRK:NM_198465:exon19:c.C2978A:p.A993E</w:t>
            </w:r>
          </w:p>
        </w:tc>
      </w:tr>
      <w:tr w:rsidR="00F66B12" w:rsidRPr="00F66B12" w:rsidTr="00F66B12">
        <w:trPr>
          <w:trHeight w:val="280"/>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6</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0.712268</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4.32E-176</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HSD3B1:NM_000862:exon3:c.A235G:p.I79V</w:t>
            </w:r>
          </w:p>
        </w:tc>
      </w:tr>
      <w:tr w:rsidR="00F66B12" w:rsidRPr="00F66B12" w:rsidTr="00F66B12">
        <w:trPr>
          <w:trHeight w:val="280"/>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7</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0.705472</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7.89E-173</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DUOX1:NM_175940:exon22:c.T2885C:p.I962TDUOX1:NM_017434:exon23:c.T2885C:p.I962T</w:t>
            </w:r>
          </w:p>
        </w:tc>
      </w:tr>
      <w:tr w:rsidR="00F66B12" w:rsidRPr="00F66B12" w:rsidTr="00F66B12">
        <w:trPr>
          <w:trHeight w:val="249"/>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8</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0.698271</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1.87E-169</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SLC39A4:NM_130849:exon6:c.C1114G:p.L372VSLC39A4:NM_017767:exon5:c.C1039G:p.L347V</w:t>
            </w:r>
          </w:p>
        </w:tc>
      </w:tr>
      <w:tr w:rsidR="00F66B12" w:rsidRPr="00F66B12" w:rsidTr="00F66B12">
        <w:trPr>
          <w:trHeight w:val="280"/>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9</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0.695923</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2.27E-168</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SIGLEC9:NM_001198558:exon4:c.C947A:p.A316DSIGLEC9:NM_014441:exon4:c.C947A:p.A316D</w:t>
            </w:r>
          </w:p>
        </w:tc>
      </w:tr>
      <w:tr w:rsidR="00F66B12" w:rsidRPr="00F66B12" w:rsidTr="00F66B12">
        <w:trPr>
          <w:trHeight w:val="280"/>
        </w:trPr>
        <w:tc>
          <w:tcPr>
            <w:tcW w:w="554" w:type="dxa"/>
          </w:tcPr>
          <w:p w:rsidR="00F66B12" w:rsidRPr="00F66B12" w:rsidRDefault="00F66B12" w:rsidP="00DA7724">
            <w:pPr>
              <w:rPr>
                <w:rFonts w:ascii="Times New Roman" w:hAnsi="Times New Roman" w:cs="Times New Roman"/>
                <w:sz w:val="16"/>
              </w:rPr>
            </w:pPr>
            <w:r>
              <w:rPr>
                <w:rFonts w:ascii="Times New Roman" w:hAnsi="Times New Roman" w:cs="Times New Roman" w:hint="eastAsia"/>
                <w:sz w:val="16"/>
              </w:rPr>
              <w:t>10</w:t>
            </w:r>
          </w:p>
        </w:tc>
        <w:tc>
          <w:tcPr>
            <w:tcW w:w="827"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0.658847</w:t>
            </w:r>
          </w:p>
        </w:tc>
        <w:tc>
          <w:tcPr>
            <w:tcW w:w="1046" w:type="dxa"/>
            <w:hideMark/>
          </w:tcPr>
          <w:p w:rsidR="00F66B12" w:rsidRPr="00F66B12" w:rsidRDefault="00F66B12" w:rsidP="00DA7724">
            <w:pPr>
              <w:rPr>
                <w:rFonts w:ascii="Times New Roman" w:hAnsi="Times New Roman" w:cs="Times New Roman"/>
                <w:sz w:val="16"/>
              </w:rPr>
            </w:pPr>
            <w:r w:rsidRPr="00F66B12">
              <w:rPr>
                <w:rFonts w:ascii="Times New Roman" w:hAnsi="Times New Roman" w:cs="Times New Roman" w:hint="eastAsia"/>
                <w:sz w:val="16"/>
              </w:rPr>
              <w:t>2.70E-152</w:t>
            </w:r>
          </w:p>
        </w:tc>
        <w:tc>
          <w:tcPr>
            <w:tcW w:w="7149" w:type="dxa"/>
            <w:hideMark/>
          </w:tcPr>
          <w:p w:rsidR="00F66B12" w:rsidRPr="00F66B12" w:rsidRDefault="00F66B12">
            <w:pPr>
              <w:rPr>
                <w:rFonts w:ascii="Times New Roman" w:hAnsi="Times New Roman" w:cs="Times New Roman"/>
                <w:sz w:val="16"/>
              </w:rPr>
            </w:pPr>
            <w:r w:rsidRPr="00F66B12">
              <w:rPr>
                <w:rFonts w:ascii="Times New Roman" w:hAnsi="Times New Roman" w:cs="Times New Roman" w:hint="eastAsia"/>
                <w:sz w:val="16"/>
              </w:rPr>
              <w:t>EPPK1:NM_031308:exon2:c.G1151A:p.G384E</w:t>
            </w:r>
          </w:p>
        </w:tc>
      </w:tr>
    </w:tbl>
    <w:p w:rsidR="00DA7724" w:rsidRDefault="00DA7724" w:rsidP="000227F8">
      <w:pPr>
        <w:rPr>
          <w:rFonts w:ascii="Times New Roman" w:hAnsi="Times New Roman" w:cs="Times New Roman"/>
        </w:rPr>
      </w:pPr>
    </w:p>
    <w:p w:rsidR="00736B7B" w:rsidRDefault="00736B7B" w:rsidP="000227F8">
      <w:pPr>
        <w:rPr>
          <w:rFonts w:ascii="Times New Roman" w:hAnsi="Times New Roman" w:cs="Times New Roman"/>
        </w:rPr>
      </w:pPr>
      <w:r>
        <w:rPr>
          <w:rFonts w:ascii="Times New Roman" w:hAnsi="Times New Roman" w:cs="Times New Roman"/>
        </w:rPr>
        <w:t>By looking over the most influential genes for the first several dimensions, we find that most genes are related to cell cytoskeleton and cell motion, as well as visual and olfactory functions. Also, some are associat</w:t>
      </w:r>
      <w:r w:rsidR="00A837DD">
        <w:rPr>
          <w:rFonts w:ascii="Times New Roman" w:hAnsi="Times New Roman" w:cs="Times New Roman"/>
        </w:rPr>
        <w:t xml:space="preserve">ed with cell </w:t>
      </w:r>
      <w:r w:rsidR="007C5A54">
        <w:rPr>
          <w:rFonts w:ascii="Times New Roman" w:hAnsi="Times New Roman" w:cs="Times New Roman"/>
        </w:rPr>
        <w:t xml:space="preserve">surface </w:t>
      </w:r>
      <w:r w:rsidR="00A837DD">
        <w:rPr>
          <w:rFonts w:ascii="Times New Roman" w:hAnsi="Times New Roman" w:cs="Times New Roman"/>
        </w:rPr>
        <w:t>receptors.</w:t>
      </w:r>
      <w:r w:rsidR="00CF5348">
        <w:rPr>
          <w:rFonts w:ascii="Times New Roman" w:hAnsi="Times New Roman" w:cs="Times New Roman"/>
        </w:rPr>
        <w:t xml:space="preserve"> Although genes of great contributions to each of the first several dimensions seem not to have direct relations and interactions and even the functions of some gene </w:t>
      </w:r>
      <w:r w:rsidR="00426CB9">
        <w:rPr>
          <w:rFonts w:ascii="Times New Roman" w:hAnsi="Times New Roman" w:cs="Times New Roman"/>
        </w:rPr>
        <w:t>remain unknown, we believe that, within each group of genes in one dimension, the mutations of genes will cooperate with others to advance Parkinson’s Disease</w:t>
      </w:r>
      <w:r w:rsidR="00B75AA6">
        <w:rPr>
          <w:rFonts w:ascii="Times New Roman" w:hAnsi="Times New Roman" w:cs="Times New Roman"/>
        </w:rPr>
        <w:t xml:space="preserve"> (PD)</w:t>
      </w:r>
      <w:r w:rsidR="00426CB9">
        <w:rPr>
          <w:rFonts w:ascii="Times New Roman" w:hAnsi="Times New Roman" w:cs="Times New Roman"/>
        </w:rPr>
        <w:t xml:space="preserve"> in a certain direction, which may be very different with that in other dimensions.</w:t>
      </w:r>
      <w:r w:rsidR="00B75AA6">
        <w:rPr>
          <w:rFonts w:ascii="Times New Roman" w:hAnsi="Times New Roman" w:cs="Times New Roman"/>
        </w:rPr>
        <w:t xml:space="preserve"> Moreover, this result may give us some hints about the genes whose functions are still unclear and we may consider the genes in the list as biomarkers for PD diagnosis and detection</w:t>
      </w:r>
      <w:r w:rsidR="009C0D3F">
        <w:rPr>
          <w:rFonts w:ascii="Times New Roman" w:hAnsi="Times New Roman" w:cs="Times New Roman"/>
        </w:rPr>
        <w:t xml:space="preserve"> and even prognosis in the near future</w:t>
      </w:r>
      <w:r w:rsidR="00B75AA6">
        <w:rPr>
          <w:rFonts w:ascii="Times New Roman" w:hAnsi="Times New Roman" w:cs="Times New Roman"/>
        </w:rPr>
        <w:t>.</w:t>
      </w:r>
    </w:p>
    <w:p w:rsidR="00BB7B66" w:rsidRPr="00DA7724" w:rsidRDefault="007C5A54" w:rsidP="000227F8">
      <w:pPr>
        <w:rPr>
          <w:rFonts w:ascii="Times New Roman" w:hAnsi="Times New Roman" w:cs="Times New Roman"/>
        </w:rPr>
      </w:pPr>
      <w:r>
        <w:rPr>
          <w:rFonts w:ascii="Times New Roman" w:hAnsi="Times New Roman" w:cs="Times New Roman" w:hint="eastAsia"/>
        </w:rPr>
        <w:t xml:space="preserve">After MCA, we are able to embed every </w:t>
      </w:r>
      <w:r>
        <w:rPr>
          <w:rFonts w:ascii="Times New Roman" w:hAnsi="Times New Roman" w:cs="Times New Roman"/>
        </w:rPr>
        <w:t>sample in a 2-D plane constructed by the first and second dimensions</w:t>
      </w:r>
      <w:r>
        <w:rPr>
          <w:rFonts w:ascii="Times New Roman" w:hAnsi="Times New Roman" w:cs="Times New Roman" w:hint="eastAsia"/>
        </w:rPr>
        <w:t xml:space="preserve"> to visualize the distance between every sample. </w:t>
      </w:r>
      <w:r>
        <w:rPr>
          <w:rFonts w:ascii="Times New Roman" w:hAnsi="Times New Roman" w:cs="Times New Roman"/>
        </w:rPr>
        <w:t>We will show this in the clustering section.</w:t>
      </w:r>
    </w:p>
    <w:p w:rsidR="00DA7724" w:rsidRPr="00CF5348" w:rsidRDefault="00DA7724" w:rsidP="000227F8">
      <w:pPr>
        <w:rPr>
          <w:rFonts w:ascii="Times New Roman" w:hAnsi="Times New Roman" w:cs="Times New Roman"/>
        </w:rPr>
      </w:pPr>
    </w:p>
    <w:p w:rsidR="00C07C59" w:rsidRPr="00ED7EEC" w:rsidRDefault="00ED7EEC">
      <w:pPr>
        <w:rPr>
          <w:rFonts w:ascii="Times New Roman" w:hAnsi="Times New Roman" w:cs="Times New Roman"/>
          <w:b/>
        </w:rPr>
      </w:pPr>
      <w:r w:rsidRPr="00ED7EEC">
        <w:rPr>
          <w:rFonts w:ascii="Times New Roman" w:hAnsi="Times New Roman" w:cs="Times New Roman" w:hint="eastAsia"/>
          <w:b/>
        </w:rPr>
        <w:t>Unsupervised Clustering</w:t>
      </w:r>
    </w:p>
    <w:p w:rsidR="00131EA9" w:rsidRDefault="000949B2" w:rsidP="000949B2">
      <w:pPr>
        <w:rPr>
          <w:rFonts w:ascii="Times New Roman" w:hAnsi="Times New Roman" w:cs="Times New Roman"/>
        </w:rPr>
      </w:pPr>
      <w:r>
        <w:rPr>
          <w:rFonts w:ascii="Times New Roman" w:hAnsi="Times New Roman" w:cs="Times New Roman" w:hint="eastAsia"/>
        </w:rPr>
        <w:t>Unsupervised clustering</w:t>
      </w:r>
      <w:r>
        <w:rPr>
          <w:rFonts w:ascii="Times New Roman" w:hAnsi="Times New Roman" w:cs="Times New Roman"/>
        </w:rPr>
        <w:t xml:space="preserve"> </w:t>
      </w:r>
      <w:r w:rsidRPr="000949B2">
        <w:rPr>
          <w:rFonts w:ascii="Times New Roman" w:hAnsi="Times New Roman" w:cs="Times New Roman"/>
        </w:rPr>
        <w:t>is the task of grouping a set of objects in such a way that objects in the same group (called a </w:t>
      </w:r>
      <w:r w:rsidRPr="000949B2">
        <w:rPr>
          <w:rFonts w:ascii="Times New Roman" w:hAnsi="Times New Roman" w:cs="Times New Roman"/>
          <w:b/>
          <w:bCs/>
        </w:rPr>
        <w:t>cluster</w:t>
      </w:r>
      <w:r w:rsidRPr="000949B2">
        <w:rPr>
          <w:rFonts w:ascii="Times New Roman" w:hAnsi="Times New Roman" w:cs="Times New Roman"/>
        </w:rPr>
        <w:t>) are more similar (in some sense or another) to each other than to those in other groups (clusters).</w:t>
      </w:r>
      <w:r>
        <w:rPr>
          <w:rFonts w:ascii="Times New Roman" w:hAnsi="Times New Roman" w:cs="Times New Roman"/>
        </w:rPr>
        <w:t xml:space="preserve"> [</w:t>
      </w:r>
      <w:r w:rsidR="003B2280">
        <w:rPr>
          <w:rFonts w:ascii="Times New Roman" w:hAnsi="Times New Roman" w:cs="Times New Roman"/>
        </w:rPr>
        <w:t>11</w:t>
      </w:r>
      <w:r>
        <w:rPr>
          <w:rFonts w:ascii="Times New Roman" w:hAnsi="Times New Roman" w:cs="Times New Roman"/>
        </w:rPr>
        <w:t>]</w:t>
      </w:r>
      <w:r w:rsidR="00C2649D">
        <w:rPr>
          <w:rFonts w:ascii="Times New Roman" w:hAnsi="Times New Roman" w:cs="Times New Roman"/>
        </w:rPr>
        <w:t xml:space="preserve"> In our case, clustering the first choice to find subtypes of PD. There are many popular clustering techniques nowadays with their own advantages and disadvantages. We utilize a few distinct clustering methods to our reduced matrix from MCA, aiming to take advantage of their strengths and avoid their drawbacks. </w:t>
      </w:r>
    </w:p>
    <w:p w:rsidR="00131EA9" w:rsidRPr="00131EA9" w:rsidRDefault="00131EA9" w:rsidP="000949B2">
      <w:pPr>
        <w:rPr>
          <w:rFonts w:ascii="Times New Roman" w:hAnsi="Times New Roman" w:cs="Times New Roman"/>
        </w:rPr>
      </w:pPr>
      <w:r>
        <w:rPr>
          <w:rFonts w:ascii="Times New Roman" w:hAnsi="Times New Roman" w:cs="Times New Roman"/>
        </w:rPr>
        <w:t>In our experiments, robustness to outliers of every clustering method affect the clustering result a lot.</w:t>
      </w:r>
      <w:r w:rsidR="00BE6E63">
        <w:rPr>
          <w:rFonts w:ascii="Times New Roman" w:hAnsi="Times New Roman" w:cs="Times New Roman"/>
        </w:rPr>
        <w:t xml:space="preserve"> For most clustering methods, we only use the first 10 dimensions of reduced matrix from MCA, considering th</w:t>
      </w:r>
      <w:r w:rsidR="00756F21">
        <w:rPr>
          <w:rFonts w:ascii="Times New Roman" w:hAnsi="Times New Roman" w:cs="Times New Roman"/>
        </w:rPr>
        <w:t>at they account</w:t>
      </w:r>
      <w:r w:rsidR="00BE6E63">
        <w:rPr>
          <w:rFonts w:ascii="Times New Roman" w:hAnsi="Times New Roman" w:cs="Times New Roman"/>
        </w:rPr>
        <w:t xml:space="preserve"> for a large part of variance and by doing this, we hope to eliminate much noise and avoid curse of dimensionality in some certain methods.</w:t>
      </w:r>
    </w:p>
    <w:p w:rsidR="00C07C59" w:rsidRPr="00C609A2" w:rsidRDefault="00ED7EEC" w:rsidP="00ED7EEC">
      <w:pPr>
        <w:pStyle w:val="ListParagraph"/>
        <w:numPr>
          <w:ilvl w:val="0"/>
          <w:numId w:val="3"/>
        </w:numPr>
        <w:rPr>
          <w:rFonts w:ascii="Times New Roman" w:hAnsi="Times New Roman" w:cs="Times New Roman"/>
          <w:b/>
        </w:rPr>
      </w:pPr>
      <w:r w:rsidRPr="00C609A2">
        <w:rPr>
          <w:rFonts w:ascii="Times New Roman" w:hAnsi="Times New Roman" w:cs="Times New Roman"/>
          <w:b/>
        </w:rPr>
        <w:t>Spectral Clustering</w:t>
      </w:r>
    </w:p>
    <w:p w:rsidR="00636FA3" w:rsidRPr="00D854C9" w:rsidRDefault="00ED7EEC">
      <w:pPr>
        <w:rPr>
          <w:rFonts w:ascii="Times New Roman" w:hAnsi="Times New Roman" w:cs="Times New Roman"/>
        </w:rPr>
      </w:pPr>
      <w:r>
        <w:rPr>
          <w:rFonts w:ascii="Times New Roman" w:hAnsi="Times New Roman" w:cs="Times New Roman" w:hint="eastAsia"/>
        </w:rPr>
        <w:lastRenderedPageBreak/>
        <w:t>Sp</w:t>
      </w:r>
      <w:r w:rsidR="00F56386">
        <w:rPr>
          <w:rFonts w:ascii="Times New Roman" w:hAnsi="Times New Roman" w:cs="Times New Roman" w:hint="eastAsia"/>
        </w:rPr>
        <w:t>ectral Clustering</w:t>
      </w:r>
      <w:r w:rsidR="00F56386" w:rsidRPr="00F56386">
        <w:rPr>
          <w:rFonts w:ascii="Times New Roman" w:hAnsi="Times New Roman" w:cs="Times New Roman"/>
        </w:rPr>
        <w:t xml:space="preserve"> does a low-dimension embedding of the affinity matrix between samples, followed by a </w:t>
      </w:r>
      <w:proofErr w:type="spellStart"/>
      <w:r w:rsidR="00F56386" w:rsidRPr="00F56386">
        <w:rPr>
          <w:rFonts w:ascii="Times New Roman" w:hAnsi="Times New Roman" w:cs="Times New Roman"/>
        </w:rPr>
        <w:t>KMeans</w:t>
      </w:r>
      <w:proofErr w:type="spellEnd"/>
      <w:r w:rsidR="00F56386" w:rsidRPr="00F56386">
        <w:rPr>
          <w:rFonts w:ascii="Times New Roman" w:hAnsi="Times New Roman" w:cs="Times New Roman"/>
        </w:rPr>
        <w:t xml:space="preserve"> in the low dimensional space.</w:t>
      </w:r>
      <w:r w:rsidR="000949B2">
        <w:rPr>
          <w:rFonts w:ascii="Times New Roman" w:hAnsi="Times New Roman" w:cs="Times New Roman"/>
        </w:rPr>
        <w:t xml:space="preserve"> </w:t>
      </w:r>
      <w:r w:rsidR="000949B2" w:rsidRPr="000949B2">
        <w:rPr>
          <w:rFonts w:ascii="Times New Roman" w:hAnsi="Times New Roman" w:cs="Times New Roman"/>
        </w:rPr>
        <w:t xml:space="preserve">It works well for a small number of clusters but is not advised when using many clusters. </w:t>
      </w:r>
      <w:r w:rsidR="00F56386">
        <w:rPr>
          <w:rFonts w:ascii="Times New Roman" w:hAnsi="Times New Roman" w:cs="Times New Roman"/>
        </w:rPr>
        <w:t>[</w:t>
      </w:r>
      <w:r w:rsidR="003B2280">
        <w:rPr>
          <w:rFonts w:ascii="Times New Roman" w:hAnsi="Times New Roman" w:cs="Times New Roman"/>
        </w:rPr>
        <w:t>12</w:t>
      </w:r>
      <w:r w:rsidR="00F56386">
        <w:rPr>
          <w:rFonts w:ascii="Times New Roman" w:hAnsi="Times New Roman" w:cs="Times New Roman"/>
        </w:rPr>
        <w:t>]</w:t>
      </w:r>
      <w:r w:rsidR="000949B2">
        <w:rPr>
          <w:rFonts w:ascii="Times New Roman" w:hAnsi="Times New Roman" w:cs="Times New Roman"/>
        </w:rPr>
        <w:t xml:space="preserve"> </w:t>
      </w:r>
      <w:r w:rsidR="005A7FE5">
        <w:rPr>
          <w:rFonts w:ascii="Times New Roman" w:hAnsi="Times New Roman" w:cs="Times New Roman"/>
        </w:rPr>
        <w:t>We use</w:t>
      </w:r>
      <w:r w:rsidR="003160FF">
        <w:rPr>
          <w:rFonts w:ascii="Times New Roman" w:hAnsi="Times New Roman" w:cs="Times New Roman"/>
        </w:rPr>
        <w:t xml:space="preserve"> a python implementation in </w:t>
      </w:r>
      <w:proofErr w:type="spellStart"/>
      <w:r w:rsidR="003160FF">
        <w:rPr>
          <w:rFonts w:ascii="Times New Roman" w:hAnsi="Times New Roman" w:cs="Times New Roman"/>
        </w:rPr>
        <w:t>Scikit</w:t>
      </w:r>
      <w:proofErr w:type="spellEnd"/>
      <w:r w:rsidR="003160FF">
        <w:rPr>
          <w:rFonts w:ascii="Times New Roman" w:hAnsi="Times New Roman" w:cs="Times New Roman"/>
        </w:rPr>
        <w:t>-</w:t>
      </w:r>
      <w:r w:rsidR="005A7FE5">
        <w:rPr>
          <w:rFonts w:ascii="Times New Roman" w:hAnsi="Times New Roman" w:cs="Times New Roman"/>
        </w:rPr>
        <w:t>learn package</w:t>
      </w:r>
      <w:r w:rsidR="003B2280">
        <w:rPr>
          <w:rFonts w:ascii="Times New Roman" w:hAnsi="Times New Roman" w:cs="Times New Roman"/>
        </w:rPr>
        <w:t xml:space="preserve"> [13</w:t>
      </w:r>
      <w:r w:rsidR="00E1576B">
        <w:rPr>
          <w:rFonts w:ascii="Times New Roman" w:hAnsi="Times New Roman" w:cs="Times New Roman"/>
        </w:rPr>
        <w:t>]</w:t>
      </w:r>
      <w:r w:rsidR="005A7FE5">
        <w:rPr>
          <w:rFonts w:ascii="Times New Roman" w:hAnsi="Times New Roman" w:cs="Times New Roman"/>
        </w:rPr>
        <w:t xml:space="preserve">. </w:t>
      </w:r>
    </w:p>
    <w:p w:rsidR="00636FA3" w:rsidRPr="00C609A2" w:rsidRDefault="00636FA3" w:rsidP="008D6BF7">
      <w:pPr>
        <w:pStyle w:val="ListParagraph"/>
        <w:numPr>
          <w:ilvl w:val="0"/>
          <w:numId w:val="3"/>
        </w:numPr>
        <w:rPr>
          <w:rFonts w:ascii="Times New Roman" w:hAnsi="Times New Roman" w:cs="Times New Roman"/>
          <w:b/>
        </w:rPr>
      </w:pPr>
      <w:r w:rsidRPr="00C609A2">
        <w:rPr>
          <w:rFonts w:ascii="Times New Roman" w:hAnsi="Times New Roman" w:cs="Times New Roman"/>
          <w:b/>
        </w:rPr>
        <w:t>Birch</w:t>
      </w:r>
    </w:p>
    <w:p w:rsidR="00636FA3" w:rsidRDefault="00636FA3" w:rsidP="00636FA3">
      <w:pPr>
        <w:rPr>
          <w:rFonts w:ascii="Times New Roman" w:hAnsi="Times New Roman" w:cs="Times New Roman"/>
        </w:rPr>
      </w:pPr>
      <w:r w:rsidRPr="00636FA3">
        <w:rPr>
          <w:rFonts w:ascii="Times New Roman" w:hAnsi="Times New Roman" w:cs="Times New Roman"/>
        </w:rPr>
        <w:t xml:space="preserve">The Birch builds a tree called the Characteristic Feature Tree (CFT) for the given data. The data is essentially </w:t>
      </w:r>
      <w:proofErr w:type="spellStart"/>
      <w:r w:rsidRPr="00636FA3">
        <w:rPr>
          <w:rFonts w:ascii="Times New Roman" w:hAnsi="Times New Roman" w:cs="Times New Roman"/>
        </w:rPr>
        <w:t>lossy</w:t>
      </w:r>
      <w:proofErr w:type="spellEnd"/>
      <w:r w:rsidRPr="00636FA3">
        <w:rPr>
          <w:rFonts w:ascii="Times New Roman" w:hAnsi="Times New Roman" w:cs="Times New Roman"/>
        </w:rPr>
        <w:t xml:space="preserve"> compressed to a set of Characteristic Feature nodes (CF Nodes).</w:t>
      </w:r>
      <w:r>
        <w:rPr>
          <w:rFonts w:ascii="Times New Roman" w:hAnsi="Times New Roman" w:cs="Times New Roman"/>
        </w:rPr>
        <w:t xml:space="preserve"> [</w:t>
      </w:r>
      <w:r w:rsidR="003B2280">
        <w:rPr>
          <w:rFonts w:ascii="Times New Roman" w:hAnsi="Times New Roman" w:cs="Times New Roman"/>
        </w:rPr>
        <w:t>12</w:t>
      </w:r>
      <w:r>
        <w:rPr>
          <w:rFonts w:ascii="Times New Roman" w:hAnsi="Times New Roman" w:cs="Times New Roman"/>
        </w:rPr>
        <w:t>]</w:t>
      </w:r>
    </w:p>
    <w:p w:rsidR="008D6BF7" w:rsidRPr="00C609A2" w:rsidRDefault="008D6BF7" w:rsidP="00200800">
      <w:pPr>
        <w:pStyle w:val="ListParagraph"/>
        <w:numPr>
          <w:ilvl w:val="0"/>
          <w:numId w:val="3"/>
        </w:numPr>
        <w:rPr>
          <w:rFonts w:ascii="Times New Roman" w:hAnsi="Times New Roman" w:cs="Times New Roman"/>
          <w:b/>
        </w:rPr>
      </w:pPr>
      <w:r w:rsidRPr="00C609A2">
        <w:rPr>
          <w:rFonts w:ascii="Times New Roman" w:hAnsi="Times New Roman" w:cs="Times New Roman"/>
          <w:b/>
        </w:rPr>
        <w:t>DBSCAN</w:t>
      </w:r>
    </w:p>
    <w:p w:rsidR="008D6BF7" w:rsidRDefault="00200800" w:rsidP="00636FA3">
      <w:pPr>
        <w:rPr>
          <w:rFonts w:ascii="Times New Roman" w:hAnsi="Times New Roman" w:cs="Times New Roman"/>
        </w:rPr>
      </w:pPr>
      <w:r w:rsidRPr="00200800">
        <w:rPr>
          <w:rFonts w:ascii="Times New Roman" w:hAnsi="Times New Roman" w:cs="Times New Roman"/>
        </w:rPr>
        <w:t>The </w:t>
      </w:r>
      <w:hyperlink r:id="rId6" w:anchor="sklearn.cluster.DBSCAN" w:tooltip="sklearn.cluster.DBSCAN" w:history="1">
        <w:r w:rsidRPr="00200800">
          <w:t>DBSCAN</w:t>
        </w:r>
      </w:hyperlink>
      <w:r w:rsidRPr="00200800">
        <w:rPr>
          <w:rFonts w:ascii="Times New Roman" w:hAnsi="Times New Roman" w:cs="Times New Roman"/>
        </w:rPr>
        <w:t> algorithm views clusters as areas of high density separated by areas of low density. Due to this rather generic view, clusters found by DBSCAN can be any shape, as opposed to k-means which assumes that clusters are convex shaped.</w:t>
      </w:r>
      <w:r w:rsidR="00816BD4">
        <w:rPr>
          <w:rFonts w:ascii="Times New Roman" w:hAnsi="Times New Roman" w:cs="Times New Roman"/>
        </w:rPr>
        <w:t xml:space="preserve"> </w:t>
      </w:r>
      <w:r w:rsidR="00D854C9">
        <w:rPr>
          <w:rFonts w:ascii="Times New Roman" w:hAnsi="Times New Roman" w:cs="Times New Roman"/>
        </w:rPr>
        <w:t>[</w:t>
      </w:r>
      <w:r w:rsidR="003B2280">
        <w:rPr>
          <w:rFonts w:ascii="Times New Roman" w:hAnsi="Times New Roman" w:cs="Times New Roman"/>
        </w:rPr>
        <w:t>12</w:t>
      </w:r>
      <w:r w:rsidR="00D854C9">
        <w:rPr>
          <w:rFonts w:ascii="Times New Roman" w:hAnsi="Times New Roman" w:cs="Times New Roman"/>
        </w:rPr>
        <w:t>]</w:t>
      </w:r>
    </w:p>
    <w:p w:rsidR="008D6BF7" w:rsidRPr="00C609A2" w:rsidRDefault="008D6BF7" w:rsidP="008D6BF7">
      <w:pPr>
        <w:pStyle w:val="ListParagraph"/>
        <w:numPr>
          <w:ilvl w:val="0"/>
          <w:numId w:val="3"/>
        </w:numPr>
        <w:rPr>
          <w:rFonts w:ascii="Times New Roman" w:hAnsi="Times New Roman" w:cs="Times New Roman"/>
          <w:b/>
        </w:rPr>
      </w:pPr>
      <w:r w:rsidRPr="00C609A2">
        <w:rPr>
          <w:rFonts w:ascii="Times New Roman" w:hAnsi="Times New Roman" w:cs="Times New Roman"/>
          <w:b/>
        </w:rPr>
        <w:t>Hierarchical Clustering</w:t>
      </w:r>
    </w:p>
    <w:p w:rsidR="008D6BF7" w:rsidRDefault="00D854C9" w:rsidP="00636FA3">
      <w:pPr>
        <w:rPr>
          <w:rFonts w:ascii="Times New Roman" w:hAnsi="Times New Roman" w:cs="Times New Roman"/>
        </w:rPr>
      </w:pPr>
      <w:r w:rsidRPr="00D854C9">
        <w:rPr>
          <w:rFonts w:ascii="Times New Roman" w:hAnsi="Times New Roman" w:cs="Times New Roman"/>
        </w:rPr>
        <w:t xml:space="preserve">Hierarchical clustering is a general family of clustering algorithms that build nested clusters by merging or splitting them successively. This hierarchy of clusters is represented as a tree (or </w:t>
      </w:r>
      <w:proofErr w:type="spellStart"/>
      <w:r w:rsidRPr="00D854C9">
        <w:rPr>
          <w:rFonts w:ascii="Times New Roman" w:hAnsi="Times New Roman" w:cs="Times New Roman"/>
        </w:rPr>
        <w:t>dendrogram</w:t>
      </w:r>
      <w:proofErr w:type="spellEnd"/>
      <w:r w:rsidRPr="00D854C9">
        <w:rPr>
          <w:rFonts w:ascii="Times New Roman" w:hAnsi="Times New Roman" w:cs="Times New Roman"/>
        </w:rPr>
        <w:t>). The root of the tree is the unique cluster that gathers all the samples, the leaves being the clusters with only one sample. </w:t>
      </w:r>
      <w:r>
        <w:rPr>
          <w:rFonts w:ascii="Times New Roman" w:hAnsi="Times New Roman" w:cs="Times New Roman"/>
        </w:rPr>
        <w:t>[</w:t>
      </w:r>
      <w:r w:rsidR="003B2280">
        <w:rPr>
          <w:rFonts w:ascii="Times New Roman" w:hAnsi="Times New Roman" w:cs="Times New Roman"/>
        </w:rPr>
        <w:t>12</w:t>
      </w:r>
      <w:r>
        <w:rPr>
          <w:rFonts w:ascii="Times New Roman" w:hAnsi="Times New Roman" w:cs="Times New Roman"/>
        </w:rPr>
        <w:t>]</w:t>
      </w:r>
    </w:p>
    <w:p w:rsidR="00C609A2" w:rsidRPr="00C609A2" w:rsidRDefault="00C609A2" w:rsidP="00C609A2">
      <w:pPr>
        <w:pStyle w:val="ListParagraph"/>
        <w:numPr>
          <w:ilvl w:val="0"/>
          <w:numId w:val="3"/>
        </w:numPr>
        <w:rPr>
          <w:rFonts w:ascii="Times New Roman" w:hAnsi="Times New Roman" w:cs="Times New Roman"/>
          <w:b/>
        </w:rPr>
      </w:pPr>
      <w:r w:rsidRPr="00C609A2">
        <w:rPr>
          <w:rFonts w:ascii="Times New Roman" w:hAnsi="Times New Roman" w:cs="Times New Roman"/>
          <w:b/>
        </w:rPr>
        <w:t xml:space="preserve">Partitioning Around </w:t>
      </w:r>
      <w:proofErr w:type="spellStart"/>
      <w:r w:rsidRPr="00C609A2">
        <w:rPr>
          <w:rFonts w:ascii="Times New Roman" w:hAnsi="Times New Roman" w:cs="Times New Roman"/>
          <w:b/>
        </w:rPr>
        <w:t>Medoids</w:t>
      </w:r>
      <w:proofErr w:type="spellEnd"/>
      <w:r w:rsidRPr="00C609A2">
        <w:rPr>
          <w:rFonts w:ascii="Times New Roman" w:hAnsi="Times New Roman" w:cs="Times New Roman"/>
          <w:b/>
        </w:rPr>
        <w:t xml:space="preserve"> (PAM)</w:t>
      </w:r>
    </w:p>
    <w:p w:rsidR="00C609A2" w:rsidRPr="00931CA9" w:rsidRDefault="00C609A2" w:rsidP="00C07C73">
      <w:pPr>
        <w:rPr>
          <w:rFonts w:ascii="Times New Roman" w:hAnsi="Times New Roman" w:cs="Times New Roman"/>
        </w:rPr>
      </w:pPr>
      <w:r>
        <w:rPr>
          <w:rFonts w:ascii="Times New Roman" w:hAnsi="Times New Roman" w:cs="Times New Roman"/>
        </w:rPr>
        <w:t>PAM is a way of implementing k-</w:t>
      </w:r>
      <w:proofErr w:type="spellStart"/>
      <w:r>
        <w:rPr>
          <w:rFonts w:ascii="Times New Roman" w:hAnsi="Times New Roman" w:cs="Times New Roman"/>
        </w:rPr>
        <w:t>medoids</w:t>
      </w:r>
      <w:proofErr w:type="spellEnd"/>
      <w:r>
        <w:rPr>
          <w:rFonts w:ascii="Times New Roman" w:hAnsi="Times New Roman" w:cs="Times New Roman"/>
        </w:rPr>
        <w:t xml:space="preserve"> clustering, a more robust version of k-means clustering [2]. To get the best clustering scheme, we use silhouette score [3] to evaluate the clustering performance under each k value (from 2 to 20). Result shows silhouette score increase </w:t>
      </w:r>
      <w:proofErr w:type="spellStart"/>
      <w:r>
        <w:rPr>
          <w:rFonts w:ascii="Times New Roman" w:hAnsi="Times New Roman" w:cs="Times New Roman"/>
        </w:rPr>
        <w:t>as k</w:t>
      </w:r>
      <w:proofErr w:type="spellEnd"/>
      <w:r>
        <w:rPr>
          <w:rFonts w:ascii="Times New Roman" w:hAnsi="Times New Roman" w:cs="Times New Roman"/>
        </w:rPr>
        <w:t xml:space="preserve"> goes up, reaches maximum value (0.22) when k ranges from 8 to 11and decreases </w:t>
      </w:r>
      <w:proofErr w:type="spellStart"/>
      <w:r>
        <w:rPr>
          <w:rFonts w:ascii="Times New Roman" w:hAnsi="Times New Roman" w:cs="Times New Roman"/>
        </w:rPr>
        <w:t>as k</w:t>
      </w:r>
      <w:proofErr w:type="spellEnd"/>
      <w:r>
        <w:rPr>
          <w:rFonts w:ascii="Times New Roman" w:hAnsi="Times New Roman" w:cs="Times New Roman"/>
        </w:rPr>
        <w:t xml:space="preserve"> is greater than 12, indicating the optimal classification scheme lies within k=8, 9, 10 and 11.</w:t>
      </w:r>
    </w:p>
    <w:p w:rsidR="00C609A2" w:rsidRPr="00C609A2" w:rsidRDefault="00C609A2" w:rsidP="00C609A2">
      <w:pPr>
        <w:pStyle w:val="ListParagraph"/>
        <w:numPr>
          <w:ilvl w:val="0"/>
          <w:numId w:val="3"/>
        </w:numPr>
        <w:rPr>
          <w:rFonts w:ascii="Times New Roman" w:hAnsi="Times New Roman" w:cs="Times New Roman"/>
          <w:b/>
        </w:rPr>
      </w:pPr>
      <w:r w:rsidRPr="00C609A2">
        <w:rPr>
          <w:rFonts w:ascii="Times New Roman" w:hAnsi="Times New Roman" w:cs="Times New Roman"/>
          <w:b/>
        </w:rPr>
        <w:t>Consensus Clustering</w:t>
      </w:r>
    </w:p>
    <w:p w:rsidR="00C609A2" w:rsidRPr="00931CA9" w:rsidRDefault="00C609A2" w:rsidP="00C07C73">
      <w:pPr>
        <w:rPr>
          <w:rFonts w:ascii="Times New Roman" w:hAnsi="Times New Roman" w:cs="Times New Roman"/>
        </w:rPr>
      </w:pPr>
      <w:r w:rsidRPr="0064298B">
        <w:rPr>
          <w:rFonts w:ascii="Times New Roman" w:hAnsi="Times New Roman" w:cs="Times New Roman"/>
        </w:rPr>
        <w:t xml:space="preserve">Consensus clustering </w:t>
      </w:r>
      <w:r>
        <w:rPr>
          <w:rFonts w:ascii="Times New Roman" w:hAnsi="Times New Roman" w:cs="Times New Roman"/>
        </w:rPr>
        <w:t xml:space="preserve">can 1) </w:t>
      </w:r>
      <w:r w:rsidRPr="0064298B">
        <w:rPr>
          <w:rFonts w:ascii="Times New Roman" w:hAnsi="Times New Roman" w:cs="Times New Roman"/>
        </w:rPr>
        <w:t>determine the number of clusters and</w:t>
      </w:r>
      <w:r>
        <w:rPr>
          <w:rFonts w:ascii="Times New Roman" w:hAnsi="Times New Roman" w:cs="Times New Roman"/>
        </w:rPr>
        <w:t xml:space="preserve"> 2)</w:t>
      </w:r>
      <w:r w:rsidRPr="0064298B">
        <w:rPr>
          <w:rFonts w:ascii="Times New Roman" w:hAnsi="Times New Roman" w:cs="Times New Roman"/>
        </w:rPr>
        <w:t xml:space="preserve"> assess the stabi</w:t>
      </w:r>
      <w:r>
        <w:rPr>
          <w:rFonts w:ascii="Times New Roman" w:hAnsi="Times New Roman" w:cs="Times New Roman"/>
        </w:rPr>
        <w:t>lity of the discovered clusters by</w:t>
      </w:r>
      <w:r w:rsidRPr="0064298B">
        <w:rPr>
          <w:rFonts w:ascii="Times New Roman" w:hAnsi="Times New Roman" w:cs="Times New Roman"/>
        </w:rPr>
        <w:t xml:space="preserve"> </w:t>
      </w:r>
      <w:r>
        <w:rPr>
          <w:rFonts w:ascii="Times New Roman" w:hAnsi="Times New Roman" w:cs="Times New Roman"/>
        </w:rPr>
        <w:t>evaluating</w:t>
      </w:r>
      <w:r w:rsidRPr="0064298B">
        <w:rPr>
          <w:rFonts w:ascii="Times New Roman" w:hAnsi="Times New Roman" w:cs="Times New Roman"/>
        </w:rPr>
        <w:t xml:space="preserve"> the consensus across multiple run</w:t>
      </w:r>
      <w:r>
        <w:rPr>
          <w:rFonts w:ascii="Times New Roman" w:hAnsi="Times New Roman" w:cs="Times New Roman"/>
        </w:rPr>
        <w:t xml:space="preserve">s of a clustering algorithm (in our case PAM clustering) [4]. Result shows a general trend that </w:t>
      </w:r>
      <w:proofErr w:type="spellStart"/>
      <w:r>
        <w:rPr>
          <w:rFonts w:ascii="Times New Roman" w:hAnsi="Times New Roman" w:cs="Times New Roman"/>
        </w:rPr>
        <w:t>as k</w:t>
      </w:r>
      <w:proofErr w:type="spellEnd"/>
      <w:r>
        <w:rPr>
          <w:rFonts w:ascii="Times New Roman" w:hAnsi="Times New Roman" w:cs="Times New Roman"/>
        </w:rPr>
        <w:t xml:space="preserve"> increases, the PAC (</w:t>
      </w:r>
      <w:r w:rsidRPr="0064298B">
        <w:rPr>
          <w:rFonts w:ascii="Times New Roman" w:hAnsi="Times New Roman" w:cs="Times New Roman"/>
        </w:rPr>
        <w:t>prop</w:t>
      </w:r>
      <w:r>
        <w:rPr>
          <w:rFonts w:ascii="Times New Roman" w:hAnsi="Times New Roman" w:cs="Times New Roman"/>
        </w:rPr>
        <w:t>ortion of ambiguous clustering) score decreases. Also, no significant decrease of PAC is observed if k goes beyond 7, indicating the optimal classification scheme lies within k greater than 7.</w:t>
      </w:r>
    </w:p>
    <w:p w:rsidR="00C609A2" w:rsidRPr="00C609A2" w:rsidRDefault="00C609A2" w:rsidP="00C609A2">
      <w:pPr>
        <w:pStyle w:val="ListParagraph"/>
        <w:numPr>
          <w:ilvl w:val="0"/>
          <w:numId w:val="3"/>
        </w:numPr>
        <w:rPr>
          <w:rFonts w:ascii="Times New Roman" w:hAnsi="Times New Roman" w:cs="Times New Roman"/>
          <w:b/>
        </w:rPr>
      </w:pPr>
      <w:r w:rsidRPr="00C609A2">
        <w:rPr>
          <w:rFonts w:ascii="Times New Roman" w:hAnsi="Times New Roman" w:cs="Times New Roman"/>
          <w:b/>
        </w:rPr>
        <w:t>Affinity Propagation</w:t>
      </w:r>
    </w:p>
    <w:p w:rsidR="00A40659" w:rsidRPr="00931CA9" w:rsidRDefault="00C609A2" w:rsidP="00A40659">
      <w:pPr>
        <w:rPr>
          <w:rFonts w:ascii="Times New Roman" w:hAnsi="Times New Roman" w:cs="Times New Roman"/>
        </w:rPr>
      </w:pPr>
      <w:r>
        <w:rPr>
          <w:rFonts w:ascii="Times New Roman" w:hAnsi="Times New Roman" w:cs="Times New Roman"/>
        </w:rPr>
        <w:t>A</w:t>
      </w:r>
      <w:r w:rsidRPr="003B547C">
        <w:rPr>
          <w:rFonts w:ascii="Times New Roman" w:hAnsi="Times New Roman" w:cs="Times New Roman"/>
        </w:rPr>
        <w:t>ffinity propagation</w:t>
      </w:r>
      <w:r>
        <w:rPr>
          <w:rFonts w:ascii="Times New Roman" w:hAnsi="Times New Roman" w:cs="Times New Roman"/>
        </w:rPr>
        <w:t xml:space="preserve"> determines heterogeneities within data by exchanging messages</w:t>
      </w:r>
      <w:r w:rsidRPr="003B547C">
        <w:rPr>
          <w:rFonts w:ascii="Times New Roman" w:hAnsi="Times New Roman" w:cs="Times New Roman"/>
        </w:rPr>
        <w:t xml:space="preserve"> between data points</w:t>
      </w:r>
      <w:r>
        <w:rPr>
          <w:rFonts w:ascii="Times New Roman" w:hAnsi="Times New Roman" w:cs="Times New Roman"/>
        </w:rPr>
        <w:t xml:space="preserve">. Such process is repeated </w:t>
      </w:r>
      <w:r w:rsidRPr="003B547C">
        <w:rPr>
          <w:rFonts w:ascii="Times New Roman" w:hAnsi="Times New Roman" w:cs="Times New Roman"/>
        </w:rPr>
        <w:t>until a high-quality set of exemplars and corresponding clusters gradually emerges</w:t>
      </w:r>
      <w:r>
        <w:rPr>
          <w:rFonts w:ascii="Times New Roman" w:hAnsi="Times New Roman" w:cs="Times New Roman"/>
        </w:rPr>
        <w:t xml:space="preserve"> [5]</w:t>
      </w:r>
      <w:r w:rsidRPr="003B547C">
        <w:rPr>
          <w:rFonts w:ascii="Times New Roman" w:hAnsi="Times New Roman" w:cs="Times New Roman"/>
        </w:rPr>
        <w:t>.</w:t>
      </w:r>
      <w:r>
        <w:rPr>
          <w:rFonts w:ascii="Times New Roman" w:hAnsi="Times New Roman" w:cs="Times New Roman"/>
        </w:rPr>
        <w:t xml:space="preserve"> A</w:t>
      </w:r>
      <w:r w:rsidRPr="003B547C">
        <w:rPr>
          <w:rFonts w:ascii="Times New Roman" w:hAnsi="Times New Roman" w:cs="Times New Roman"/>
        </w:rPr>
        <w:t>ffinity propagation</w:t>
      </w:r>
      <w:r>
        <w:rPr>
          <w:rFonts w:ascii="Times New Roman" w:hAnsi="Times New Roman" w:cs="Times New Roman"/>
        </w:rPr>
        <w:t xml:space="preserve"> gives clusters with few patients, and we consider those as non-representative. After removing clusters with less than 10 patients, we have 12 representative clusters (</w:t>
      </w:r>
      <w:r w:rsidRPr="00B76F59">
        <w:rPr>
          <w:rFonts w:ascii="Times New Roman" w:hAnsi="Times New Roman" w:cs="Times New Roman"/>
        </w:rPr>
        <w:t>negative distance</w:t>
      </w:r>
      <w:r>
        <w:rPr>
          <w:rFonts w:ascii="Times New Roman" w:hAnsi="Times New Roman" w:cs="Times New Roman"/>
        </w:rPr>
        <w:t xml:space="preserve"> as </w:t>
      </w:r>
      <w:r w:rsidRPr="00B76F59">
        <w:rPr>
          <w:rFonts w:ascii="Times New Roman" w:hAnsi="Times New Roman" w:cs="Times New Roman"/>
        </w:rPr>
        <w:t xml:space="preserve">pairwise </w:t>
      </w:r>
      <w:r>
        <w:rPr>
          <w:rFonts w:ascii="Times New Roman" w:hAnsi="Times New Roman" w:cs="Times New Roman"/>
        </w:rPr>
        <w:t xml:space="preserve">similarity, clustering scheme slightly variates when different </w:t>
      </w:r>
      <w:r w:rsidRPr="00B76F59">
        <w:rPr>
          <w:rFonts w:ascii="Times New Roman" w:hAnsi="Times New Roman" w:cs="Times New Roman"/>
        </w:rPr>
        <w:t xml:space="preserve">pairwise </w:t>
      </w:r>
      <w:r>
        <w:rPr>
          <w:rFonts w:ascii="Times New Roman" w:hAnsi="Times New Roman" w:cs="Times New Roman"/>
        </w:rPr>
        <w:t>similarity measurements methods are used).</w:t>
      </w:r>
    </w:p>
    <w:p w:rsidR="00A40659" w:rsidRPr="00A40659" w:rsidRDefault="00A40659" w:rsidP="00A40659">
      <w:pPr>
        <w:pStyle w:val="ListParagraph"/>
        <w:numPr>
          <w:ilvl w:val="0"/>
          <w:numId w:val="3"/>
        </w:numPr>
        <w:rPr>
          <w:rFonts w:ascii="Times New Roman" w:hAnsi="Times New Roman" w:cs="Times New Roman"/>
          <w:b/>
        </w:rPr>
      </w:pPr>
      <w:r w:rsidRPr="00A40659">
        <w:rPr>
          <w:rFonts w:ascii="Times New Roman" w:hAnsi="Times New Roman" w:cs="Times New Roman"/>
          <w:b/>
        </w:rPr>
        <w:t>Bipartite Network Modularity</w:t>
      </w:r>
    </w:p>
    <w:p w:rsidR="00A40659" w:rsidRDefault="00A40659" w:rsidP="00A40659">
      <w:pPr>
        <w:rPr>
          <w:rFonts w:ascii="Times New Roman" w:hAnsi="Times New Roman" w:cs="Times New Roman"/>
        </w:rPr>
      </w:pPr>
      <w:r>
        <w:rPr>
          <w:rFonts w:ascii="Times New Roman" w:hAnsi="Times New Roman" w:cs="Times New Roman"/>
        </w:rPr>
        <w:lastRenderedPageBreak/>
        <w:t>The relationship between SNPs and patients can be modeled with a bipartite network [6]. It has been reported that the heterogeneity information with the data can be reflected by the network [7]. Based on the constructed bipartite network, we measure modularity using method developed by Newman [8]. This is an especially powerful method compared to the above mentioned ones, because the cluster specific SNPs are also highlighted.</w:t>
      </w:r>
    </w:p>
    <w:p w:rsidR="00C07C73" w:rsidRDefault="00C07C73" w:rsidP="00636FA3">
      <w:pPr>
        <w:rPr>
          <w:rFonts w:ascii="Times New Roman" w:hAnsi="Times New Roman" w:cs="Times New Roman"/>
        </w:rPr>
      </w:pPr>
    </w:p>
    <w:p w:rsidR="00852657" w:rsidRPr="00ED7EEC" w:rsidRDefault="00852657" w:rsidP="00852657">
      <w:pPr>
        <w:rPr>
          <w:rFonts w:ascii="Times New Roman" w:hAnsi="Times New Roman" w:cs="Times New Roman"/>
          <w:b/>
        </w:rPr>
      </w:pPr>
      <w:r w:rsidRPr="00ED7EEC">
        <w:rPr>
          <w:rFonts w:ascii="Times New Roman" w:hAnsi="Times New Roman" w:cs="Times New Roman" w:hint="eastAsia"/>
          <w:b/>
        </w:rPr>
        <w:t>Unsupervised Clustering</w:t>
      </w:r>
      <w:r>
        <w:rPr>
          <w:rFonts w:ascii="Times New Roman" w:hAnsi="Times New Roman" w:cs="Times New Roman"/>
          <w:b/>
        </w:rPr>
        <w:t xml:space="preserve"> </w:t>
      </w:r>
      <w:r>
        <w:rPr>
          <w:rFonts w:ascii="Times New Roman" w:hAnsi="Times New Roman" w:cs="Times New Roman" w:hint="eastAsia"/>
          <w:b/>
        </w:rPr>
        <w:t>--</w:t>
      </w:r>
      <w:r>
        <w:rPr>
          <w:rFonts w:ascii="Times New Roman" w:hAnsi="Times New Roman" w:cs="Times New Roman"/>
          <w:b/>
        </w:rPr>
        <w:t xml:space="preserve"> R</w:t>
      </w:r>
      <w:r>
        <w:rPr>
          <w:rFonts w:ascii="Times New Roman" w:hAnsi="Times New Roman" w:cs="Times New Roman" w:hint="eastAsia"/>
          <w:b/>
        </w:rPr>
        <w:t>esult</w:t>
      </w:r>
    </w:p>
    <w:p w:rsidR="00852657" w:rsidRDefault="00AA05FC" w:rsidP="00636FA3">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practice, outliers always exist and will impede and distort the clustering result. It is also the case in our experiments. Exome-</w:t>
      </w:r>
      <w:proofErr w:type="spellStart"/>
      <w:r>
        <w:rPr>
          <w:rFonts w:ascii="Times New Roman" w:hAnsi="Times New Roman" w:cs="Times New Roman"/>
        </w:rPr>
        <w:t>seq</w:t>
      </w:r>
      <w:proofErr w:type="spellEnd"/>
      <w:r>
        <w:rPr>
          <w:rFonts w:ascii="Times New Roman" w:hAnsi="Times New Roman" w:cs="Times New Roman"/>
        </w:rPr>
        <w:t xml:space="preserve"> data are composed of 645 samples, while around 20 samples may be deemed as outliers, although they may not be and it is just due to limited samples. In our analysis, we choose to regard them as outliers to prevent their influence on other clusters </w:t>
      </w:r>
      <w:r w:rsidR="00A21928">
        <w:rPr>
          <w:rFonts w:ascii="Times New Roman" w:hAnsi="Times New Roman" w:cs="Times New Roman"/>
        </w:rPr>
        <w:t xml:space="preserve">which are </w:t>
      </w:r>
      <w:r>
        <w:rPr>
          <w:rFonts w:ascii="Times New Roman" w:hAnsi="Times New Roman" w:cs="Times New Roman"/>
        </w:rPr>
        <w:t>with great confidence.</w:t>
      </w:r>
    </w:p>
    <w:p w:rsidR="004D51C9" w:rsidRDefault="00FD654F" w:rsidP="00636FA3">
      <w:pPr>
        <w:rPr>
          <w:rFonts w:ascii="Times New Roman" w:hAnsi="Times New Roman" w:cs="Times New Roman"/>
        </w:rPr>
      </w:pPr>
      <w:r>
        <w:rPr>
          <w:rFonts w:ascii="Times New Roman" w:hAnsi="Times New Roman" w:cs="Times New Roman"/>
        </w:rPr>
        <w:t>There are 4 kinds of cohorts composing all the 645 samples, i.e. Parkinson’s Disease (PD), Health Control (HC)</w:t>
      </w:r>
      <w:r w:rsidR="00201A29">
        <w:rPr>
          <w:rFonts w:ascii="Times New Roman" w:hAnsi="Times New Roman" w:cs="Times New Roman"/>
        </w:rPr>
        <w:t>, SWEDD, Unknown</w:t>
      </w:r>
      <w:r>
        <w:rPr>
          <w:rFonts w:ascii="Times New Roman" w:hAnsi="Times New Roman" w:cs="Times New Roman"/>
        </w:rPr>
        <w:t xml:space="preserve"> (PPMI doesn’t provide their information). </w:t>
      </w:r>
      <w:r w:rsidR="00AE0490">
        <w:rPr>
          <w:rFonts w:ascii="Times New Roman" w:hAnsi="Times New Roman" w:cs="Times New Roman" w:hint="eastAsia"/>
        </w:rPr>
        <w:t xml:space="preserve">After </w:t>
      </w:r>
      <w:r w:rsidR="00AE0490">
        <w:rPr>
          <w:rFonts w:ascii="Times New Roman" w:hAnsi="Times New Roman" w:cs="Times New Roman"/>
        </w:rPr>
        <w:t xml:space="preserve">comparison with various result in our experiments, we think that there are </w:t>
      </w:r>
      <w:r>
        <w:rPr>
          <w:rFonts w:ascii="Times New Roman" w:hAnsi="Times New Roman" w:cs="Times New Roman"/>
        </w:rPr>
        <w:t xml:space="preserve">five parts of samples: one part for HC, </w:t>
      </w:r>
      <w:r w:rsidR="00AE0490">
        <w:rPr>
          <w:rFonts w:ascii="Times New Roman" w:hAnsi="Times New Roman" w:cs="Times New Roman"/>
        </w:rPr>
        <w:t>three main subtypes of PD</w:t>
      </w:r>
      <w:r>
        <w:rPr>
          <w:rFonts w:ascii="Times New Roman" w:hAnsi="Times New Roman" w:cs="Times New Roman"/>
        </w:rPr>
        <w:t xml:space="preserve"> and one part for outliers, </w:t>
      </w:r>
      <w:r w:rsidR="008E5BAA">
        <w:rPr>
          <w:rFonts w:ascii="Times New Roman" w:hAnsi="Times New Roman" w:cs="Times New Roman"/>
        </w:rPr>
        <w:t>as illustrated below</w:t>
      </w:r>
      <w:r w:rsidR="00AE0490">
        <w:rPr>
          <w:rFonts w:ascii="Times New Roman" w:hAnsi="Times New Roman" w:cs="Times New Roman"/>
        </w:rPr>
        <w:t>.</w:t>
      </w:r>
      <w:r w:rsidR="008E5BAA">
        <w:rPr>
          <w:rFonts w:ascii="Times New Roman" w:hAnsi="Times New Roman" w:cs="Times New Roman"/>
        </w:rPr>
        <w:t xml:space="preserve"> We will use Birch method to </w:t>
      </w:r>
      <w:r w:rsidR="00E645EA">
        <w:rPr>
          <w:rFonts w:ascii="Times New Roman" w:hAnsi="Times New Roman" w:cs="Times New Roman"/>
        </w:rPr>
        <w:t>show the result.</w:t>
      </w:r>
    </w:p>
    <w:p w:rsidR="00A10DF2" w:rsidRDefault="0044463E" w:rsidP="00636FA3">
      <w:pPr>
        <w:rPr>
          <w:rFonts w:ascii="Times New Roman" w:hAnsi="Times New Roman" w:cs="Times New Roman"/>
        </w:rPr>
      </w:pPr>
      <w:r>
        <w:rPr>
          <w:rFonts w:ascii="Times New Roman" w:hAnsi="Times New Roman" w:cs="Times New Roman" w:hint="eastAsia"/>
        </w:rPr>
        <w:t xml:space="preserve">We first set the cluster number to around 20 to tell which samples are outliers. </w:t>
      </w:r>
      <w:r>
        <w:rPr>
          <w:rFonts w:ascii="Times New Roman" w:hAnsi="Times New Roman" w:cs="Times New Roman"/>
        </w:rPr>
        <w:t xml:space="preserve">In this case, all the other four parts are grouped together as one </w:t>
      </w:r>
      <w:r w:rsidR="00E55495">
        <w:rPr>
          <w:rFonts w:ascii="Times New Roman" w:hAnsi="Times New Roman" w:cs="Times New Roman"/>
        </w:rPr>
        <w:t xml:space="preserve">or two </w:t>
      </w:r>
      <w:r>
        <w:rPr>
          <w:rFonts w:ascii="Times New Roman" w:hAnsi="Times New Roman" w:cs="Times New Roman"/>
        </w:rPr>
        <w:t>cluster</w:t>
      </w:r>
      <w:r w:rsidR="00E55495">
        <w:rPr>
          <w:rFonts w:ascii="Times New Roman" w:hAnsi="Times New Roman" w:cs="Times New Roman"/>
        </w:rPr>
        <w:t>s</w:t>
      </w:r>
      <w:r>
        <w:rPr>
          <w:rFonts w:ascii="Times New Roman" w:hAnsi="Times New Roman" w:cs="Times New Roman"/>
        </w:rPr>
        <w:t xml:space="preserve"> and outliers are assigned to different clusters, usually one alone as one cluster.</w:t>
      </w:r>
      <w:r w:rsidR="00704191">
        <w:rPr>
          <w:rFonts w:ascii="Times New Roman" w:hAnsi="Times New Roman" w:cs="Times New Roman"/>
        </w:rPr>
        <w:t xml:space="preserve"> Then, we</w:t>
      </w:r>
      <w:r w:rsidR="00E55495">
        <w:rPr>
          <w:rFonts w:ascii="Times New Roman" w:hAnsi="Times New Roman" w:cs="Times New Roman"/>
        </w:rPr>
        <w:t xml:space="preserve"> set cluster number to 30. Now, the leftmost part is divided into several clusters, each with ample samples. </w:t>
      </w:r>
    </w:p>
    <w:p w:rsidR="00AA05FC" w:rsidRDefault="00E55495" w:rsidP="00636FA3">
      <w:pPr>
        <w:rPr>
          <w:rFonts w:ascii="Times New Roman" w:hAnsi="Times New Roman" w:cs="Times New Roman"/>
        </w:rPr>
      </w:pPr>
      <w:r>
        <w:rPr>
          <w:rFonts w:ascii="Times New Roman" w:hAnsi="Times New Roman" w:cs="Times New Roman" w:hint="eastAsia"/>
        </w:rPr>
        <w:t xml:space="preserve">In the following </w:t>
      </w:r>
      <w:r>
        <w:rPr>
          <w:rFonts w:ascii="Times New Roman" w:hAnsi="Times New Roman" w:cs="Times New Roman"/>
        </w:rPr>
        <w:t>figures, samples from same cohorts are shown with the same shape, while samples clustered within the same group are shown with the same color.</w:t>
      </w:r>
    </w:p>
    <w:p w:rsidR="00AC08EF" w:rsidRDefault="00FF7EB2" w:rsidP="00636FA3">
      <w:pPr>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pPr>
      <w:r>
        <w:rPr>
          <w:rFonts w:ascii="Times New Roman" w:hAnsi="Times New Roman" w:cs="Times New Roman"/>
        </w:rPr>
        <w:t>When cluster number equals 20:</w:t>
      </w:r>
      <w:r w:rsidR="00AC08EF" w:rsidRPr="00AC08EF">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t xml:space="preserve"> </w:t>
      </w:r>
    </w:p>
    <w:p w:rsidR="00FF7EB2" w:rsidRDefault="00AC08EF" w:rsidP="00AC08EF">
      <w:pPr>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8240" behindDoc="0" locked="0" layoutInCell="1" allowOverlap="1" wp14:anchorId="54F18540" wp14:editId="5091B8CC">
                <wp:simplePos x="0" y="0"/>
                <wp:positionH relativeFrom="column">
                  <wp:posOffset>1501140</wp:posOffset>
                </wp:positionH>
                <wp:positionV relativeFrom="paragraph">
                  <wp:posOffset>1245235</wp:posOffset>
                </wp:positionV>
                <wp:extent cx="777485" cy="352068"/>
                <wp:effectExtent l="0" t="0" r="22860" b="10160"/>
                <wp:wrapNone/>
                <wp:docPr id="3" name="Rectangle 3"/>
                <wp:cNvGraphicFramePr/>
                <a:graphic xmlns:a="http://schemas.openxmlformats.org/drawingml/2006/main">
                  <a:graphicData uri="http://schemas.microsoft.com/office/word/2010/wordprocessingShape">
                    <wps:wsp>
                      <wps:cNvSpPr/>
                      <wps:spPr>
                        <a:xfrm>
                          <a:off x="0" y="0"/>
                          <a:ext cx="777485" cy="35206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23E2C3" id="Rectangle 3" o:spid="_x0000_s1026" style="position:absolute;left:0;text-align:left;margin-left:118.2pt;margin-top:98.05pt;width:61.2pt;height:27.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" filled="f" strokecolor="#243f60 [1604]" strokeweight="2pt"/>
            </w:pict>
          </mc:Fallback>
        </mc:AlternateContent>
      </w:r>
      <w:r w:rsidRPr="008D2D72">
        <w:rPr>
          <w:rFonts w:ascii="Times New Roman" w:eastAsia="Times New Roman" w:hAnsi="Times New Roman" w:cs="Times New Roman"/>
          <w:noProof/>
          <w:snapToGrid w:val="0"/>
          <w:color w:val="000000"/>
          <w:w w:val="0"/>
          <w:sz w:val="0"/>
          <w:szCs w:val="0"/>
          <w:u w:color="000000"/>
          <w:bdr w:val="none" w:sz="0" w:space="0" w:color="000000"/>
          <w:shd w:val="clear" w:color="000000" w:fill="000000"/>
        </w:rPr>
        <w:drawing>
          <wp:inline distT="0" distB="0" distL="0" distR="0" wp14:anchorId="528226FE" wp14:editId="661EB616">
            <wp:extent cx="4775198" cy="3581400"/>
            <wp:effectExtent l="0" t="0" r="6985" b="0"/>
            <wp:docPr id="11" name="Picture 11" descr="D:\@All\Scientific Research\我的Projects\2. PPMI\Exome Samples Clustering_cluNo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ll\Scientific Research\我的Projects\2. PPMI\Exome Samples Clustering_cluNo18.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82661" cy="3586997"/>
                    </a:xfrm>
                    <a:prstGeom prst="rect">
                      <a:avLst/>
                    </a:prstGeom>
                    <a:noFill/>
                    <a:ln>
                      <a:noFill/>
                    </a:ln>
                  </pic:spPr>
                </pic:pic>
              </a:graphicData>
            </a:graphic>
          </wp:inline>
        </w:drawing>
      </w:r>
    </w:p>
    <w:p w:rsidR="00AC08EF" w:rsidRDefault="00AC08EF" w:rsidP="00636FA3">
      <w:pPr>
        <w:rPr>
          <w:rFonts w:ascii="Times New Roman" w:hAnsi="Times New Roman" w:cs="Times New Roman"/>
        </w:rPr>
      </w:pPr>
      <w:bookmarkStart w:id="0" w:name="_GoBack"/>
      <w:bookmarkEnd w:id="0"/>
    </w:p>
    <w:p w:rsidR="00FF7EB2" w:rsidRDefault="00133DEE" w:rsidP="00FF7EB2">
      <w:pPr>
        <w:jc w:val="center"/>
        <w:rPr>
          <w:rFonts w:ascii="Times New Roman" w:hAnsi="Times New Roman" w:cs="Times New Roman"/>
        </w:rPr>
      </w:pPr>
      <w:r w:rsidRPr="00133DEE">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AA05FC" w:rsidRDefault="00133DEE" w:rsidP="00636FA3">
      <w:pPr>
        <w:rPr>
          <w:rFonts w:ascii="Times New Roman" w:hAnsi="Times New Roman" w:cs="Times New Roman"/>
        </w:rPr>
      </w:pPr>
      <w:r>
        <w:rPr>
          <w:rFonts w:ascii="Times New Roman" w:hAnsi="Times New Roman" w:cs="Times New Roman" w:hint="eastAsia"/>
        </w:rPr>
        <w:t>We can see that over 600 samples in the blue rectangle are clustered together.</w:t>
      </w:r>
    </w:p>
    <w:p w:rsidR="00133DEE" w:rsidRDefault="00133DEE" w:rsidP="00636FA3">
      <w:pPr>
        <w:rPr>
          <w:rFonts w:ascii="Times New Roman" w:hAnsi="Times New Roman" w:cs="Times New Roman"/>
        </w:rPr>
      </w:pPr>
      <w:r>
        <w:rPr>
          <w:rFonts w:ascii="Times New Roman" w:hAnsi="Times New Roman" w:cs="Times New Roman"/>
        </w:rPr>
        <w:t>Next, when cluster number equals 30 (show the blue rectangle area):</w:t>
      </w:r>
    </w:p>
    <w:p w:rsidR="00133DEE" w:rsidRDefault="000B2F3C" w:rsidP="00133DEE">
      <w:pPr>
        <w:jc w:val="cente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800" behindDoc="0" locked="0" layoutInCell="1" allowOverlap="1" wp14:anchorId="1678D1A7" wp14:editId="340FC005">
                <wp:simplePos x="0" y="0"/>
                <wp:positionH relativeFrom="column">
                  <wp:posOffset>466596</wp:posOffset>
                </wp:positionH>
                <wp:positionV relativeFrom="paragraph">
                  <wp:posOffset>987426</wp:posOffset>
                </wp:positionV>
                <wp:extent cx="1277995" cy="791579"/>
                <wp:effectExtent l="0" t="76200" r="0" b="66040"/>
                <wp:wrapNone/>
                <wp:docPr id="8" name="Oval 8"/>
                <wp:cNvGraphicFramePr/>
                <a:graphic xmlns:a="http://schemas.openxmlformats.org/drawingml/2006/main">
                  <a:graphicData uri="http://schemas.microsoft.com/office/word/2010/wordprocessingShape">
                    <wps:wsp>
                      <wps:cNvSpPr/>
                      <wps:spPr>
                        <a:xfrm rot="20081560">
                          <a:off x="0" y="0"/>
                          <a:ext cx="1277995" cy="791579"/>
                        </a:xfrm>
                        <a:prstGeom prst="ellipse">
                          <a:avLst/>
                        </a:prstGeom>
                        <a:noFill/>
                        <a:ln w="9525">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4A9E9D" id="Oval 8" o:spid="_x0000_s1026" style="position:absolute;left:0;text-align:left;margin-left:36.75pt;margin-top:77.75pt;width:100.65pt;height:62.35pt;rotation:-1658541fd;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" filled="f" strokecolor="yellow"/>
            </w:pict>
          </mc:Fallback>
        </mc:AlternateContent>
      </w:r>
      <w:r>
        <w:rPr>
          <w:rFonts w:ascii="Times New Roman" w:hAnsi="Times New Roman" w:cs="Times New Roman"/>
          <w:noProof/>
        </w:rPr>
        <mc:AlternateContent>
          <mc:Choice Requires="wps">
            <w:drawing>
              <wp:anchor distT="0" distB="0" distL="114300" distR="114300" simplePos="0" relativeHeight="251658752" behindDoc="0" locked="0" layoutInCell="1" allowOverlap="1" wp14:anchorId="47DFAC5B" wp14:editId="6AE3F214">
                <wp:simplePos x="0" y="0"/>
                <wp:positionH relativeFrom="column">
                  <wp:posOffset>507521</wp:posOffset>
                </wp:positionH>
                <wp:positionV relativeFrom="paragraph">
                  <wp:posOffset>1154233</wp:posOffset>
                </wp:positionV>
                <wp:extent cx="1456749" cy="732777"/>
                <wp:effectExtent l="19050" t="19050" r="10160" b="10795"/>
                <wp:wrapNone/>
                <wp:docPr id="7" name="Oval 7"/>
                <wp:cNvGraphicFramePr/>
                <a:graphic xmlns:a="http://schemas.openxmlformats.org/drawingml/2006/main">
                  <a:graphicData uri="http://schemas.microsoft.com/office/word/2010/wordprocessingShape">
                    <wps:wsp>
                      <wps:cNvSpPr/>
                      <wps:spPr>
                        <a:xfrm rot="21439471">
                          <a:off x="0" y="0"/>
                          <a:ext cx="1456749" cy="732777"/>
                        </a:xfrm>
                        <a:prstGeom prst="ellipse">
                          <a:avLst/>
                        </a:prstGeom>
                        <a:noFill/>
                        <a:ln w="952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4A7FF2" id="Oval 7" o:spid="_x0000_s1026" style="position:absolute;left:0;text-align:left;margin-left:39.95pt;margin-top:90.9pt;width:114.7pt;height:57.7pt;rotation:-175340fd;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" filled="f" strokecolor="red"/>
            </w:pict>
          </mc:Fallback>
        </mc:AlternateContent>
      </w:r>
      <w:r>
        <w:rPr>
          <w:rFonts w:ascii="Times New Roman" w:hAnsi="Times New Roman" w:cs="Times New Roman"/>
          <w:noProof/>
        </w:rPr>
        <mc:AlternateContent>
          <mc:Choice Requires="wps">
            <w:drawing>
              <wp:anchor distT="0" distB="0" distL="114300" distR="114300" simplePos="0" relativeHeight="251655680" behindDoc="0" locked="0" layoutInCell="1" allowOverlap="1" wp14:anchorId="1BAC4AF1" wp14:editId="3BC3CBE7">
                <wp:simplePos x="0" y="0"/>
                <wp:positionH relativeFrom="column">
                  <wp:posOffset>1285807</wp:posOffset>
                </wp:positionH>
                <wp:positionV relativeFrom="paragraph">
                  <wp:posOffset>870201</wp:posOffset>
                </wp:positionV>
                <wp:extent cx="1755000" cy="1240997"/>
                <wp:effectExtent l="0" t="0" r="17145" b="16510"/>
                <wp:wrapNone/>
                <wp:docPr id="6" name="Oval 6"/>
                <wp:cNvGraphicFramePr/>
                <a:graphic xmlns:a="http://schemas.openxmlformats.org/drawingml/2006/main">
                  <a:graphicData uri="http://schemas.microsoft.com/office/word/2010/wordprocessingShape">
                    <wps:wsp>
                      <wps:cNvSpPr/>
                      <wps:spPr>
                        <a:xfrm>
                          <a:off x="0" y="0"/>
                          <a:ext cx="1755000" cy="1240997"/>
                        </a:xfrm>
                        <a:prstGeom prst="ellipse">
                          <a:avLst/>
                        </a:prstGeom>
                        <a:noFill/>
                        <a:ln w="952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CC1751" id="Oval 6" o:spid="_x0000_s1026" style="position:absolute;left:0;text-align:left;margin-left:101.25pt;margin-top:68.5pt;width:138.2pt;height:9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" filled="f" strokecolor="#7030a0"/>
            </w:pict>
          </mc:Fallback>
        </mc:AlternateContent>
      </w:r>
      <w:r>
        <w:rPr>
          <w:rFonts w:ascii="Times New Roman" w:hAnsi="Times New Roman" w:cs="Times New Roman"/>
          <w:noProof/>
        </w:rPr>
        <mc:AlternateContent>
          <mc:Choice Requires="wps">
            <w:drawing>
              <wp:anchor distT="0" distB="0" distL="114300" distR="114300" simplePos="0" relativeHeight="251654656" behindDoc="0" locked="0" layoutInCell="1" allowOverlap="1">
                <wp:simplePos x="0" y="0"/>
                <wp:positionH relativeFrom="column">
                  <wp:posOffset>3285972</wp:posOffset>
                </wp:positionH>
                <wp:positionV relativeFrom="paragraph">
                  <wp:posOffset>493874</wp:posOffset>
                </wp:positionV>
                <wp:extent cx="2640514" cy="2395804"/>
                <wp:effectExtent l="0" t="0" r="26670" b="24130"/>
                <wp:wrapNone/>
                <wp:docPr id="2" name="Oval 2"/>
                <wp:cNvGraphicFramePr/>
                <a:graphic xmlns:a="http://schemas.openxmlformats.org/drawingml/2006/main">
                  <a:graphicData uri="http://schemas.microsoft.com/office/word/2010/wordprocessingShape">
                    <wps:wsp>
                      <wps:cNvSpPr/>
                      <wps:spPr>
                        <a:xfrm>
                          <a:off x="0" y="0"/>
                          <a:ext cx="2640514" cy="2395804"/>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72CE372" id="Oval 2" o:spid="_x0000_s1026" style="position:absolute;left:0;text-align:left;margin-left:258.75pt;margin-top:38.9pt;width:207.9pt;height:188.6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" filled="f" strokecolor="black [3213]"/>
            </w:pict>
          </mc:Fallback>
        </mc:AlternateContent>
      </w:r>
      <w:r w:rsidR="00133DEE" w:rsidRPr="00133DEE">
        <w:rPr>
          <w:rFonts w:ascii="Times New Roman" w:hAnsi="Times New Roman" w:cs="Times New Roman"/>
          <w:noProof/>
        </w:rPr>
        <w:drawing>
          <wp:inline distT="0" distB="0" distL="0" distR="0">
            <wp:extent cx="5987470" cy="3290862"/>
            <wp:effectExtent l="0" t="0" r="0" b="5080"/>
            <wp:docPr id="5" name="Picture 5" descr="C:\Users\JH Sun\Desktop\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H Sun\Desktop\figure_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652" r="9420" b="4323"/>
                    <a:stretch/>
                  </pic:blipFill>
                  <pic:spPr bwMode="auto">
                    <a:xfrm>
                      <a:off x="0" y="0"/>
                      <a:ext cx="5998042" cy="3296673"/>
                    </a:xfrm>
                    <a:prstGeom prst="rect">
                      <a:avLst/>
                    </a:prstGeom>
                    <a:noFill/>
                    <a:ln>
                      <a:noFill/>
                    </a:ln>
                    <a:extLst>
                      <a:ext uri="{53640926-AAD7-44D8-BBD7-CCE9431645EC}">
                        <a14:shadowObscured xmlns:a14="http://schemas.microsoft.com/office/drawing/2010/main"/>
                      </a:ext>
                    </a:extLst>
                  </pic:spPr>
                </pic:pic>
              </a:graphicData>
            </a:graphic>
          </wp:inline>
        </w:drawing>
      </w:r>
    </w:p>
    <w:p w:rsidR="00350406" w:rsidRDefault="00350406" w:rsidP="00133DEE">
      <w:pPr>
        <w:jc w:val="center"/>
        <w:rPr>
          <w:rFonts w:ascii="Times New Roman" w:hAnsi="Times New Roman" w:cs="Times New Roman"/>
        </w:rPr>
      </w:pPr>
      <w:r w:rsidRPr="00350406">
        <w:rPr>
          <w:rFonts w:ascii="Times New Roman" w:hAnsi="Times New Roman" w:cs="Times New Roman"/>
          <w:noProof/>
        </w:rPr>
        <w:drawing>
          <wp:inline distT="0" distB="0" distL="0" distR="0">
            <wp:extent cx="5999833" cy="3270174"/>
            <wp:effectExtent l="0" t="0" r="1270" b="6985"/>
            <wp:docPr id="9" name="Picture 9" descr="C:\Users\JH Sun\Desktop\figure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 Sun\Desktop\figure_1-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653" r="9173" b="4840"/>
                    <a:stretch/>
                  </pic:blipFill>
                  <pic:spPr bwMode="auto">
                    <a:xfrm>
                      <a:off x="0" y="0"/>
                      <a:ext cx="6018497" cy="3280347"/>
                    </a:xfrm>
                    <a:prstGeom prst="rect">
                      <a:avLst/>
                    </a:prstGeom>
                    <a:noFill/>
                    <a:ln>
                      <a:noFill/>
                    </a:ln>
                    <a:extLst>
                      <a:ext uri="{53640926-AAD7-44D8-BBD7-CCE9431645EC}">
                        <a14:shadowObscured xmlns:a14="http://schemas.microsoft.com/office/drawing/2010/main"/>
                      </a:ext>
                    </a:extLst>
                  </pic:spPr>
                </pic:pic>
              </a:graphicData>
            </a:graphic>
          </wp:inline>
        </w:drawing>
      </w:r>
    </w:p>
    <w:p w:rsidR="00AA05FC" w:rsidRDefault="00BE76BE" w:rsidP="00636FA3">
      <w:pPr>
        <w:rPr>
          <w:rFonts w:ascii="Times New Roman" w:hAnsi="Times New Roman" w:cs="Times New Roman"/>
        </w:rPr>
      </w:pPr>
      <w:r>
        <w:rPr>
          <w:rFonts w:ascii="Times New Roman" w:hAnsi="Times New Roman" w:cs="Times New Roman" w:hint="eastAsia"/>
        </w:rPr>
        <w:t xml:space="preserve">We can find that </w:t>
      </w:r>
      <w:r>
        <w:rPr>
          <w:rFonts w:ascii="Times New Roman" w:hAnsi="Times New Roman" w:cs="Times New Roman"/>
        </w:rPr>
        <w:t xml:space="preserve">most </w:t>
      </w:r>
      <w:r>
        <w:rPr>
          <w:rFonts w:ascii="Times New Roman" w:hAnsi="Times New Roman" w:cs="Times New Roman" w:hint="eastAsia"/>
        </w:rPr>
        <w:t>HC and SWEDD</w:t>
      </w:r>
      <w:r>
        <w:rPr>
          <w:rFonts w:ascii="Times New Roman" w:hAnsi="Times New Roman" w:cs="Times New Roman"/>
        </w:rPr>
        <w:t xml:space="preserve"> are clust</w:t>
      </w:r>
      <w:r w:rsidR="00A66CCF">
        <w:rPr>
          <w:rFonts w:ascii="Times New Roman" w:hAnsi="Times New Roman" w:cs="Times New Roman"/>
        </w:rPr>
        <w:t>ered in yellow in the left most.</w:t>
      </w:r>
      <w:r>
        <w:rPr>
          <w:rFonts w:ascii="Times New Roman" w:hAnsi="Times New Roman" w:cs="Times New Roman"/>
        </w:rPr>
        <w:t xml:space="preserve"> </w:t>
      </w:r>
      <w:r w:rsidR="00A66CCF">
        <w:rPr>
          <w:rFonts w:ascii="Times New Roman" w:hAnsi="Times New Roman" w:cs="Times New Roman"/>
        </w:rPr>
        <w:t xml:space="preserve">This </w:t>
      </w:r>
      <w:r>
        <w:rPr>
          <w:rFonts w:ascii="Times New Roman" w:hAnsi="Times New Roman" w:cs="Times New Roman"/>
        </w:rPr>
        <w:t>on one side</w:t>
      </w:r>
      <w:r w:rsidR="00080CB7">
        <w:rPr>
          <w:rFonts w:ascii="Times New Roman" w:hAnsi="Times New Roman" w:cs="Times New Roman"/>
        </w:rPr>
        <w:t xml:space="preserve"> provides a novel and very accurate way to distinguish PD patients with SWEDD patients</w:t>
      </w:r>
      <w:r>
        <w:rPr>
          <w:rFonts w:ascii="Times New Roman" w:hAnsi="Times New Roman" w:cs="Times New Roman"/>
        </w:rPr>
        <w:t xml:space="preserve">, and on other side, </w:t>
      </w:r>
      <w:r w:rsidR="00A66CCF">
        <w:rPr>
          <w:rFonts w:ascii="Times New Roman" w:hAnsi="Times New Roman" w:cs="Times New Roman"/>
        </w:rPr>
        <w:t xml:space="preserve">although PD red cluster and yellow cluster are overlapped, </w:t>
      </w:r>
      <w:r w:rsidR="00432AD4">
        <w:rPr>
          <w:rFonts w:ascii="Times New Roman" w:hAnsi="Times New Roman" w:cs="Times New Roman"/>
        </w:rPr>
        <w:t>they are still</w:t>
      </w:r>
      <w:r w:rsidR="00A66CCF">
        <w:rPr>
          <w:rFonts w:ascii="Times New Roman" w:hAnsi="Times New Roman" w:cs="Times New Roman"/>
        </w:rPr>
        <w:t xml:space="preserve"> </w:t>
      </w:r>
      <w:proofErr w:type="spellStart"/>
      <w:r w:rsidR="004F7895">
        <w:rPr>
          <w:rFonts w:ascii="Times New Roman" w:hAnsi="Times New Roman" w:cs="Times New Roman"/>
        </w:rPr>
        <w:t>seperated</w:t>
      </w:r>
      <w:proofErr w:type="spellEnd"/>
      <w:r w:rsidR="00A66CCF">
        <w:rPr>
          <w:rFonts w:ascii="Times New Roman" w:hAnsi="Times New Roman" w:cs="Times New Roman"/>
        </w:rPr>
        <w:t xml:space="preserve"> clearly, which </w:t>
      </w:r>
      <w:r>
        <w:rPr>
          <w:rFonts w:ascii="Times New Roman" w:hAnsi="Times New Roman" w:cs="Times New Roman"/>
        </w:rPr>
        <w:t>pr</w:t>
      </w:r>
      <w:r w:rsidR="00432AD4">
        <w:rPr>
          <w:rFonts w:ascii="Times New Roman" w:hAnsi="Times New Roman" w:cs="Times New Roman"/>
        </w:rPr>
        <w:t xml:space="preserve">oves </w:t>
      </w:r>
      <w:r w:rsidR="0001458A">
        <w:rPr>
          <w:rFonts w:ascii="Times New Roman" w:hAnsi="Times New Roman" w:cs="Times New Roman"/>
        </w:rPr>
        <w:t xml:space="preserve">that </w:t>
      </w:r>
      <w:r w:rsidR="00432AD4">
        <w:rPr>
          <w:rFonts w:ascii="Times New Roman" w:hAnsi="Times New Roman" w:cs="Times New Roman"/>
        </w:rPr>
        <w:t>our clustering method are</w:t>
      </w:r>
      <w:r w:rsidR="0012735C">
        <w:rPr>
          <w:rFonts w:ascii="Times New Roman" w:hAnsi="Times New Roman" w:cs="Times New Roman"/>
        </w:rPr>
        <w:t xml:space="preserve"> </w:t>
      </w:r>
      <w:r w:rsidR="0012735C">
        <w:rPr>
          <w:rFonts w:ascii="Times New Roman" w:hAnsi="Times New Roman" w:cs="Times New Roman" w:hint="eastAsia"/>
        </w:rPr>
        <w:t>v</w:t>
      </w:r>
      <w:r>
        <w:rPr>
          <w:rFonts w:ascii="Times New Roman" w:hAnsi="Times New Roman" w:cs="Times New Roman"/>
        </w:rPr>
        <w:t>ery reliable!</w:t>
      </w:r>
    </w:p>
    <w:p w:rsidR="00AA05FC" w:rsidRDefault="00712489" w:rsidP="00636FA3">
      <w:pPr>
        <w:rPr>
          <w:rFonts w:ascii="Times New Roman" w:hAnsi="Times New Roman" w:cs="Times New Roman"/>
        </w:rPr>
      </w:pPr>
      <w:r>
        <w:rPr>
          <w:rFonts w:ascii="Times New Roman" w:hAnsi="Times New Roman" w:cs="Times New Roman" w:hint="eastAsia"/>
        </w:rPr>
        <w:lastRenderedPageBreak/>
        <w:t xml:space="preserve">Besides, if we </w:t>
      </w:r>
      <w:r>
        <w:rPr>
          <w:rFonts w:ascii="Times New Roman" w:hAnsi="Times New Roman" w:cs="Times New Roman"/>
        </w:rPr>
        <w:t>observe</w:t>
      </w:r>
      <w:r>
        <w:rPr>
          <w:rFonts w:ascii="Times New Roman" w:hAnsi="Times New Roman" w:cs="Times New Roman" w:hint="eastAsia"/>
        </w:rPr>
        <w:t xml:space="preserve"> </w:t>
      </w:r>
      <w:r>
        <w:rPr>
          <w:rFonts w:ascii="Times New Roman" w:hAnsi="Times New Roman" w:cs="Times New Roman"/>
        </w:rPr>
        <w:t>three PD subtype clusters carefully, we may discover that these three</w:t>
      </w:r>
      <w:r w:rsidR="003557ED">
        <w:rPr>
          <w:rFonts w:ascii="Times New Roman" w:hAnsi="Times New Roman" w:cs="Times New Roman"/>
        </w:rPr>
        <w:t xml:space="preserve"> subtypes may take Gaussian distribution with different mean and variance</w:t>
      </w:r>
      <w:r w:rsidR="00683117">
        <w:rPr>
          <w:rFonts w:ascii="Times New Roman" w:hAnsi="Times New Roman" w:cs="Times New Roman"/>
        </w:rPr>
        <w:t xml:space="preserve"> in the embedded space</w:t>
      </w:r>
      <w:r w:rsidR="001F3767">
        <w:rPr>
          <w:rFonts w:ascii="Times New Roman" w:hAnsi="Times New Roman" w:cs="Times New Roman"/>
        </w:rPr>
        <w:t>.</w:t>
      </w:r>
      <w:r w:rsidR="00C21A52">
        <w:rPr>
          <w:rFonts w:ascii="Times New Roman" w:hAnsi="Times New Roman" w:cs="Times New Roman"/>
        </w:rPr>
        <w:t xml:space="preserve"> Thus Gaussian Mixture Model met</w:t>
      </w:r>
      <w:r w:rsidR="00C76CBA">
        <w:rPr>
          <w:rFonts w:ascii="Times New Roman" w:hAnsi="Times New Roman" w:cs="Times New Roman"/>
        </w:rPr>
        <w:t>hod may also be applied to this problem.</w:t>
      </w:r>
      <w:r w:rsidR="00683117">
        <w:rPr>
          <w:rFonts w:ascii="Times New Roman" w:hAnsi="Times New Roman" w:cs="Times New Roman"/>
        </w:rPr>
        <w:t xml:space="preserve"> </w:t>
      </w:r>
    </w:p>
    <w:p w:rsidR="00C21A52" w:rsidRDefault="00683117" w:rsidP="00636FA3">
      <w:pPr>
        <w:rPr>
          <w:rFonts w:ascii="Times New Roman" w:hAnsi="Times New Roman" w:cs="Times New Roman"/>
        </w:rPr>
      </w:pPr>
      <w:r>
        <w:rPr>
          <w:rFonts w:ascii="Times New Roman" w:hAnsi="Times New Roman" w:cs="Times New Roman"/>
        </w:rPr>
        <w:t>Given the differences between subtypes, we are able to predict whether a new patient has PD and which subtype he belongs to if his exome-</w:t>
      </w:r>
      <w:proofErr w:type="spellStart"/>
      <w:r>
        <w:rPr>
          <w:rFonts w:ascii="Times New Roman" w:hAnsi="Times New Roman" w:cs="Times New Roman"/>
        </w:rPr>
        <w:t>seq</w:t>
      </w:r>
      <w:proofErr w:type="spellEnd"/>
      <w:r>
        <w:rPr>
          <w:rFonts w:ascii="Times New Roman" w:hAnsi="Times New Roman" w:cs="Times New Roman"/>
        </w:rPr>
        <w:t xml:space="preserve"> data </w:t>
      </w:r>
      <w:r w:rsidR="00D812E6">
        <w:rPr>
          <w:rFonts w:ascii="Times New Roman" w:hAnsi="Times New Roman" w:cs="Times New Roman"/>
        </w:rPr>
        <w:t xml:space="preserve">or even just risk gene mutations profile </w:t>
      </w:r>
      <w:r>
        <w:rPr>
          <w:rFonts w:ascii="Times New Roman" w:hAnsi="Times New Roman" w:cs="Times New Roman"/>
        </w:rPr>
        <w:t xml:space="preserve">is available and thus, may be able to provide him with </w:t>
      </w:r>
      <w:r w:rsidR="009E1F2A">
        <w:rPr>
          <w:rFonts w:ascii="Times New Roman" w:hAnsi="Times New Roman" w:cs="Times New Roman"/>
        </w:rPr>
        <w:t xml:space="preserve">more precise prognosis and </w:t>
      </w:r>
      <w:r>
        <w:rPr>
          <w:rFonts w:ascii="Times New Roman" w:hAnsi="Times New Roman" w:cs="Times New Roman"/>
        </w:rPr>
        <w:t>personalized treatments and medication</w:t>
      </w:r>
      <w:r>
        <w:rPr>
          <w:rFonts w:ascii="Times New Roman" w:hAnsi="Times New Roman" w:cs="Times New Roman" w:hint="eastAsia"/>
        </w:rPr>
        <w:t>s</w:t>
      </w:r>
      <w:r w:rsidR="009E1F2A">
        <w:rPr>
          <w:rFonts w:ascii="Times New Roman" w:hAnsi="Times New Roman" w:cs="Times New Roman"/>
        </w:rPr>
        <w:t>.</w:t>
      </w:r>
    </w:p>
    <w:p w:rsidR="00C21A52" w:rsidRPr="00A40659" w:rsidRDefault="00D812E6" w:rsidP="00D812E6">
      <w:pPr>
        <w:rPr>
          <w:rFonts w:ascii="Times New Roman" w:hAnsi="Times New Roman" w:cs="Times New Roman"/>
        </w:rPr>
      </w:pPr>
      <w:r>
        <w:rPr>
          <w:rFonts w:ascii="Times New Roman" w:hAnsi="Times New Roman" w:cs="Times New Roman"/>
        </w:rPr>
        <w:t>We also set cluster number to 50 to repeat the Birch. The result shows that the red subtype cluster above is divided into two subtypes. It shows us the hierarchical structure nature of subtypes of PD. But since 645 samples are in fact limited, this result may take the risk of over-clustering.</w:t>
      </w:r>
      <w:r w:rsidR="00F2653D">
        <w:rPr>
          <w:rFonts w:ascii="Times New Roman" w:hAnsi="Times New Roman" w:cs="Times New Roman"/>
        </w:rPr>
        <w:t xml:space="preserve"> So we will </w:t>
      </w:r>
      <w:r w:rsidR="00024C34">
        <w:rPr>
          <w:rFonts w:ascii="Times New Roman" w:hAnsi="Times New Roman" w:cs="Times New Roman"/>
        </w:rPr>
        <w:t xml:space="preserve">stop at 30 and </w:t>
      </w:r>
      <w:r w:rsidR="00F2653D">
        <w:rPr>
          <w:rFonts w:ascii="Times New Roman" w:hAnsi="Times New Roman" w:cs="Times New Roman"/>
        </w:rPr>
        <w:t xml:space="preserve">discard this </w:t>
      </w:r>
      <w:r w:rsidR="00024C34">
        <w:rPr>
          <w:rFonts w:ascii="Times New Roman" w:hAnsi="Times New Roman" w:cs="Times New Roman"/>
        </w:rPr>
        <w:t xml:space="preserve">50-cluster </w:t>
      </w:r>
      <w:r w:rsidR="00F2653D">
        <w:rPr>
          <w:rFonts w:ascii="Times New Roman" w:hAnsi="Times New Roman" w:cs="Times New Roman"/>
        </w:rPr>
        <w:t>result until enough samples are acquired and enough proofs are got.</w:t>
      </w:r>
    </w:p>
    <w:p w:rsidR="00C75B10" w:rsidRPr="00B76F59" w:rsidRDefault="00C75B10">
      <w:pPr>
        <w:rPr>
          <w:rFonts w:ascii="Times New Roman" w:hAnsi="Times New Roman" w:cs="Times New Roman"/>
          <w:b/>
        </w:rPr>
      </w:pPr>
      <w:r w:rsidRPr="00B76F59">
        <w:rPr>
          <w:rFonts w:ascii="Times New Roman" w:hAnsi="Times New Roman" w:cs="Times New Roman"/>
          <w:b/>
        </w:rPr>
        <w:t>References</w:t>
      </w:r>
    </w:p>
    <w:p w:rsidR="00C75B10" w:rsidRDefault="00AC08EF" w:rsidP="00C75B10">
      <w:pPr>
        <w:pStyle w:val="ListParagraph"/>
        <w:numPr>
          <w:ilvl w:val="0"/>
          <w:numId w:val="1"/>
        </w:numPr>
        <w:rPr>
          <w:rFonts w:ascii="Times New Roman" w:hAnsi="Times New Roman" w:cs="Times New Roman"/>
        </w:rPr>
      </w:pPr>
      <w:hyperlink r:id="rId10" w:history="1">
        <w:r w:rsidR="00C75B10" w:rsidRPr="00E15179">
          <w:rPr>
            <w:rStyle w:val="Hyperlink"/>
            <w:rFonts w:ascii="Times New Roman" w:hAnsi="Times New Roman" w:cs="Times New Roman"/>
          </w:rPr>
          <w:t>http://bioconductor.org/packages/release/bioc/manuals/VariantAnnotation/man/VariantAnnotation.pdf</w:t>
        </w:r>
      </w:hyperlink>
    </w:p>
    <w:p w:rsidR="00C75B10" w:rsidRDefault="002E7C2B" w:rsidP="002E7C2B">
      <w:pPr>
        <w:pStyle w:val="ListParagraph"/>
        <w:numPr>
          <w:ilvl w:val="0"/>
          <w:numId w:val="1"/>
        </w:numPr>
        <w:rPr>
          <w:rFonts w:ascii="Times New Roman" w:hAnsi="Times New Roman" w:cs="Times New Roman"/>
        </w:rPr>
      </w:pPr>
      <w:r w:rsidRPr="002E7C2B">
        <w:rPr>
          <w:rFonts w:ascii="Times New Roman" w:hAnsi="Times New Roman" w:cs="Times New Roman"/>
        </w:rPr>
        <w:t>Park, H. S., &amp; Jun, C. H. (2009). A simple and fast algorithm for K-</w:t>
      </w:r>
      <w:proofErr w:type="spellStart"/>
      <w:r w:rsidRPr="002E7C2B">
        <w:rPr>
          <w:rFonts w:ascii="Times New Roman" w:hAnsi="Times New Roman" w:cs="Times New Roman"/>
        </w:rPr>
        <w:t>medoids</w:t>
      </w:r>
      <w:proofErr w:type="spellEnd"/>
      <w:r w:rsidRPr="002E7C2B">
        <w:rPr>
          <w:rFonts w:ascii="Times New Roman" w:hAnsi="Times New Roman" w:cs="Times New Roman"/>
        </w:rPr>
        <w:t xml:space="preserve"> clustering. </w:t>
      </w:r>
      <w:r w:rsidRPr="002E7C2B">
        <w:rPr>
          <w:rFonts w:ascii="Times New Roman" w:hAnsi="Times New Roman" w:cs="Times New Roman"/>
          <w:i/>
        </w:rPr>
        <w:t>Expert Systems with Applications</w:t>
      </w:r>
      <w:r w:rsidRPr="002E7C2B">
        <w:rPr>
          <w:rFonts w:ascii="Times New Roman" w:hAnsi="Times New Roman" w:cs="Times New Roman"/>
        </w:rPr>
        <w:t>, 36(2), 3336-3341.</w:t>
      </w:r>
    </w:p>
    <w:p w:rsidR="000469D0" w:rsidRDefault="000469D0" w:rsidP="000469D0">
      <w:pPr>
        <w:pStyle w:val="ListParagraph"/>
        <w:numPr>
          <w:ilvl w:val="0"/>
          <w:numId w:val="1"/>
        </w:numPr>
        <w:rPr>
          <w:rFonts w:ascii="Times New Roman" w:hAnsi="Times New Roman" w:cs="Times New Roman"/>
        </w:rPr>
      </w:pPr>
      <w:proofErr w:type="spellStart"/>
      <w:r w:rsidRPr="000469D0">
        <w:rPr>
          <w:rFonts w:ascii="Times New Roman" w:hAnsi="Times New Roman" w:cs="Times New Roman"/>
        </w:rPr>
        <w:t>Rousseeuw</w:t>
      </w:r>
      <w:proofErr w:type="spellEnd"/>
      <w:r w:rsidRPr="000469D0">
        <w:rPr>
          <w:rFonts w:ascii="Times New Roman" w:hAnsi="Times New Roman" w:cs="Times New Roman"/>
        </w:rPr>
        <w:t>, P. J. (1987). Silhouettes: a graphical aid to the interpretation and validation of cluster analysis. Journal of computational and applied mathematics, 20, 53-65.</w:t>
      </w:r>
    </w:p>
    <w:p w:rsidR="0064298B" w:rsidRDefault="0064298B" w:rsidP="0064298B">
      <w:pPr>
        <w:pStyle w:val="ListParagraph"/>
        <w:numPr>
          <w:ilvl w:val="0"/>
          <w:numId w:val="1"/>
        </w:numPr>
        <w:rPr>
          <w:rFonts w:ascii="Times New Roman" w:hAnsi="Times New Roman" w:cs="Times New Roman"/>
        </w:rPr>
      </w:pPr>
      <w:r w:rsidRPr="0064298B">
        <w:rPr>
          <w:rFonts w:ascii="Times New Roman" w:hAnsi="Times New Roman" w:cs="Times New Roman"/>
        </w:rPr>
        <w:t xml:space="preserve">Monti, S., Tamayo, P., </w:t>
      </w:r>
      <w:proofErr w:type="spellStart"/>
      <w:r w:rsidRPr="0064298B">
        <w:rPr>
          <w:rFonts w:ascii="Times New Roman" w:hAnsi="Times New Roman" w:cs="Times New Roman"/>
        </w:rPr>
        <w:t>Mesirov</w:t>
      </w:r>
      <w:proofErr w:type="spellEnd"/>
      <w:r w:rsidRPr="0064298B">
        <w:rPr>
          <w:rFonts w:ascii="Times New Roman" w:hAnsi="Times New Roman" w:cs="Times New Roman"/>
        </w:rPr>
        <w:t>, J., &amp; Golub, T. (2003). Consensus clustering: a resampling-based method for class discovery and visualization of gene expression microarray data. Machine learning, 52(1-2), 91-118.</w:t>
      </w:r>
    </w:p>
    <w:p w:rsidR="00912E87" w:rsidRDefault="003B547C" w:rsidP="003B547C">
      <w:pPr>
        <w:pStyle w:val="ListParagraph"/>
        <w:numPr>
          <w:ilvl w:val="0"/>
          <w:numId w:val="1"/>
        </w:numPr>
        <w:rPr>
          <w:rFonts w:ascii="Times New Roman" w:hAnsi="Times New Roman" w:cs="Times New Roman"/>
        </w:rPr>
      </w:pPr>
      <w:r w:rsidRPr="003B547C">
        <w:rPr>
          <w:rFonts w:ascii="Times New Roman" w:hAnsi="Times New Roman" w:cs="Times New Roman"/>
        </w:rPr>
        <w:t xml:space="preserve">Frey, B. J., &amp; </w:t>
      </w:r>
      <w:proofErr w:type="spellStart"/>
      <w:r w:rsidRPr="003B547C">
        <w:rPr>
          <w:rFonts w:ascii="Times New Roman" w:hAnsi="Times New Roman" w:cs="Times New Roman"/>
        </w:rPr>
        <w:t>Dueck</w:t>
      </w:r>
      <w:proofErr w:type="spellEnd"/>
      <w:r w:rsidRPr="003B547C">
        <w:rPr>
          <w:rFonts w:ascii="Times New Roman" w:hAnsi="Times New Roman" w:cs="Times New Roman"/>
        </w:rPr>
        <w:t>, D. (2007). Clustering by passing messages between data points. science, 315(5814), 972-976.</w:t>
      </w:r>
    </w:p>
    <w:p w:rsidR="00140434" w:rsidRDefault="00140434" w:rsidP="00140434">
      <w:pPr>
        <w:pStyle w:val="ListParagraph"/>
        <w:numPr>
          <w:ilvl w:val="0"/>
          <w:numId w:val="1"/>
        </w:numPr>
        <w:rPr>
          <w:rFonts w:ascii="Times New Roman" w:hAnsi="Times New Roman" w:cs="Times New Roman"/>
        </w:rPr>
      </w:pPr>
      <w:proofErr w:type="spellStart"/>
      <w:r w:rsidRPr="00140434">
        <w:rPr>
          <w:rFonts w:ascii="Times New Roman" w:hAnsi="Times New Roman" w:cs="Times New Roman"/>
        </w:rPr>
        <w:t>Ciriello</w:t>
      </w:r>
      <w:proofErr w:type="spellEnd"/>
      <w:r w:rsidRPr="00140434">
        <w:rPr>
          <w:rFonts w:ascii="Times New Roman" w:hAnsi="Times New Roman" w:cs="Times New Roman"/>
        </w:rPr>
        <w:t xml:space="preserve">, G., Miller, M. L., </w:t>
      </w:r>
      <w:proofErr w:type="spellStart"/>
      <w:r w:rsidRPr="00140434">
        <w:rPr>
          <w:rFonts w:ascii="Times New Roman" w:hAnsi="Times New Roman" w:cs="Times New Roman"/>
        </w:rPr>
        <w:t>Aksoy</w:t>
      </w:r>
      <w:proofErr w:type="spellEnd"/>
      <w:r w:rsidRPr="00140434">
        <w:rPr>
          <w:rFonts w:ascii="Times New Roman" w:hAnsi="Times New Roman" w:cs="Times New Roman"/>
        </w:rPr>
        <w:t xml:space="preserve">, B. A., </w:t>
      </w:r>
      <w:proofErr w:type="spellStart"/>
      <w:r w:rsidRPr="00140434">
        <w:rPr>
          <w:rFonts w:ascii="Times New Roman" w:hAnsi="Times New Roman" w:cs="Times New Roman"/>
        </w:rPr>
        <w:t>Senbabaoglu</w:t>
      </w:r>
      <w:proofErr w:type="spellEnd"/>
      <w:r w:rsidRPr="00140434">
        <w:rPr>
          <w:rFonts w:ascii="Times New Roman" w:hAnsi="Times New Roman" w:cs="Times New Roman"/>
        </w:rPr>
        <w:t>, Y., Schultz, N., &amp; Sander, C. (2013). Emerging landscape of oncogenic signatures across human cancers. Nature genetics, 45(10), 1127-1133.</w:t>
      </w:r>
    </w:p>
    <w:p w:rsidR="00140434" w:rsidRDefault="00140434" w:rsidP="00140434">
      <w:pPr>
        <w:pStyle w:val="ListParagraph"/>
        <w:numPr>
          <w:ilvl w:val="0"/>
          <w:numId w:val="1"/>
        </w:numPr>
        <w:rPr>
          <w:rFonts w:ascii="Times New Roman" w:hAnsi="Times New Roman" w:cs="Times New Roman"/>
        </w:rPr>
      </w:pPr>
      <w:r w:rsidRPr="00140434">
        <w:rPr>
          <w:rFonts w:ascii="Times New Roman" w:hAnsi="Times New Roman" w:cs="Times New Roman"/>
        </w:rPr>
        <w:t>Girvan, M., &amp; Newman, M. E. (2002). Community structure in social and biological networks. Proceedings of the national academy of sciences, 99(12), 7821-7826.</w:t>
      </w:r>
    </w:p>
    <w:p w:rsidR="00140434" w:rsidRDefault="00140434" w:rsidP="00140434">
      <w:pPr>
        <w:pStyle w:val="ListParagraph"/>
        <w:numPr>
          <w:ilvl w:val="0"/>
          <w:numId w:val="1"/>
        </w:numPr>
        <w:rPr>
          <w:rFonts w:ascii="Times New Roman" w:hAnsi="Times New Roman" w:cs="Times New Roman"/>
        </w:rPr>
      </w:pPr>
      <w:r w:rsidRPr="00140434">
        <w:rPr>
          <w:rFonts w:ascii="Times New Roman" w:hAnsi="Times New Roman" w:cs="Times New Roman"/>
        </w:rPr>
        <w:t>Newman, M. E. (2004). Fast algorithm for detecting community structure in networks. Physical review E, 69(6), 066133.</w:t>
      </w:r>
    </w:p>
    <w:p w:rsidR="002C4029" w:rsidRPr="002C4029" w:rsidRDefault="002C4029" w:rsidP="002C4029">
      <w:pPr>
        <w:pStyle w:val="ListParagraph"/>
        <w:numPr>
          <w:ilvl w:val="0"/>
          <w:numId w:val="1"/>
        </w:numPr>
        <w:rPr>
          <w:rFonts w:ascii="Times New Roman" w:hAnsi="Times New Roman" w:cs="Times New Roman"/>
        </w:rPr>
      </w:pPr>
      <w:r w:rsidRPr="002C4029">
        <w:rPr>
          <w:rFonts w:ascii="Times New Roman" w:hAnsi="Times New Roman" w:cs="Times New Roman"/>
        </w:rPr>
        <w:t xml:space="preserve">Le Roux; B. and H. </w:t>
      </w:r>
      <w:proofErr w:type="spellStart"/>
      <w:r w:rsidRPr="002C4029">
        <w:rPr>
          <w:rFonts w:ascii="Times New Roman" w:hAnsi="Times New Roman" w:cs="Times New Roman"/>
        </w:rPr>
        <w:t>Rouanet</w:t>
      </w:r>
      <w:proofErr w:type="spellEnd"/>
      <w:r w:rsidRPr="002C4029">
        <w:rPr>
          <w:rFonts w:ascii="Times New Roman" w:hAnsi="Times New Roman" w:cs="Times New Roman"/>
        </w:rPr>
        <w:t xml:space="preserve"> (2004). Geometric Data Analysis, From Correspondence Analysis to Structured Data Analysis. Dordrecht. Kluwer: p.180.</w:t>
      </w:r>
    </w:p>
    <w:p w:rsidR="002C4029" w:rsidRDefault="003B2280" w:rsidP="002C4029">
      <w:pPr>
        <w:pStyle w:val="ListParagraph"/>
        <w:numPr>
          <w:ilvl w:val="0"/>
          <w:numId w:val="1"/>
        </w:numPr>
        <w:rPr>
          <w:rFonts w:ascii="Times New Roman" w:hAnsi="Times New Roman" w:cs="Times New Roman"/>
        </w:rPr>
      </w:pPr>
      <w:proofErr w:type="spellStart"/>
      <w:r w:rsidRPr="003B2280">
        <w:rPr>
          <w:rFonts w:ascii="Times New Roman" w:hAnsi="Times New Roman" w:cs="Times New Roman"/>
        </w:rPr>
        <w:t>Lê</w:t>
      </w:r>
      <w:proofErr w:type="spellEnd"/>
      <w:r w:rsidRPr="003B2280">
        <w:rPr>
          <w:rFonts w:ascii="Times New Roman" w:hAnsi="Times New Roman" w:cs="Times New Roman"/>
        </w:rPr>
        <w:t xml:space="preserve">, S., </w:t>
      </w:r>
      <w:proofErr w:type="spellStart"/>
      <w:r w:rsidRPr="003B2280">
        <w:rPr>
          <w:rFonts w:ascii="Times New Roman" w:hAnsi="Times New Roman" w:cs="Times New Roman"/>
        </w:rPr>
        <w:t>Josse</w:t>
      </w:r>
      <w:proofErr w:type="spellEnd"/>
      <w:r w:rsidRPr="003B2280">
        <w:rPr>
          <w:rFonts w:ascii="Times New Roman" w:hAnsi="Times New Roman" w:cs="Times New Roman"/>
        </w:rPr>
        <w:t xml:space="preserve">, J. &amp; </w:t>
      </w:r>
      <w:proofErr w:type="spellStart"/>
      <w:r w:rsidRPr="003B2280">
        <w:rPr>
          <w:rFonts w:ascii="Times New Roman" w:hAnsi="Times New Roman" w:cs="Times New Roman"/>
        </w:rPr>
        <w:t>Husson</w:t>
      </w:r>
      <w:proofErr w:type="spellEnd"/>
      <w:r w:rsidRPr="003B2280">
        <w:rPr>
          <w:rFonts w:ascii="Times New Roman" w:hAnsi="Times New Roman" w:cs="Times New Roman"/>
        </w:rPr>
        <w:t>, F. (2008). </w:t>
      </w:r>
      <w:proofErr w:type="spellStart"/>
      <w:r w:rsidRPr="003B2280">
        <w:rPr>
          <w:rFonts w:ascii="Times New Roman" w:hAnsi="Times New Roman" w:cs="Times New Roman"/>
        </w:rPr>
        <w:fldChar w:fldCharType="begin"/>
      </w:r>
      <w:r w:rsidRPr="003B2280">
        <w:rPr>
          <w:rFonts w:ascii="Times New Roman" w:hAnsi="Times New Roman" w:cs="Times New Roman"/>
        </w:rPr>
        <w:instrText xml:space="preserve"> HYPERLINK "http://factominer.free.fr/docs/article_FactoMineR.pdf" \t "_blank" </w:instrText>
      </w:r>
      <w:r w:rsidRPr="003B2280">
        <w:rPr>
          <w:rFonts w:ascii="Times New Roman" w:hAnsi="Times New Roman" w:cs="Times New Roman"/>
        </w:rPr>
        <w:fldChar w:fldCharType="separate"/>
      </w:r>
      <w:r w:rsidRPr="003B2280">
        <w:rPr>
          <w:rStyle w:val="Hyperlink"/>
          <w:rFonts w:ascii="Times New Roman" w:hAnsi="Times New Roman" w:cs="Times New Roman"/>
        </w:rPr>
        <w:t>FactoMineR</w:t>
      </w:r>
      <w:proofErr w:type="spellEnd"/>
      <w:r w:rsidRPr="003B2280">
        <w:rPr>
          <w:rStyle w:val="Hyperlink"/>
          <w:rFonts w:ascii="Times New Roman" w:hAnsi="Times New Roman" w:cs="Times New Roman"/>
        </w:rPr>
        <w:t>: An R Package for Multivariate Analysis</w:t>
      </w:r>
      <w:r w:rsidRPr="003B2280">
        <w:rPr>
          <w:rFonts w:ascii="Times New Roman" w:hAnsi="Times New Roman" w:cs="Times New Roman"/>
        </w:rPr>
        <w:fldChar w:fldCharType="end"/>
      </w:r>
      <w:r w:rsidRPr="003B2280">
        <w:rPr>
          <w:rFonts w:ascii="Times New Roman" w:hAnsi="Times New Roman" w:cs="Times New Roman"/>
        </w:rPr>
        <w:t>.</w:t>
      </w:r>
      <w:r w:rsidRPr="003B2280">
        <w:rPr>
          <w:rFonts w:ascii="Times New Roman" w:hAnsi="Times New Roman" w:cs="Times New Roman"/>
          <w:i/>
          <w:iCs/>
        </w:rPr>
        <w:t>Journal of Statistical Software</w:t>
      </w:r>
      <w:r w:rsidRPr="003B2280">
        <w:rPr>
          <w:rFonts w:ascii="Times New Roman" w:hAnsi="Times New Roman" w:cs="Times New Roman"/>
        </w:rPr>
        <w:t>. </w:t>
      </w:r>
      <w:r w:rsidRPr="003B2280">
        <w:rPr>
          <w:rFonts w:ascii="Times New Roman" w:hAnsi="Times New Roman" w:cs="Times New Roman"/>
          <w:b/>
          <w:bCs/>
        </w:rPr>
        <w:t>25(1)</w:t>
      </w:r>
      <w:r w:rsidRPr="003B2280">
        <w:rPr>
          <w:rFonts w:ascii="Times New Roman" w:hAnsi="Times New Roman" w:cs="Times New Roman"/>
        </w:rPr>
        <w:t>. pp. 1-18.</w:t>
      </w:r>
    </w:p>
    <w:p w:rsidR="003B2280" w:rsidRDefault="00AC08EF" w:rsidP="003B2280">
      <w:pPr>
        <w:pStyle w:val="ListParagraph"/>
        <w:numPr>
          <w:ilvl w:val="0"/>
          <w:numId w:val="1"/>
        </w:numPr>
        <w:rPr>
          <w:rFonts w:ascii="Times New Roman" w:hAnsi="Times New Roman" w:cs="Times New Roman"/>
        </w:rPr>
      </w:pPr>
      <w:hyperlink r:id="rId11" w:history="1">
        <w:r w:rsidR="003B2280" w:rsidRPr="00924696">
          <w:rPr>
            <w:rStyle w:val="Hyperlink"/>
            <w:rFonts w:ascii="Times New Roman" w:hAnsi="Times New Roman" w:cs="Times New Roman"/>
          </w:rPr>
          <w:t>https://en.wikipedia.org/wiki/Cluster_analysis</w:t>
        </w:r>
      </w:hyperlink>
    </w:p>
    <w:p w:rsidR="003B2280" w:rsidRDefault="00AC08EF" w:rsidP="003B2280">
      <w:pPr>
        <w:pStyle w:val="ListParagraph"/>
        <w:numPr>
          <w:ilvl w:val="0"/>
          <w:numId w:val="1"/>
        </w:numPr>
        <w:rPr>
          <w:rFonts w:ascii="Times New Roman" w:hAnsi="Times New Roman" w:cs="Times New Roman"/>
        </w:rPr>
      </w:pPr>
      <w:hyperlink r:id="rId12" w:anchor="clustering" w:history="1">
        <w:r w:rsidR="003B2280" w:rsidRPr="00924696">
          <w:rPr>
            <w:rStyle w:val="Hyperlink"/>
            <w:rFonts w:ascii="Times New Roman" w:hAnsi="Times New Roman" w:cs="Times New Roman"/>
          </w:rPr>
          <w:t>http://scikit-learn.org/stable/modules/clustering.html#clustering</w:t>
        </w:r>
      </w:hyperlink>
    </w:p>
    <w:p w:rsidR="003B2280" w:rsidRPr="00C75B10" w:rsidRDefault="00AC08EF" w:rsidP="003B2280">
      <w:pPr>
        <w:pStyle w:val="ListParagraph"/>
        <w:numPr>
          <w:ilvl w:val="0"/>
          <w:numId w:val="1"/>
        </w:numPr>
        <w:rPr>
          <w:rFonts w:ascii="Times New Roman" w:hAnsi="Times New Roman" w:cs="Times New Roman"/>
        </w:rPr>
      </w:pPr>
      <w:hyperlink r:id="rId13" w:history="1">
        <w:r w:rsidR="003160FF" w:rsidRPr="00253EE6">
          <w:rPr>
            <w:rFonts w:ascii="Times New Roman" w:hAnsi="Times New Roman" w:cs="Times New Roman"/>
          </w:rPr>
          <w:t>Scikit-learn: Machine Learning in Python</w:t>
        </w:r>
      </w:hyperlink>
      <w:r w:rsidR="003160FF" w:rsidRPr="003160FF">
        <w:rPr>
          <w:rFonts w:ascii="Times New Roman" w:hAnsi="Times New Roman" w:cs="Times New Roman"/>
        </w:rPr>
        <w:t xml:space="preserve">, </w:t>
      </w:r>
      <w:proofErr w:type="spellStart"/>
      <w:r w:rsidR="003160FF" w:rsidRPr="003160FF">
        <w:rPr>
          <w:rFonts w:ascii="Times New Roman" w:hAnsi="Times New Roman" w:cs="Times New Roman"/>
        </w:rPr>
        <w:t>Pedregosa</w:t>
      </w:r>
      <w:proofErr w:type="spellEnd"/>
      <w:r w:rsidR="003160FF" w:rsidRPr="003160FF">
        <w:rPr>
          <w:rFonts w:ascii="Times New Roman" w:hAnsi="Times New Roman" w:cs="Times New Roman"/>
        </w:rPr>
        <w:t> </w:t>
      </w:r>
      <w:r w:rsidR="003160FF" w:rsidRPr="003160FF">
        <w:rPr>
          <w:rFonts w:ascii="Times New Roman" w:hAnsi="Times New Roman" w:cs="Times New Roman"/>
          <w:i/>
          <w:iCs/>
        </w:rPr>
        <w:t>et al.</w:t>
      </w:r>
      <w:r w:rsidR="003160FF" w:rsidRPr="003160FF">
        <w:rPr>
          <w:rFonts w:ascii="Times New Roman" w:hAnsi="Times New Roman" w:cs="Times New Roman"/>
        </w:rPr>
        <w:t>, JMLR 12, pp. 2825-2830, 2011.</w:t>
      </w:r>
    </w:p>
    <w:sectPr w:rsidR="003B2280" w:rsidRPr="00C75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51C0"/>
    <w:multiLevelType w:val="hybridMultilevel"/>
    <w:tmpl w:val="5C9058C6"/>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136DCD"/>
    <w:multiLevelType w:val="hybridMultilevel"/>
    <w:tmpl w:val="611CF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35C8F"/>
    <w:multiLevelType w:val="hybridMultilevel"/>
    <w:tmpl w:val="2E68A7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2C"/>
    <w:rsid w:val="0001458A"/>
    <w:rsid w:val="000227F8"/>
    <w:rsid w:val="00024C34"/>
    <w:rsid w:val="000469D0"/>
    <w:rsid w:val="00080CB7"/>
    <w:rsid w:val="000949B2"/>
    <w:rsid w:val="000A1D09"/>
    <w:rsid w:val="000B2F3C"/>
    <w:rsid w:val="0012735C"/>
    <w:rsid w:val="00131EA9"/>
    <w:rsid w:val="00133DEE"/>
    <w:rsid w:val="00140434"/>
    <w:rsid w:val="00190189"/>
    <w:rsid w:val="001F3767"/>
    <w:rsid w:val="00200800"/>
    <w:rsid w:val="00201A29"/>
    <w:rsid w:val="00253EE6"/>
    <w:rsid w:val="002C4029"/>
    <w:rsid w:val="002E7C2B"/>
    <w:rsid w:val="003160FF"/>
    <w:rsid w:val="00320591"/>
    <w:rsid w:val="00350406"/>
    <w:rsid w:val="003557ED"/>
    <w:rsid w:val="003B2280"/>
    <w:rsid w:val="003B547C"/>
    <w:rsid w:val="00426CB9"/>
    <w:rsid w:val="00432AD4"/>
    <w:rsid w:val="0044463E"/>
    <w:rsid w:val="00472EBB"/>
    <w:rsid w:val="004D51C9"/>
    <w:rsid w:val="004F7895"/>
    <w:rsid w:val="00522D6F"/>
    <w:rsid w:val="005325C0"/>
    <w:rsid w:val="005A7FE5"/>
    <w:rsid w:val="00636FA3"/>
    <w:rsid w:val="0064298B"/>
    <w:rsid w:val="00680373"/>
    <w:rsid w:val="00683117"/>
    <w:rsid w:val="006A162C"/>
    <w:rsid w:val="00704191"/>
    <w:rsid w:val="00712489"/>
    <w:rsid w:val="00736B7B"/>
    <w:rsid w:val="00756F21"/>
    <w:rsid w:val="007C5A54"/>
    <w:rsid w:val="00816BD4"/>
    <w:rsid w:val="00852657"/>
    <w:rsid w:val="008876F6"/>
    <w:rsid w:val="008D2D72"/>
    <w:rsid w:val="008D6BF7"/>
    <w:rsid w:val="008E5BAA"/>
    <w:rsid w:val="00912E87"/>
    <w:rsid w:val="00931CA9"/>
    <w:rsid w:val="00961D49"/>
    <w:rsid w:val="009C0D3F"/>
    <w:rsid w:val="009E1F2A"/>
    <w:rsid w:val="00A011DB"/>
    <w:rsid w:val="00A10DF2"/>
    <w:rsid w:val="00A21928"/>
    <w:rsid w:val="00A40659"/>
    <w:rsid w:val="00A66CCF"/>
    <w:rsid w:val="00A837DD"/>
    <w:rsid w:val="00A84779"/>
    <w:rsid w:val="00AA05FC"/>
    <w:rsid w:val="00AB405B"/>
    <w:rsid w:val="00AC08EF"/>
    <w:rsid w:val="00AE0490"/>
    <w:rsid w:val="00B75AA6"/>
    <w:rsid w:val="00B76F59"/>
    <w:rsid w:val="00B914A7"/>
    <w:rsid w:val="00BB7B66"/>
    <w:rsid w:val="00BD0980"/>
    <w:rsid w:val="00BE6E63"/>
    <w:rsid w:val="00BE76BE"/>
    <w:rsid w:val="00C07C59"/>
    <w:rsid w:val="00C07C73"/>
    <w:rsid w:val="00C21A52"/>
    <w:rsid w:val="00C2649D"/>
    <w:rsid w:val="00C609A2"/>
    <w:rsid w:val="00C75B10"/>
    <w:rsid w:val="00C76CBA"/>
    <w:rsid w:val="00CF235F"/>
    <w:rsid w:val="00CF5348"/>
    <w:rsid w:val="00D812E6"/>
    <w:rsid w:val="00D854C9"/>
    <w:rsid w:val="00DA7724"/>
    <w:rsid w:val="00E1576B"/>
    <w:rsid w:val="00E55495"/>
    <w:rsid w:val="00E645EA"/>
    <w:rsid w:val="00ED7EEC"/>
    <w:rsid w:val="00F10ECD"/>
    <w:rsid w:val="00F2653D"/>
    <w:rsid w:val="00F56386"/>
    <w:rsid w:val="00F66B12"/>
    <w:rsid w:val="00FD654F"/>
    <w:rsid w:val="00FF7E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0BE5C"/>
  <w15:docId w15:val="{14DCB6A5-5089-4B7F-9CE9-2A3BE2BDCB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B10"/>
    <w:pPr>
      <w:ind w:left="720"/>
      <w:contextualSpacing/>
    </w:pPr>
  </w:style>
  <w:style w:type="character" w:styleId="Hyperlink">
    <w:name w:val="Hyperlink"/>
    <w:basedOn w:val="DefaultParagraphFont"/>
    <w:uiPriority w:val="99"/>
    <w:unhideWhenUsed/>
    <w:rsid w:val="00C75B10"/>
    <w:rPr>
      <w:color w:val="0000FF" w:themeColor="hyperlink"/>
      <w:u w:val="single"/>
    </w:rPr>
  </w:style>
  <w:style w:type="table" w:styleId="TableGrid">
    <w:name w:val="Table Grid"/>
    <w:basedOn w:val="TableNormal"/>
    <w:uiPriority w:val="59"/>
    <w:rsid w:val="00DA7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2925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jmlr.csail.mit.edu/papers/v12/pedregosa11a.html"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hyperlink" Target="http://scikit-learn.org/stable/modules/cluster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ikit-learn.org/stable/modules/generated/sklearn.cluster.DBSCAN.html" TargetMode="External"/><Relationship Id="rId11" Type="http://schemas.openxmlformats.org/officeDocument/2006/relationships/hyperlink" Target="https://en.wikipedia.org/wiki/Cluster_analysis"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bioconductor.org/packages/release/bioc/manuals/VariantAnnotation/man/VariantAnnotation.pdf"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738</TotalTime>
  <Pages>7</Pages>
  <Words>1921</Words>
  <Characters>10951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12847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Hongxu Ding</dc:creator>
  <cp:keywords/>
  <dc:description/>
  <cp:lastModifiedBy>JH Sun</cp:lastModifiedBy>
  <cp:revision>77</cp:revision>
  <dcterms:created xsi:type="dcterms:W3CDTF">2016-09-06T12:59:00Z</dcterms:created>
  <dcterms:modified xsi:type="dcterms:W3CDTF">2016-09-07T19:45:00Z</dcterms:modified>
</cp:coreProperties>
</file>