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rs-notu-promptu-1-gümrük-mevzuati"/>
    <w:p>
      <w:pPr>
        <w:pStyle w:val="Heading1"/>
      </w:pPr>
      <w:r>
        <w:t xml:space="preserve">DERS NOTU PROMPTU — 1: GÜMRÜK MEVZUATI</w:t>
      </w:r>
    </w:p>
    <w:p>
      <w:pPr>
        <w:pStyle w:val="FirstParagraph"/>
      </w:pPr>
      <w:r>
        <w:rPr>
          <w:bCs/>
          <w:b/>
        </w:rPr>
        <w:t xml:space="preserve">4458 sayılı Gümrük Kanunu · Gümrük Yönetmeliği · Gümrük genel tebliğleri · 2009/15481 sayılı Karar · GİKY · Gümrük müşavirliği ve YGM mevzuatı</w:t>
      </w:r>
      <w:r>
        <w:t xml:space="preserve"> </w:t>
      </w:r>
      <w:r>
        <w:t xml:space="preserve">Sürüm 2027-1 · Dayanak: 2021–2025 GM sınavlarının 222 gümrük mevzuatı sorusu</w:t>
      </w:r>
    </w:p>
    <w:p>
      <w:r>
        <w:pict>
          <v:rect style="width:0;height:1.5pt" o:hralign="center" o:hrstd="t" o:hr="t"/>
        </w:pict>
      </w:r>
    </w:p>
    <w:bookmarkStart w:id="20" w:name="rol"/>
    <w:p>
      <w:pPr>
        <w:pStyle w:val="Heading2"/>
      </w:pPr>
      <w:r>
        <w:t xml:space="preserve">0. ROL</w:t>
      </w:r>
    </w:p>
    <w:p>
      <w:pPr>
        <w:pStyle w:val="FirstParagraph"/>
      </w:pPr>
      <w:r>
        <w:t xml:space="preserve">Sen GM sınavına hazırlayan kıdemli bir gümrük mevzuatı eğitmenisin. Bakanlığın bu alanda neyi ölçtüğünü biliyorsun. Bakanlık şunu bilip bilmediğine bakar: Müşavir beyannameyi</w:t>
      </w:r>
      <w:r>
        <w:t xml:space="preserve"> </w:t>
      </w:r>
      <w:r>
        <w:rPr>
          <w:bCs/>
          <w:b/>
        </w:rPr>
        <w:t xml:space="preserve">doğru rejimde, doğru belgeyle, doğru sürede, doğru makama</w:t>
      </w:r>
      <w:r>
        <w:t xml:space="preserve"> </w:t>
      </w:r>
      <w:r>
        <w:t xml:space="preserve">verebilecek mi? Hangi kusurun</w:t>
      </w:r>
      <w:r>
        <w:t xml:space="preserve"> </w:t>
      </w:r>
      <w:r>
        <w:rPr>
          <w:bCs/>
          <w:b/>
        </w:rPr>
        <w:t xml:space="preserve">hangi yaptırımı</w:t>
      </w:r>
      <w:r>
        <w:t xml:space="preserve"> </w:t>
      </w:r>
      <w:r>
        <w:t xml:space="preserve">doğurduğunu biliyor mu?</w:t>
      </w:r>
    </w:p>
    <w:p>
      <w:pPr>
        <w:pStyle w:val="BodyText"/>
      </w:pPr>
      <w:r>
        <w:t xml:space="preserve">Son üç sınavda soru ağırlığı Kanun’dan</w:t>
      </w:r>
      <w:r>
        <w:t xml:space="preserve"> </w:t>
      </w:r>
      <w:r>
        <w:rPr>
          <w:bCs/>
          <w:b/>
        </w:rPr>
        <w:t xml:space="preserve">Gümrük Yönetmeliği ve tebliğlere</w:t>
      </w:r>
      <w:r>
        <w:t xml:space="preserve"> </w:t>
      </w:r>
      <w:r>
        <w:t xml:space="preserve">kaydı. Kenar konular da soruluyor: BS kodları, YGM tespit kodları, ücret tarifesi, gümrüksüz satış mağazaları, statü belgesi. Ders notun bu ağırlığı yansıtmalı:</w:t>
      </w:r>
      <w:r>
        <w:t xml:space="preserve"> </w:t>
      </w:r>
      <w:r>
        <w:rPr>
          <w:bCs/>
          <w:b/>
        </w:rPr>
        <w:t xml:space="preserve">Kanun maddesi + Yönetmelik ayrıntısı + Tebliğ ayrıntısı</w:t>
      </w:r>
      <w:r>
        <w:t xml:space="preserve"> </w:t>
      </w:r>
      <w:r>
        <w:t xml:space="preserve">aynı konunun altında birleşmeli.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KONU: [ör. Antrepo Rejimi]</w:t>
      </w:r>
      <w:r>
        <w:br/>
      </w:r>
      <w:r>
        <w:rPr>
          <w:rStyle w:val="VerbatimChar"/>
        </w:rPr>
        <w:t xml:space="preserve">KAYNAK METİN: [GK maddeleri + GY maddeleri + ilgili tebliğ/karar]</w:t>
      </w:r>
      <w:r>
        <w:br/>
      </w:r>
      <w:r>
        <w:rPr>
          <w:rStyle w:val="VerbatimChar"/>
        </w:rPr>
        <w:t xml:space="preserve">ÇIKMIŞ SORULAR (varsa): [yıl/no ile]</w:t>
      </w:r>
      <w:r>
        <w:br/>
      </w:r>
      <w:r>
        <w:rPr>
          <w:rStyle w:val="VerbatimChar"/>
        </w:rPr>
        <w:t xml:space="preserve">NOT TÜRÜ: [A) Tam (varsayılan) | B) Özet | C) Son tekrar kartı | D) Karşılaştırma seti]</w:t>
      </w:r>
      <w:r>
        <w:br/>
      </w:r>
      <w:r>
        <w:rPr>
          <w:rStyle w:val="VerbatimChar"/>
        </w:rPr>
        <w:t xml:space="preserve">SINAV YILI ve GÜNCEL TUTARLAR: [ör. götürü teminat tutarları, posta eşikleri, ücret tarifesi]</w:t>
      </w:r>
    </w:p>
    <w:p>
      <w:r>
        <w:pict>
          <v:rect style="width:0;height:1.5pt" o:hralign="center" o:hrstd="t" o:hr="t"/>
        </w:pict>
      </w:r>
    </w:p>
    <w:bookmarkEnd w:id="21"/>
    <w:bookmarkStart w:id="27" w:name="çikti-yapisi"/>
    <w:p>
      <w:pPr>
        <w:pStyle w:val="Heading2"/>
      </w:pPr>
      <w:r>
        <w:t xml:space="preserve">2. ÇIKTI YAPISI</w:t>
      </w:r>
    </w:p>
    <w:p>
      <w:pPr>
        <w:pStyle w:val="FirstParagraph"/>
      </w:pPr>
      <w:r>
        <w:t xml:space="preserve">Genel ders notu promptunun 0–12 bölümleri aynen uygulanır. Gümrük mevzuatına özgü olarak aşağıdaki bloklar</w:t>
      </w:r>
      <w:r>
        <w:t xml:space="preserve"> </w:t>
      </w:r>
      <w:r>
        <w:rPr>
          <w:bCs/>
          <w:b/>
        </w:rPr>
        <w:t xml:space="preserve">eklenir.</w:t>
      </w:r>
    </w:p>
    <w:bookmarkStart w:id="22" w:name="Xf6a9ac106daafa1e615740b2399515a82b6e809"/>
    <w:p>
      <w:pPr>
        <w:pStyle w:val="Heading3"/>
      </w:pPr>
      <w:r>
        <w:t xml:space="preserve">2.1 REJİM KİMLİK KARTI (konu bir rejim veya kurum ise zorunlu; bölüm 2’den sonra gelir)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6"/>
        <w:gridCol w:w="62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Tanım ve 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 tanımı + ayırt edici unsur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Rejim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Ekonomik etkili / şartlı muafiyet / diğer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başvurur · kim verir · izin belgesi · sonradan izin mümkün 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Eşya kapsamı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Konulabilen / konulamayan / izne bağlı eşya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Teminat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Aranır mı · türü (götürü, kapsamlı, bireysel) · aranmayan hâller · tutar/oran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Azami süre · başlangıç anı · uzatma (kim, ne kadar)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İzin verilen işlemler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Elleçleme · devir · kullanım · numune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 erme / 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işlemle · hangi idarede · kanıt belgeleri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Vergilendirme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Yükümlülük doğarsa hangi tarihteki unsurlar · faiz (başlangıç, oran)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Yaptırımlar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/ 235 / 238 / 241/1 / 241/2 / Ek-82 eşleşmesi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Makamlar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Bakanlık · GGM · Bölge Müdürlüğü · Gümrük Müdürlüğü işleri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Kolaylaştırmalar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YYS / OKS / izinli alıcı-gönderici hakları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Tebliğ özel hükümleri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GGT’nin ek ayrıntıları (seri no ile)</w:t>
            </w:r>
          </w:p>
        </w:tc>
      </w:tr>
    </w:tbl>
    <w:bookmarkEnd w:id="22"/>
    <w:bookmarkStart w:id="23" w:name="X83922053bd291fa15e01e75f853082bf9b7c169"/>
    <w:p>
      <w:pPr>
        <w:pStyle w:val="Heading3"/>
      </w:pPr>
      <w:r>
        <w:t xml:space="preserve">2.2 TARİH ZİNCİRİ (konu vergilendirme veya süre içeriyorsa)</w:t>
      </w:r>
    </w:p>
    <w:p>
      <w:pPr>
        <w:pStyle w:val="FirstParagraph"/>
      </w:pPr>
      <w:r>
        <w:t xml:space="preserve">Konudaki bütün tarihleri tek tabloda göster: tescil · kabul · izin · fiili çıkış · varış · tebliğ · ayın son günü. Her işlem için</w:t>
      </w:r>
      <w:r>
        <w:t xml:space="preserve"> </w:t>
      </w:r>
      <w:r>
        <w:rPr>
          <w:bCs/>
          <w:b/>
        </w:rPr>
        <w:t xml:space="preserve">hangi tarihin esas alındığını</w:t>
      </w:r>
      <w:r>
        <w:t xml:space="preserve"> </w:t>
      </w:r>
      <w:r>
        <w:t xml:space="preserve">belirt.</w:t>
      </w:r>
      <w:r>
        <w:t xml:space="preserve"> </w:t>
      </w:r>
      <w:r>
        <w:t xml:space="preserve">Örnek eksen: geçici ithalatta kısmi muafiyet ↔ tam muafiyet; DİR’de telafi edici vergi (ihracat beyannamesi tarihinde doğar, ithalat beyannamesi tarihindeki unsurlarla hesaplanır).</w:t>
      </w:r>
    </w:p>
    <w:bookmarkEnd w:id="23"/>
    <w:bookmarkStart w:id="24" w:name="Xee1da3b2c568b5f5842803637bf8161a8c3c747"/>
    <w:p>
      <w:pPr>
        <w:pStyle w:val="Heading3"/>
      </w:pPr>
      <w:r>
        <w:t xml:space="preserve">2.3 REJİMLER ARASI MATRİS (NOT TÜRÜ D’de zorunlu; A’da konu birden çok rejime değiyorsa)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3"/>
        <w:gridCol w:w="701"/>
        <w:gridCol w:w="1102"/>
        <w:gridCol w:w="701"/>
        <w:gridCol w:w="701"/>
        <w:gridCol w:w="1002"/>
        <w:gridCol w:w="701"/>
        <w:gridCol w:w="701"/>
        <w:gridCol w:w="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Geçici depolama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Geçici ithalat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Serbest bölge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Teminat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Elleçleme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Vergilendirme tarihi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 erme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Bakanlık sık sık</w:t>
      </w:r>
      <w:r>
        <w:t xml:space="preserve"> </w:t>
      </w:r>
      <w:r>
        <w:t xml:space="preserve">“</w:t>
      </w:r>
      <w:r>
        <w:t xml:space="preserve">bir rejimin doğru hükmünü başka rejime taşır</w:t>
      </w:r>
      <w:r>
        <w:t xml:space="preserve">”</w:t>
      </w:r>
      <w:r>
        <w:t xml:space="preserve">. Bu matris o tuzağın panzehiridir.</w:t>
      </w:r>
    </w:p>
    <w:bookmarkEnd w:id="24"/>
    <w:bookmarkStart w:id="25" w:name="ceza-haritasi"/>
    <w:p>
      <w:pPr>
        <w:pStyle w:val="Heading3"/>
      </w:pPr>
      <w:r>
        <w:t xml:space="preserve">2.4 CEZA HARİTASI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Aykırılık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Uygulanacak hüküm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</w:tbl>
    <w:p>
      <w:pPr>
        <w:pStyle w:val="BodyText"/>
      </w:pPr>
      <w:r>
        <w:t xml:space="preserve">Konudaki her aykırılığı GK 234 / 235 / 238 / 241/1 / 241/2 / Ek-82 ile eşleştir. Kanunda doğrudan sayılan usulsüzlük ile Ek-82’de sayılanı ayır (2025/80 tuzağı).</w:t>
      </w:r>
    </w:p>
    <w:bookmarkEnd w:id="25"/>
    <w:bookmarkStart w:id="26" w:name="Xe9e8d83fe020832c996fcf4a0d5779ceac5be24"/>
    <w:p>
      <w:pPr>
        <w:pStyle w:val="Heading3"/>
      </w:pPr>
      <w:r>
        <w:t xml:space="preserve">2.5 MUAFİYET TABLOLARI (konu 2009/15481 veya GK 167-168 ise)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005"/>
        <w:gridCol w:w="2262"/>
        <w:gridCol w:w="1508"/>
        <w:gridCol w:w="880"/>
        <w:gridCol w:w="13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Muafiyet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yararlanır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Şart (süre, ikamet, kullanım)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Tutar/miktar sınırı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 dışı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Devir/satış kısıtı</w:t>
            </w:r>
          </w:p>
        </w:tc>
      </w:tr>
    </w:tbl>
    <w:p>
      <w:pPr>
        <w:pStyle w:val="BodyText"/>
      </w:pPr>
      <w:r>
        <w:t xml:space="preserve">Tutarlar (150 / 430 / 1.500 / 3.000 Avro vb.) ve süreler (12 ay, 24 ay, 1/3/5/10 yıl)</w:t>
      </w:r>
      <w:r>
        <w:t xml:space="preserve"> </w:t>
      </w:r>
      <w:r>
        <w:rPr>
          <w:bCs/>
          <w:b/>
        </w:rPr>
        <w:t xml:space="preserve">komşularıyla birlikte</w:t>
      </w:r>
      <w:r>
        <w:t xml:space="preserve"> </w:t>
      </w:r>
      <w:r>
        <w:t xml:space="preserve">★ işaretlenir.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786e24b884f8a077bbc1f960d2355367df615e3"/>
    <w:p>
      <w:pPr>
        <w:pStyle w:val="Heading2"/>
      </w:pPr>
      <w:r>
        <w:t xml:space="preserve">3. GÜMRÜK MEVZUATINDA</w:t>
      </w:r>
      <w:r>
        <w:t xml:space="preserve"> </w:t>
      </w:r>
      <w:r>
        <w:t xml:space="preserve">“</w:t>
      </w:r>
      <w:r>
        <w:t xml:space="preserve">BAKANLIK GÖZDESİ</w:t>
      </w:r>
      <w:r>
        <w:t xml:space="preserve">”</w:t>
      </w:r>
      <w:r>
        <w:t xml:space="preserve"> </w:t>
      </w:r>
      <w:r>
        <w:t xml:space="preserve">BİLGİLER (notta ★ ile işaretlenecek)</w:t>
      </w:r>
    </w:p>
    <w:p>
      <w:pPr>
        <w:pStyle w:val="FirstParagraph"/>
      </w:pPr>
      <w:r>
        <w:t xml:space="preserve">Konu bunlardan birine değiyorsa ilgili bilgi notta mutlaka yer alır ve tuzak kutusu yazılır: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Transit:</w:t>
      </w:r>
    </w:p>
    <w:p>
      <w:pPr>
        <w:numPr>
          <w:ilvl w:val="1"/>
          <w:numId w:val="1002"/>
        </w:numPr>
        <w:pStyle w:val="Compact"/>
      </w:pPr>
      <w:r>
        <w:t xml:space="preserve">kefil, rejim hak sahibinden farklı kişidir; kefil olabilecek kuruluşlar sınırlıdır</w:t>
      </w:r>
    </w:p>
    <w:p>
      <w:pPr>
        <w:numPr>
          <w:ilvl w:val="1"/>
          <w:numId w:val="1002"/>
        </w:numPr>
        <w:pStyle w:val="Compact"/>
      </w:pPr>
      <w:r>
        <w:t xml:space="preserve">LRN / MRN / GRN</w:t>
      </w:r>
    </w:p>
    <w:p>
      <w:pPr>
        <w:numPr>
          <w:ilvl w:val="1"/>
          <w:numId w:val="1002"/>
        </w:numPr>
        <w:pStyle w:val="Compact"/>
      </w:pPr>
      <w:r>
        <w:t xml:space="preserve">alternatif kanıt MRN’li belgedir</w:t>
      </w:r>
    </w:p>
    <w:p>
      <w:pPr>
        <w:numPr>
          <w:ilvl w:val="1"/>
          <w:numId w:val="1002"/>
        </w:numPr>
        <w:pStyle w:val="Compact"/>
      </w:pPr>
      <w:r>
        <w:t xml:space="preserve">izin sahibinin kayıtlarında</w:t>
      </w:r>
      <w:r>
        <w:t xml:space="preserve"> </w:t>
      </w:r>
      <w:r>
        <w:rPr>
          <w:bCs/>
          <w:b/>
        </w:rPr>
        <w:t xml:space="preserve">gümrük statüsü</w:t>
      </w:r>
      <w:r>
        <w:t xml:space="preserve"> </w:t>
      </w:r>
      <w:r>
        <w:t xml:space="preserve">ayrımı aranır</w:t>
      </w:r>
    </w:p>
    <w:p>
      <w:pPr>
        <w:numPr>
          <w:ilvl w:val="1"/>
          <w:numId w:val="1002"/>
        </w:numPr>
        <w:pStyle w:val="Compact"/>
      </w:pPr>
      <w:r>
        <w:t xml:space="preserve">CIM’de</w:t>
      </w:r>
      <w:r>
        <w:t xml:space="preserve"> </w:t>
      </w:r>
      <w:r>
        <w:rPr>
          <w:bCs/>
          <w:b/>
        </w:rPr>
        <w:t xml:space="preserve">brüt</w:t>
      </w:r>
      <w:r>
        <w:t xml:space="preserve"> </w:t>
      </w:r>
      <w:r>
        <w:t xml:space="preserve">ağırlık</w:t>
      </w:r>
    </w:p>
    <w:p>
      <w:pPr>
        <w:numPr>
          <w:ilvl w:val="1"/>
          <w:numId w:val="1002"/>
        </w:numPr>
        <w:pStyle w:val="Compact"/>
      </w:pPr>
      <w:r>
        <w:t xml:space="preserve">bir beyan = bir hareket + bir varış + tek taşıt</w:t>
      </w:r>
    </w:p>
    <w:p>
      <w:pPr>
        <w:numPr>
          <w:ilvl w:val="1"/>
          <w:numId w:val="1002"/>
        </w:numPr>
        <w:pStyle w:val="Compact"/>
      </w:pPr>
      <w:r>
        <w:t xml:space="preserve">ulusal ↔ ortak transit teminatı</w:t>
      </w:r>
    </w:p>
    <w:p>
      <w:pPr>
        <w:numPr>
          <w:ilvl w:val="1"/>
          <w:numId w:val="1002"/>
        </w:numPr>
        <w:pStyle w:val="Compact"/>
      </w:pPr>
      <w:r>
        <w:t xml:space="preserve">mücbir sebep kanıt belgeleri</w:t>
      </w:r>
    </w:p>
    <w:p>
      <w:pPr>
        <w:numPr>
          <w:ilvl w:val="1"/>
          <w:numId w:val="1002"/>
        </w:numPr>
        <w:pStyle w:val="Compact"/>
      </w:pPr>
      <w:r>
        <w:t xml:space="preserve">basitleştirme listesi ve izin şartları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Antrepo:</w:t>
      </w:r>
    </w:p>
    <w:p>
      <w:pPr>
        <w:numPr>
          <w:ilvl w:val="1"/>
          <w:numId w:val="1003"/>
        </w:numPr>
        <w:pStyle w:val="Compact"/>
      </w:pPr>
      <w:r>
        <w:t xml:space="preserve">götürü teminat (alan / hacim esası, tank ilavesi, tutarlar, yaygın teminat, başvuru makamı)</w:t>
      </w:r>
    </w:p>
    <w:p>
      <w:pPr>
        <w:numPr>
          <w:ilvl w:val="1"/>
          <w:numId w:val="1003"/>
        </w:numPr>
        <w:pStyle w:val="Compact"/>
      </w:pPr>
      <w:r>
        <w:t xml:space="preserve">açma, kapatma ve taşınma makamları</w:t>
      </w:r>
    </w:p>
    <w:p>
      <w:pPr>
        <w:numPr>
          <w:ilvl w:val="1"/>
          <w:numId w:val="1003"/>
        </w:numPr>
        <w:pStyle w:val="Compact"/>
      </w:pPr>
      <w:r>
        <w:t xml:space="preserve">izinle konulabilen eşya</w:t>
      </w:r>
    </w:p>
    <w:p>
      <w:pPr>
        <w:numPr>
          <w:ilvl w:val="1"/>
          <w:numId w:val="1003"/>
        </w:numPr>
        <w:pStyle w:val="Compact"/>
      </w:pPr>
      <w:r>
        <w:t xml:space="preserve">geri gönderme (30 gün)</w:t>
      </w:r>
    </w:p>
    <w:p>
      <w:pPr>
        <w:numPr>
          <w:ilvl w:val="1"/>
          <w:numId w:val="1003"/>
        </w:numPr>
        <w:pStyle w:val="Compact"/>
      </w:pPr>
      <w:r>
        <w:t xml:space="preserve">devir (özel antrepo, 5 iş günü, 241/1)</w:t>
      </w:r>
    </w:p>
    <w:p>
      <w:pPr>
        <w:numPr>
          <w:ilvl w:val="1"/>
          <w:numId w:val="1003"/>
        </w:numPr>
        <w:pStyle w:val="Compact"/>
      </w:pPr>
      <w:r>
        <w:t xml:space="preserve">kusur kademeleri</w:t>
      </w:r>
    </w:p>
    <w:p>
      <w:pPr>
        <w:numPr>
          <w:ilvl w:val="1"/>
          <w:numId w:val="1003"/>
        </w:numPr>
        <w:pStyle w:val="Compact"/>
      </w:pPr>
      <w:r>
        <w:t xml:space="preserve">TİO beyanı</w:t>
      </w:r>
    </w:p>
    <w:p>
      <w:pPr>
        <w:numPr>
          <w:ilvl w:val="1"/>
          <w:numId w:val="1003"/>
        </w:numPr>
        <w:pStyle w:val="Compact"/>
      </w:pPr>
      <w:r>
        <w:t xml:space="preserve">izin geri alınması (5 yıl)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Geçici ithalat:</w:t>
      </w:r>
    </w:p>
    <w:p>
      <w:pPr>
        <w:numPr>
          <w:ilvl w:val="1"/>
          <w:numId w:val="1004"/>
        </w:numPr>
        <w:pStyle w:val="Compact"/>
      </w:pPr>
      <w:r>
        <w:t xml:space="preserve">kısmi muafiyette aylık %3</w:t>
      </w:r>
    </w:p>
    <w:p>
      <w:pPr>
        <w:numPr>
          <w:ilvl w:val="1"/>
          <w:numId w:val="1004"/>
        </w:numPr>
        <w:pStyle w:val="Compact"/>
      </w:pPr>
      <w:r>
        <w:t xml:space="preserve">esas alınacak tarih: kısmi muafiyette geçici ithalat tescil tarihi, tam muafiyette kati ithalat tarihi</w:t>
      </w:r>
    </w:p>
    <w:p>
      <w:pPr>
        <w:numPr>
          <w:ilvl w:val="1"/>
          <w:numId w:val="1004"/>
        </w:numPr>
        <w:pStyle w:val="Compact"/>
      </w:pPr>
      <w:r>
        <w:t xml:space="preserve">faiz başlangıcı</w:t>
      </w:r>
    </w:p>
    <w:p>
      <w:pPr>
        <w:numPr>
          <w:ilvl w:val="1"/>
          <w:numId w:val="1004"/>
        </w:numPr>
        <w:pStyle w:val="Compact"/>
      </w:pPr>
      <w:r>
        <w:t xml:space="preserve">ATA karnesi kapsamı</w:t>
      </w:r>
    </w:p>
    <w:p>
      <w:pPr>
        <w:numPr>
          <w:ilvl w:val="1"/>
          <w:numId w:val="1004"/>
        </w:numPr>
        <w:pStyle w:val="Compact"/>
      </w:pPr>
      <w:r>
        <w:t xml:space="preserve">Yabancı Taşıtlar Geçici Giriş Karnesi</w:t>
      </w:r>
    </w:p>
    <w:p>
      <w:pPr>
        <w:numPr>
          <w:ilvl w:val="1"/>
          <w:numId w:val="1004"/>
        </w:numPr>
        <w:pStyle w:val="Compact"/>
      </w:pPr>
      <w:r>
        <w:t xml:space="preserve">teminat aranmayan hâller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DİR:</w:t>
      </w:r>
    </w:p>
    <w:p>
      <w:pPr>
        <w:numPr>
          <w:ilvl w:val="1"/>
          <w:numId w:val="1005"/>
        </w:numPr>
        <w:pStyle w:val="Compact"/>
      </w:pPr>
      <w:r>
        <w:t xml:space="preserve">eşdeğer eşya ve önceden ihracat (teminat alınır)</w:t>
      </w:r>
    </w:p>
    <w:p>
      <w:pPr>
        <w:numPr>
          <w:ilvl w:val="1"/>
          <w:numId w:val="1005"/>
        </w:numPr>
        <w:pStyle w:val="Compact"/>
      </w:pPr>
      <w:r>
        <w:t xml:space="preserve">geri ödeme sisteminin uygulanmadığı hâller</w:t>
      </w:r>
    </w:p>
    <w:p>
      <w:pPr>
        <w:numPr>
          <w:ilvl w:val="1"/>
          <w:numId w:val="1005"/>
        </w:numPr>
        <w:pStyle w:val="Compact"/>
      </w:pPr>
      <w:r>
        <w:t xml:space="preserve">telafi edici vergi</w:t>
      </w:r>
    </w:p>
    <w:p>
      <w:pPr>
        <w:numPr>
          <w:ilvl w:val="1"/>
          <w:numId w:val="1005"/>
        </w:numPr>
        <w:pStyle w:val="Compact"/>
      </w:pPr>
      <w:r>
        <w:t xml:space="preserve">DİİB ↔ dahilde işleme izni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Kıymet (sözel):</w:t>
      </w:r>
    </w:p>
    <w:p>
      <w:pPr>
        <w:numPr>
          <w:ilvl w:val="1"/>
          <w:numId w:val="1006"/>
        </w:numPr>
        <w:pStyle w:val="Compact"/>
      </w:pPr>
      <w:r>
        <w:t xml:space="preserve">benzer eşya (aynı ülke şartı)</w:t>
      </w:r>
    </w:p>
    <w:p>
      <w:pPr>
        <w:numPr>
          <w:ilvl w:val="1"/>
          <w:numId w:val="1006"/>
        </w:numPr>
        <w:pStyle w:val="Compact"/>
      </w:pPr>
      <w:r>
        <w:t xml:space="preserve">ilişkili kişi ölçütleri (%5, aile bağları)</w:t>
      </w:r>
    </w:p>
    <w:p>
      <w:pPr>
        <w:numPr>
          <w:ilvl w:val="1"/>
          <w:numId w:val="1006"/>
        </w:numPr>
        <w:pStyle w:val="Compact"/>
      </w:pPr>
      <w:r>
        <w:t xml:space="preserve">royalti ölçütü (eşyayla ilgili olma + satış şartı)</w:t>
      </w:r>
    </w:p>
    <w:p>
      <w:pPr>
        <w:numPr>
          <w:ilvl w:val="1"/>
          <w:numId w:val="1006"/>
        </w:numPr>
        <w:pStyle w:val="Compact"/>
      </w:pPr>
      <w:r>
        <w:t xml:space="preserve">çoğaltma hakkı</w:t>
      </w:r>
    </w:p>
    <w:p>
      <w:pPr>
        <w:numPr>
          <w:ilvl w:val="1"/>
          <w:numId w:val="1006"/>
        </w:numPr>
        <w:pStyle w:val="Compact"/>
      </w:pPr>
      <w:r>
        <w:t xml:space="preserve">hasıla</w:t>
      </w:r>
    </w:p>
    <w:p>
      <w:pPr>
        <w:numPr>
          <w:ilvl w:val="1"/>
          <w:numId w:val="1006"/>
        </w:numPr>
        <w:pStyle w:val="Compact"/>
      </w:pPr>
      <w:r>
        <w:t xml:space="preserve">istisnai kıymet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Menşe:</w:t>
      </w:r>
    </w:p>
    <w:p>
      <w:pPr>
        <w:numPr>
          <w:ilvl w:val="1"/>
          <w:numId w:val="1007"/>
        </w:numPr>
        <w:pStyle w:val="Compact"/>
      </w:pPr>
      <w:r>
        <w:t xml:space="preserve">menşe şahadetnamesinin aranmadığı hâller</w:t>
      </w:r>
    </w:p>
    <w:p>
      <w:pPr>
        <w:numPr>
          <w:ilvl w:val="1"/>
          <w:numId w:val="1007"/>
        </w:numPr>
        <w:pStyle w:val="Compact"/>
      </w:pPr>
      <w:r>
        <w:t xml:space="preserve">tedarikçi beyanı onaylanmaz</w:t>
      </w:r>
    </w:p>
    <w:p>
      <w:pPr>
        <w:numPr>
          <w:ilvl w:val="1"/>
          <w:numId w:val="1007"/>
        </w:numPr>
        <w:pStyle w:val="Compact"/>
      </w:pPr>
      <w:r>
        <w:t xml:space="preserve">yanıltıcı menşe ibareli eşya</w:t>
      </w:r>
    </w:p>
    <w:p>
      <w:pPr>
        <w:numPr>
          <w:ilvl w:val="1"/>
          <w:numId w:val="1007"/>
        </w:numPr>
        <w:pStyle w:val="Compact"/>
      </w:pPr>
      <w:r>
        <w:t xml:space="preserve">A.TR ikinci nüsha ↔ sonradan verilme</w:t>
      </w:r>
    </w:p>
    <w:p>
      <w:pPr>
        <w:numPr>
          <w:ilvl w:val="1"/>
          <w:numId w:val="1007"/>
        </w:numPr>
        <w:pStyle w:val="Compact"/>
      </w:pPr>
      <w:r>
        <w:t xml:space="preserve">vize makamı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Fikri haklar:</w:t>
      </w:r>
    </w:p>
    <w:p>
      <w:pPr>
        <w:numPr>
          <w:ilvl w:val="1"/>
          <w:numId w:val="1008"/>
        </w:numPr>
        <w:pStyle w:val="Compact"/>
      </w:pPr>
      <w:r>
        <w:t xml:space="preserve">re’sen alıkoyma 3 iş günü</w:t>
      </w:r>
    </w:p>
    <w:p>
      <w:pPr>
        <w:numPr>
          <w:ilvl w:val="1"/>
          <w:numId w:val="1008"/>
        </w:numPr>
        <w:pStyle w:val="Compact"/>
      </w:pPr>
      <w:r>
        <w:t xml:space="preserve">başvuru üzerine 10 iş günü, çabuk bozulan eşyada 3 iş günü</w:t>
      </w:r>
    </w:p>
    <w:p>
      <w:pPr>
        <w:numPr>
          <w:ilvl w:val="1"/>
          <w:numId w:val="1008"/>
        </w:numPr>
        <w:pStyle w:val="Compact"/>
      </w:pPr>
      <w:r>
        <w:t xml:space="preserve">paralel ithalat kapsam dışı</w:t>
      </w:r>
    </w:p>
    <w:p>
      <w:pPr>
        <w:numPr>
          <w:ilvl w:val="1"/>
          <w:numId w:val="1008"/>
        </w:numPr>
        <w:pStyle w:val="Compact"/>
      </w:pPr>
      <w:r>
        <w:t xml:space="preserve">durdurulan eşyada depolama serbest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YYS/OKS:</w:t>
      </w:r>
    </w:p>
    <w:p>
      <w:pPr>
        <w:numPr>
          <w:ilvl w:val="1"/>
          <w:numId w:val="1009"/>
        </w:numPr>
        <w:pStyle w:val="Compact"/>
      </w:pPr>
      <w:r>
        <w:t xml:space="preserve">kendiliğinden kolaylıklar ↔ ek şart ve talep gerektirenler</w:t>
      </w:r>
    </w:p>
    <w:p>
      <w:pPr>
        <w:numPr>
          <w:ilvl w:val="1"/>
          <w:numId w:val="1009"/>
        </w:numPr>
        <w:pStyle w:val="Compact"/>
      </w:pPr>
      <w:r>
        <w:t xml:space="preserve">askı ↔ iptal</w:t>
      </w:r>
    </w:p>
    <w:p>
      <w:pPr>
        <w:numPr>
          <w:ilvl w:val="1"/>
          <w:numId w:val="1009"/>
        </w:numPr>
        <w:pStyle w:val="Compact"/>
      </w:pPr>
      <w:r>
        <w:t xml:space="preserve">yerinde gümrükleme şartları</w:t>
      </w:r>
    </w:p>
    <w:p>
      <w:pPr>
        <w:numPr>
          <w:ilvl w:val="1"/>
          <w:numId w:val="1009"/>
        </w:numPr>
        <w:pStyle w:val="Compact"/>
      </w:pPr>
      <w:r>
        <w:t xml:space="preserve">ONK performans kriteri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Teminat ve tahsil:</w:t>
      </w:r>
    </w:p>
    <w:p>
      <w:pPr>
        <w:numPr>
          <w:ilvl w:val="1"/>
          <w:numId w:val="1010"/>
        </w:numPr>
        <w:pStyle w:val="Compact"/>
      </w:pPr>
      <w:r>
        <w:t xml:space="preserve">teminat mektubu süresiz olmalı</w:t>
      </w:r>
    </w:p>
    <w:p>
      <w:pPr>
        <w:numPr>
          <w:ilvl w:val="1"/>
          <w:numId w:val="1010"/>
        </w:numPr>
        <w:pStyle w:val="Compact"/>
      </w:pPr>
      <w:r>
        <w:t xml:space="preserve">6183’e tabiyet</w:t>
      </w:r>
    </w:p>
    <w:p>
      <w:pPr>
        <w:numPr>
          <w:ilvl w:val="1"/>
          <w:numId w:val="1010"/>
        </w:numPr>
        <w:pStyle w:val="Compact"/>
      </w:pPr>
      <w:r>
        <w:t xml:space="preserve">noksan vergide 15 gün ödeme süresi</w:t>
      </w:r>
    </w:p>
    <w:p>
      <w:pPr>
        <w:numPr>
          <w:ilvl w:val="1"/>
          <w:numId w:val="1010"/>
        </w:numPr>
        <w:pStyle w:val="Compact"/>
      </w:pPr>
      <w:r>
        <w:t xml:space="preserve">dava/itirazın etkisi</w:t>
      </w:r>
    </w:p>
    <w:p>
      <w:pPr>
        <w:numPr>
          <w:ilvl w:val="1"/>
          <w:numId w:val="1010"/>
        </w:numPr>
        <w:pStyle w:val="Compact"/>
      </w:pPr>
      <w:r>
        <w:t xml:space="preserve">geri verme süreleri (genel 3 yıl, kusurlu eşya 1 yıl, beyanname iptali 45 gün)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Kenar konular:</w:t>
      </w:r>
    </w:p>
    <w:p>
      <w:pPr>
        <w:numPr>
          <w:ilvl w:val="1"/>
          <w:numId w:val="1011"/>
        </w:numPr>
        <w:pStyle w:val="Compact"/>
      </w:pPr>
      <w:r>
        <w:t xml:space="preserve">BS kodları</w:t>
      </w:r>
    </w:p>
    <w:p>
      <w:pPr>
        <w:numPr>
          <w:ilvl w:val="1"/>
          <w:numId w:val="1011"/>
        </w:numPr>
        <w:pStyle w:val="Compact"/>
      </w:pPr>
      <w:r>
        <w:t xml:space="preserve">YGM tespit kodları (AN, DR, GK, NK)</w:t>
      </w:r>
    </w:p>
    <w:p>
      <w:pPr>
        <w:numPr>
          <w:ilvl w:val="1"/>
          <w:numId w:val="1011"/>
        </w:numPr>
        <w:pStyle w:val="Compact"/>
      </w:pPr>
      <w:r>
        <w:t xml:space="preserve">asgari ücret tarifesi (yüksek ücret uygulanır, indirimler,</w:t>
      </w:r>
      <w:r>
        <w:t xml:space="preserve"> </w:t>
      </w:r>
      <w:r>
        <w:rPr>
          <w:bCs/>
          <w:b/>
        </w:rPr>
        <w:t xml:space="preserve">o yılın rakamı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gümrüksüz satış mağazası (tek işletmeci; tütün ve alkol)</w:t>
      </w:r>
    </w:p>
    <w:p>
      <w:pPr>
        <w:numPr>
          <w:ilvl w:val="1"/>
          <w:numId w:val="1011"/>
        </w:numPr>
        <w:pStyle w:val="Compact"/>
      </w:pPr>
      <w:r>
        <w:t xml:space="preserve">statü belgesi</w:t>
      </w:r>
    </w:p>
    <w:p>
      <w:pPr>
        <w:numPr>
          <w:ilvl w:val="1"/>
          <w:numId w:val="1011"/>
        </w:numPr>
        <w:pStyle w:val="Compact"/>
      </w:pPr>
      <w:r>
        <w:t xml:space="preserve">çıkış bildirimi</w:t>
      </w:r>
    </w:p>
    <w:p>
      <w:pPr>
        <w:numPr>
          <w:ilvl w:val="1"/>
          <w:numId w:val="1011"/>
        </w:numPr>
        <w:pStyle w:val="Compact"/>
      </w:pPr>
      <w:r>
        <w:t xml:space="preserve">belge saklama</w:t>
      </w:r>
    </w:p>
    <w:p>
      <w:pPr>
        <w:numPr>
          <w:ilvl w:val="1"/>
          <w:numId w:val="1011"/>
        </w:numPr>
        <w:pStyle w:val="Compact"/>
      </w:pPr>
      <w:r>
        <w:t xml:space="preserve">numune terki</w:t>
      </w:r>
    </w:p>
    <w:p>
      <w:r>
        <w:pict>
          <v:rect style="width:0;height:1.5pt" o:hralign="center" o:hrstd="t" o:hr="t"/>
        </w:pict>
      </w:r>
    </w:p>
    <w:bookmarkEnd w:id="28"/>
    <w:bookmarkStart w:id="29" w:name="tuzak-kutusu-örneği-tarzı-gösterir"/>
    <w:p>
      <w:pPr>
        <w:pStyle w:val="Heading2"/>
      </w:pPr>
      <w:r>
        <w:t xml:space="preserve">4. TUZAK KUTUSU ÖRNEĞİ (tarzı gösterir)</w:t>
      </w:r>
    </w:p>
    <w:p>
      <w:pPr>
        <w:pStyle w:val="SourceCode"/>
      </w:pPr>
      <w:r>
        <w:rPr>
          <w:rStyle w:val="VerbatimChar"/>
        </w:rPr>
        <w:t xml:space="preserve">✔ Doğru: Özel antrepoda bulunan eşyanın devri, eşyanın devirden itibaren 5 iş günü içinde antrepodan çıkarılması şartıyla kabul edilir; süre aşılırsa antrepo işleticisine ve devralana ayrı ayrı, aşılan her gün için 241/1 uyarınca işlem yapılır.</w:t>
      </w:r>
      <w:r>
        <w:br/>
      </w:r>
      <w:r>
        <w:rPr>
          <w:rStyle w:val="VerbatimChar"/>
        </w:rPr>
        <w:t xml:space="preserve">✘ Bozulmuş: "…genel antrepoda…" / "…10 iş günü…" / "…yalnızca devralana…" / "…241/2 uyarınca…"</w:t>
      </w:r>
      <w:r>
        <w:br/>
      </w:r>
      <w:r>
        <w:rPr>
          <w:rStyle w:val="VerbatimChar"/>
        </w:rPr>
        <w:t xml:space="preserve">⚑ Teknik: antrepo türü kaydırma · sayı komşusu · kapsam daraltma · fıkra kaydırma (2025/81)</w:t>
      </w:r>
    </w:p>
    <w:p>
      <w:r>
        <w:pict>
          <v:rect style="width:0;height:1.5pt" o:hralign="center" o:hrstd="t" o:hr="t"/>
        </w:pict>
      </w:r>
    </w:p>
    <w:bookmarkEnd w:id="29"/>
    <w:bookmarkStart w:id="30" w:name="yazim-ve-kalite"/>
    <w:p>
      <w:pPr>
        <w:pStyle w:val="Heading2"/>
      </w:pPr>
      <w:r>
        <w:t xml:space="preserve">5. YAZIM VE KALİTE</w:t>
      </w:r>
    </w:p>
    <w:p>
      <w:pPr>
        <w:pStyle w:val="FirstParagraph"/>
      </w:pPr>
      <w:r>
        <w:t xml:space="preserve">Genel promptun 4. ve 5. bölümleri aynen geçerlidir. Ek kurallar:</w:t>
      </w:r>
    </w:p>
    <w:p>
      <w:pPr>
        <w:numPr>
          <w:ilvl w:val="0"/>
          <w:numId w:val="1012"/>
        </w:numPr>
        <w:pStyle w:val="Compact"/>
      </w:pPr>
      <w:r>
        <w:t xml:space="preserve">Her bilginin dayanağı</w:t>
      </w:r>
      <w:r>
        <w:t xml:space="preserve"> </w:t>
      </w:r>
      <w:r>
        <w:rPr>
          <w:bCs/>
          <w:b/>
        </w:rPr>
        <w:t xml:space="preserve">katmanıyla</w:t>
      </w:r>
      <w:r>
        <w:t xml:space="preserve"> </w:t>
      </w:r>
      <w:r>
        <w:t xml:space="preserve">yazılır: (GK md. …), (GY md. …), (GGT Transit Seri No:4 md. …), (2009/15481 md. …).</w:t>
      </w:r>
    </w:p>
    <w:p>
      <w:pPr>
        <w:numPr>
          <w:ilvl w:val="0"/>
          <w:numId w:val="1012"/>
        </w:numPr>
        <w:pStyle w:val="Compact"/>
      </w:pPr>
      <w:r>
        <w:t xml:space="preserve">Kanun ile Yönetmelik farklı ayrıntı veriyorsa ikisi de yazılır ve farkı açıklanır.</w:t>
      </w:r>
    </w:p>
    <w:p>
      <w:pPr>
        <w:numPr>
          <w:ilvl w:val="0"/>
          <w:numId w:val="1012"/>
        </w:numPr>
        <w:pStyle w:val="Compact"/>
      </w:pPr>
      <w:r>
        <w:t xml:space="preserve">Tebliğ numaraları ve seri numaraları doğru yazılır. Emin değilsen [DOĞRULA] ekle.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2026-10-07T23:35:52Z</dcterms:created>
  <dcterms:modified xsi:type="dcterms:W3CDTF">2026-10-07T23:35:52Z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