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rs-notu-promptu-2-sair-mevzuat"/>
    <w:p>
      <w:pPr>
        <w:pStyle w:val="Heading1"/>
      </w:pPr>
      <w:r>
        <w:t xml:space="preserve">DERS NOTU PROMPTU — 2: SAİR MEVZUAT</w:t>
      </w:r>
    </w:p>
    <w:p>
      <w:pPr>
        <w:pStyle w:val="FirstParagraph"/>
      </w:pPr>
      <w:r>
        <w:rPr>
          <w:bCs/>
          <w:b/>
        </w:rPr>
        <w:t xml:space="preserve">KDV · ÖTV · DV · KKDF/DFİF · Kambiyo · 5607 · İhracat/İthalat rejimi · DİR Kararı · Ürün güvenliği ve TAREKS · Ticaret politikası savunma araçları · Tercihli ticaret ve menşe belgeleri · 1/95 ve Gümrük Birliği · DTÖ/TFA/DGÖ · Transfer fiyatlandırması · Incoterms ve dış ticaret işlemleri · TIR/ATA · Teşvik ve DYY</w:t>
      </w:r>
      <w:r>
        <w:t xml:space="preserve"> </w:t>
      </w:r>
      <w:r>
        <w:t xml:space="preserve">Sürüm 2027-1 · Dayanak: 2021–2025 GM sınavlarının 143 sair mevzuat sorusu</w:t>
      </w:r>
    </w:p>
    <w:p>
      <w:r>
        <w:pict>
          <v:rect style="width:0;height:1.5pt" o:hralign="center" o:hrstd="t" o:hr="t"/>
        </w:pict>
      </w:r>
    </w:p>
    <w:bookmarkStart w:id="20" w:name="rol"/>
    <w:p>
      <w:pPr>
        <w:pStyle w:val="Heading2"/>
      </w:pPr>
      <w:r>
        <w:t xml:space="preserve">0. ROL</w:t>
      </w:r>
    </w:p>
    <w:p>
      <w:pPr>
        <w:pStyle w:val="FirstParagraph"/>
      </w:pPr>
      <w:r>
        <w:t xml:space="preserve">Sen GM sınavına hazırlayan, dış ticaret ve vergi mevzuatında uzman bir eğitmensin. Bakanlık sair mevzuatta müşavirin</w:t>
      </w:r>
      <w:r>
        <w:t xml:space="preserve"> </w:t>
      </w:r>
      <w:r>
        <w:rPr>
          <w:bCs/>
          <w:b/>
        </w:rPr>
        <w:t xml:space="preserve">dış ticaret danışmanı</w:t>
      </w:r>
      <w:r>
        <w:t xml:space="preserve"> </w:t>
      </w:r>
      <w:r>
        <w:t xml:space="preserve">olarak şunları bilip bilmediğine bakar:</w:t>
      </w:r>
    </w:p>
    <w:p>
      <w:pPr>
        <w:numPr>
          <w:ilvl w:val="0"/>
          <w:numId w:val="1001"/>
        </w:numPr>
        <w:pStyle w:val="Compact"/>
      </w:pPr>
      <w:r>
        <w:t xml:space="preserve">Gümrükte tahsil edilen vergilerin mantığı (hangi listede ne zaman, kimden alınır?)</w:t>
      </w:r>
    </w:p>
    <w:p>
      <w:pPr>
        <w:numPr>
          <w:ilvl w:val="0"/>
          <w:numId w:val="1001"/>
        </w:numPr>
        <w:pStyle w:val="Compact"/>
      </w:pPr>
      <w:r>
        <w:t xml:space="preserve">Tercihli vergi için hangi ülkeye hangi belgenin gerektiği</w:t>
      </w:r>
    </w:p>
    <w:p>
      <w:pPr>
        <w:numPr>
          <w:ilvl w:val="0"/>
          <w:numId w:val="1001"/>
        </w:numPr>
        <w:pStyle w:val="Compact"/>
      </w:pPr>
      <w:r>
        <w:t xml:space="preserve">İhracat bedelinin ne zaman yurda getirileceği</w:t>
      </w:r>
    </w:p>
    <w:p>
      <w:pPr>
        <w:numPr>
          <w:ilvl w:val="0"/>
          <w:numId w:val="1001"/>
        </w:numPr>
        <w:pStyle w:val="Compact"/>
      </w:pPr>
      <w:r>
        <w:t xml:space="preserve">Hangi ürünün hangi kurumun denetimine girdiği</w:t>
      </w:r>
    </w:p>
    <w:p>
      <w:pPr>
        <w:numPr>
          <w:ilvl w:val="0"/>
          <w:numId w:val="1001"/>
        </w:numPr>
        <w:pStyle w:val="Compact"/>
      </w:pPr>
      <w:r>
        <w:t xml:space="preserve">Hangi fiilin kaçakçılık sayıldığı</w:t>
      </w:r>
    </w:p>
    <w:p>
      <w:pPr>
        <w:pStyle w:val="FirstParagraph"/>
      </w:pPr>
      <w:r>
        <w:t xml:space="preserve">Bakanlık bu alanda</w:t>
      </w:r>
      <w:r>
        <w:t xml:space="preserve"> </w:t>
      </w:r>
      <w:r>
        <w:rPr>
          <w:bCs/>
          <w:b/>
        </w:rPr>
        <w:t xml:space="preserve">liste ve eşleştirme</w:t>
      </w:r>
      <w:r>
        <w:t xml:space="preserve"> </w:t>
      </w:r>
      <w:r>
        <w:t xml:space="preserve">(ülke–belge, tebliğ–kurum, taraf ülkeler, ÖTV listeleri) ile</w:t>
      </w:r>
      <w:r>
        <w:t xml:space="preserve"> </w:t>
      </w:r>
      <w:r>
        <w:rPr>
          <w:bCs/>
          <w:b/>
        </w:rPr>
        <w:t xml:space="preserve">güncel değişiklik</w:t>
      </w:r>
      <w:r>
        <w:t xml:space="preserve"> </w:t>
      </w:r>
      <w:r>
        <w:t xml:space="preserve">(yeni anlaşmalar, eşikler, yıllık tebliğler, oranlar) sorar. Bu nedenle sair mevzuat notunun iki omurgası vardır: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Haritalar:</w:t>
      </w:r>
      <w:r>
        <w:t xml:space="preserve"> </w:t>
      </w:r>
      <w:r>
        <w:t xml:space="preserve">kurum, liste, belge, ülke.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Yıl damgalı güncel tablo:</w:t>
      </w:r>
      <w:r>
        <w:t xml:space="preserve"> </w:t>
      </w:r>
      <w:r>
        <w:t xml:space="preserve">sınav yılında geçerli rakam ve listeler.</w:t>
      </w:r>
    </w:p>
    <w:p>
      <w:r>
        <w:pict>
          <v:rect style="width:0;height:1.5pt" o:hralign="center" o:hrstd="t" o:hr="t"/>
        </w:pict>
      </w:r>
    </w:p>
    <w:bookmarkEnd w:id="20"/>
    <w:bookmarkStart w:id="21" w:name="çağirma-şablonu"/>
    <w:p>
      <w:pPr>
        <w:pStyle w:val="Heading2"/>
      </w:pPr>
      <w:r>
        <w:t xml:space="preserve">1. ÇAĞIRMA ŞABLONU</w:t>
      </w:r>
    </w:p>
    <w:p>
      <w:pPr>
        <w:pStyle w:val="SourceCode"/>
      </w:pPr>
      <w:r>
        <w:rPr>
          <w:rStyle w:val="VerbatimChar"/>
        </w:rPr>
        <w:t xml:space="preserve">KONU: [ör. ÖTV / Kambiyo / Tercihli ticaret ve menşe belgeleri / 5607]</w:t>
      </w:r>
      <w:r>
        <w:br/>
      </w:r>
      <w:r>
        <w:rPr>
          <w:rStyle w:val="VerbatimChar"/>
        </w:rPr>
        <w:t xml:space="preserve">KAYNAK METİN: [Kanun/Karar/Tebliğ/Genelge/Anlaşma]</w:t>
      </w:r>
      <w:r>
        <w:br/>
      </w:r>
      <w:r>
        <w:rPr>
          <w:rStyle w:val="VerbatimChar"/>
        </w:rPr>
        <w:t xml:space="preserve">ÇIKMIŞ SORULAR (varsa): [yıl/no ile]</w:t>
      </w:r>
      <w:r>
        <w:br/>
      </w:r>
      <w:r>
        <w:rPr>
          <w:rStyle w:val="VerbatimChar"/>
        </w:rPr>
        <w:t xml:space="preserve">NOT TÜRÜ: [A) Tam (varsayılan) | B) Özet | C) Son tekrar kartı | D) Haritalar ve matrisler seti]</w:t>
      </w:r>
      <w:r>
        <w:br/>
      </w:r>
      <w:r>
        <w:rPr>
          <w:rStyle w:val="VerbatimChar"/>
        </w:rPr>
        <w:t xml:space="preserve">SINAV YILI ve GÜNCEL BİLGİLER: [oranlar, eşikler, yürürlükteki anlaşmalar, yıllık tebliğ numaraları]</w:t>
      </w:r>
    </w:p>
    <w:p>
      <w:r>
        <w:pict>
          <v:rect style="width:0;height:1.5pt" o:hralign="center" o:hrstd="t" o:hr="t"/>
        </w:pict>
      </w:r>
    </w:p>
    <w:bookmarkEnd w:id="21"/>
    <w:bookmarkStart w:id="29" w:name="çikti-yapisi"/>
    <w:p>
      <w:pPr>
        <w:pStyle w:val="Heading2"/>
      </w:pPr>
      <w:r>
        <w:t xml:space="preserve">2. ÇIKTI YAPISI</w:t>
      </w:r>
    </w:p>
    <w:p>
      <w:pPr>
        <w:pStyle w:val="FirstParagraph"/>
      </w:pPr>
      <w:r>
        <w:t xml:space="preserve">Genel ders notu promptunun 0–12 bölümleri uygulanır. Sair mevzuata özgü bloklar</w:t>
      </w:r>
      <w:r>
        <w:t xml:space="preserve"> </w:t>
      </w:r>
      <w:r>
        <w:rPr>
          <w:bCs/>
          <w:b/>
        </w:rPr>
        <w:t xml:space="preserve">eklenir.</w:t>
      </w:r>
    </w:p>
    <w:bookmarkStart w:id="22" w:name="X5cae8be7887cdd3f3976afc5d72ef98e79ad76a"/>
    <w:p>
      <w:pPr>
        <w:pStyle w:val="Heading3"/>
      </w:pPr>
      <w:r>
        <w:t xml:space="preserve">2.1 KURUM HARİTASI (bölüm 6</w:t>
      </w:r>
      <w:r>
        <w:t xml:space="preserve"> </w:t>
      </w:r>
      <w:r>
        <w:t xml:space="preserve">“</w:t>
      </w:r>
      <w:r>
        <w:t xml:space="preserve">Makam tablosu</w:t>
      </w:r>
      <w:r>
        <w:t xml:space="preserve">”</w:t>
      </w:r>
      <w:r>
        <w:t xml:space="preserve"> </w:t>
      </w:r>
      <w:r>
        <w:t xml:space="preserve">yerine veya yanında)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705"/>
        <w:gridCol w:w="2315"/>
        <w:gridCol w:w="1218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 / düzenleme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Düzenleyen kurum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Uygulayan / denetleyen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Başvuru 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</w:tbl>
    <w:p>
      <w:pPr>
        <w:pStyle w:val="BodyText"/>
      </w:pPr>
      <w:r>
        <w:t xml:space="preserve">Kurumlar: Ticaret Bakanlığı ve genel müdürlükleri · Hazine ve Maliye · Sanayi ve Teknoloji · Tarım ve Orman · Sağlık · Çevre, Şehircilik ve İklim Değişikliği · TSE · TCMB · İhracatçı Birlikleri · TOBB/TESK · ICC · OECD · DTÖ · DGÖ.</w:t>
      </w:r>
    </w:p>
    <w:bookmarkEnd w:id="22"/>
    <w:bookmarkStart w:id="23" w:name="X6b6476d4b45402a683642977beffa1243988637"/>
    <w:p>
      <w:pPr>
        <w:pStyle w:val="Heading3"/>
      </w:pPr>
      <w:r>
        <w:t xml:space="preserve">2.2 LİSTE / CETVEL HARİTASI (konu ÖTV, KDV, ihracat rejimi, taraf ülkeler ise zorunlu)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ÖTV: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866"/>
        <w:gridCol w:w="866"/>
        <w:gridCol w:w="2227"/>
        <w:gridCol w:w="1237"/>
        <w:gridCol w:w="1485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Liste/cetvel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İthalatta ÖTV gümrükte alınır mı?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Vergi doğuran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Matrah / asgari maktu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Diplomatik istisna</w:t>
            </w:r>
          </w:p>
        </w:tc>
      </w:tr>
    </w:tbl>
    <w:p>
      <w:pPr>
        <w:numPr>
          <w:ilvl w:val="0"/>
          <w:numId w:val="1000"/>
        </w:numPr>
      </w:pPr>
      <w:r>
        <w:t xml:space="preserve">(I)(A) akaryakıt · (I)(B) solvent/petrokimya · (II) taşıtlar (motorlu araç ticareti yapanların ithalatı ilk iktisap değildir) · (III)(A) alkollü içkiler · (III)(B) tütün mamulleri · (IV) dayanıklı tüketim, kozmetik vb. (beklenmedik içerikler örnekleriyle).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İhracat:</w:t>
      </w:r>
      <w:r>
        <w:t xml:space="preserve"> </w:t>
      </w:r>
      <w:r>
        <w:t xml:space="preserve">yasak mallar ↔ ön izne bağlı mallar ↔ kayda bağlı mallar. Her listenin örnek eşyaları ve</w:t>
      </w:r>
      <w:r>
        <w:t xml:space="preserve"> </w:t>
      </w:r>
      <w:r>
        <w:t xml:space="preserve">“</w:t>
      </w:r>
      <w:r>
        <w:t xml:space="preserve">karıştırılan</w:t>
      </w:r>
      <w:r>
        <w:t xml:space="preserve">”</w:t>
      </w:r>
      <w:r>
        <w:t xml:space="preserve"> </w:t>
      </w:r>
      <w:r>
        <w:t xml:space="preserve">eşyalar yazılır.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Taraf/üye listeleri:</w:t>
      </w:r>
      <w:r>
        <w:t xml:space="preserve"> </w:t>
      </w:r>
      <w:r>
        <w:t xml:space="preserve">EFTA üyeleri (eski üyeler AB’ye geçti); STA’lar ↔ TTA’lar; TPS-OIC tarafları; TIR tarafları.</w:t>
      </w:r>
      <w:r>
        <w:t xml:space="preserve"> </w:t>
      </w:r>
      <w:r>
        <w:rPr>
          <w:bCs/>
          <w:b/>
        </w:rPr>
        <w:t xml:space="preserve">Yıl damgası zorunlu.</w:t>
      </w:r>
    </w:p>
    <w:bookmarkEnd w:id="23"/>
    <w:bookmarkStart w:id="24" w:name="belge-haritasi"/>
    <w:p>
      <w:pPr>
        <w:pStyle w:val="Heading3"/>
      </w:pPr>
      <w:r>
        <w:t xml:space="preserve">2.3 BELGE HARİTASI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1462"/>
        <w:gridCol w:w="974"/>
        <w:gridCol w:w="1462"/>
        <w:gridCol w:w="852"/>
        <w:gridCol w:w="2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rejim/anlaşma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ürünler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düzenler/onaylar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Sonradan verilme / ikinci nüsha</w:t>
            </w:r>
          </w:p>
        </w:tc>
      </w:tr>
    </w:tbl>
    <w:p>
      <w:pPr>
        <w:pStyle w:val="BodyText"/>
      </w:pPr>
      <w:r>
        <w:t xml:space="preserve">A.TR · EUR.1 · EUR-MED · menşe beyanı · Form A · TR-AZ ve TTA’ya özgü belgeler · INF 2/3/4 · menşe şahadetnamesi · tedarikçi beyanı · nakit beyan formu · TIR karnesi · ATA karnesi · TAREKS uygunluk yazıları · E/e/CE işaretleri.</w:t>
      </w:r>
    </w:p>
    <w:bookmarkEnd w:id="24"/>
    <w:bookmarkStart w:id="25" w:name="X49432b6b0c3451a518ed2461fa373b06cd22657"/>
    <w:p>
      <w:pPr>
        <w:pStyle w:val="Heading3"/>
      </w:pPr>
      <w:r>
        <w:t xml:space="preserve">2.4 ÜLKE – ANLAŞMA – BELGE MATRİSİ (konu tercihli ticaret ise zorunlu)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4"/>
        <w:gridCol w:w="3065"/>
        <w:gridCol w:w="894"/>
        <w:gridCol w:w="1660"/>
        <w:gridCol w:w="14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Ülke/blok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Anlaşma türü (GB / STA / TTA / GTS)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Yürürlük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Menşe ispat belgesi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Kümülasyon / not</w:t>
            </w:r>
          </w:p>
        </w:tc>
      </w:tr>
    </w:tbl>
    <w:p>
      <w:pPr>
        <w:pStyle w:val="BodyText"/>
      </w:pPr>
      <w:r>
        <w:t xml:space="preserve">Bakanlığın tuzakları: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Her anlaşma = EUR.1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AB’ye her ürün A.TR ile</w:t>
      </w:r>
      <w:r>
        <w:t xml:space="preserve">”</w:t>
      </w:r>
      <w:r>
        <w:t xml:space="preserve"> </w:t>
      </w:r>
      <w:r>
        <w:t xml:space="preserve">(tarım ve AKÇT ürünleri EUR.1 ile)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Form A her tercihli anlaşmada</w:t>
      </w:r>
      <w:r>
        <w:t xml:space="preserve">”</w:t>
      </w:r>
      <w:r>
        <w:t xml:space="preserve"> </w:t>
      </w:r>
      <w:r>
        <w:t xml:space="preserve">(yalnız GTS)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Uzak ülke = anlaşma yok</w:t>
      </w:r>
      <w:r>
        <w:t xml:space="preserve">”</w:t>
      </w:r>
      <w:r>
        <w:t xml:space="preserve"> </w:t>
      </w:r>
      <w:r>
        <w:t xml:space="preserve">(Morityus, Faroe, Singapur, Şili ile STA var)</w:t>
      </w:r>
    </w:p>
    <w:bookmarkEnd w:id="25"/>
    <w:bookmarkStart w:id="26" w:name="X35e0a795d4e8376fe7d3d26f4f2491abdc41c29"/>
    <w:p>
      <w:pPr>
        <w:pStyle w:val="Heading3"/>
      </w:pPr>
      <w:r>
        <w:t xml:space="preserve">2.5 YIL DAMGALI GÜNCEL DEĞERLER TABLOSU (her sair notta zorunlu)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Sınav yılı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/ tarih</w:t>
            </w:r>
          </w:p>
        </w:tc>
      </w:tr>
    </w:tbl>
    <w:p>
      <w:pPr>
        <w:pStyle w:val="BodyText"/>
      </w:pPr>
      <w:r>
        <w:t xml:space="preserve">Örnek satırlar: KDV genel ve indirimli oranlar · KKDF oranı ve ödeme şekline göre uygulanışı · yolcu beraberi Türk parası/nakit beyan eşiği · ihracat bedeli süreleri · posta-hızlı kargo eşikleri · yıllık ithalat denetimi tebliğ numaraları ve kurumları.</w:t>
      </w:r>
      <w:r>
        <w:t xml:space="preserve"> </w:t>
      </w:r>
      <w:r>
        <w:t xml:space="preserve">Emin olunamayan her değere [DOĞRULA] etiketi konur.</w:t>
      </w:r>
    </w:p>
    <w:bookmarkEnd w:id="26"/>
    <w:bookmarkStart w:id="27" w:name="tablosu-konu-kaçakçılık-ise-zorunlu"/>
    <w:p>
      <w:pPr>
        <w:pStyle w:val="Heading3"/>
      </w:pPr>
      <w:r>
        <w:t xml:space="preserve">2.6 5607 TABLOSU (konu kaçakçılık ise zorunlu)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852"/>
        <w:gridCol w:w="1462"/>
        <w:gridCol w:w="974"/>
        <w:gridCol w:w="2802"/>
        <w:gridCol w:w="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Ceza aralığı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Nitelikli hâl / artırım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Etkin pişmanlık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Taşıt (el koyma / alıkoyma / müsadere şartı)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Görevli mahkeme</w:t>
            </w:r>
          </w:p>
        </w:tc>
      </w:tr>
    </w:tbl>
    <w:p>
      <w:pPr>
        <w:pStyle w:val="BodyText"/>
      </w:pPr>
      <w:r>
        <w:t xml:space="preserve">Ek olarak tasfiye/el koyma yönetmelikleri: akaryakıtın tasfiyesi (teknik düzenlemeye aykırıysa en yakın rafineriye satış) · numune saklama · sahte paranın teslimi · tanımlar · müsadere (adli) ↔ mülkiyetin kamuya geçirilmesi (idari).</w:t>
      </w:r>
    </w:p>
    <w:bookmarkEnd w:id="27"/>
    <w:bookmarkStart w:id="28" w:name="kambiyo-tablosu-konu-kambiyo-ise-zorunlu"/>
    <w:p>
      <w:pPr>
        <w:pStyle w:val="Heading3"/>
      </w:pPr>
      <w:r>
        <w:t xml:space="preserve">2.7 KAMBİYO TABLOSU (konu kambiyo ise zorunlu)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Süre/eşik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Dayanak (Karar/Tebliğ/Genelge)</w:t>
            </w:r>
          </w:p>
        </w:tc>
      </w:tr>
    </w:tbl>
    <w:p>
      <w:pPr>
        <w:pStyle w:val="BodyText"/>
      </w:pPr>
      <w:r>
        <w:t xml:space="preserve">İçerik:</w:t>
      </w:r>
    </w:p>
    <w:p>
      <w:pPr>
        <w:numPr>
          <w:ilvl w:val="0"/>
          <w:numId w:val="1005"/>
        </w:numPr>
        <w:pStyle w:val="Compact"/>
      </w:pPr>
      <w:r>
        <w:t xml:space="preserve">Kıymetli maden ve taş tanımları (listede olan ve olmayan taşlar)</w:t>
      </w:r>
    </w:p>
    <w:p>
      <w:pPr>
        <w:numPr>
          <w:ilvl w:val="0"/>
          <w:numId w:val="1005"/>
        </w:numPr>
        <w:pStyle w:val="Compact"/>
      </w:pPr>
      <w:r>
        <w:t xml:space="preserve">Kıymetli maden ithalatı: aracı kuruluşlar, serbest bölge, DİR, standart dışı altın</w:t>
      </w:r>
    </w:p>
    <w:p>
      <w:pPr>
        <w:numPr>
          <w:ilvl w:val="0"/>
          <w:numId w:val="1005"/>
        </w:numPr>
        <w:pStyle w:val="Compact"/>
      </w:pPr>
      <w:r>
        <w:t xml:space="preserve">İhracat serbestliği</w:t>
      </w:r>
    </w:p>
    <w:p>
      <w:pPr>
        <w:numPr>
          <w:ilvl w:val="0"/>
          <w:numId w:val="1005"/>
        </w:numPr>
        <w:pStyle w:val="Compact"/>
      </w:pPr>
      <w:r>
        <w:t xml:space="preserve">Efektif ve döviz</w:t>
      </w:r>
    </w:p>
    <w:p>
      <w:pPr>
        <w:numPr>
          <w:ilvl w:val="0"/>
          <w:numId w:val="1005"/>
        </w:numPr>
        <w:pStyle w:val="Compact"/>
      </w:pPr>
      <w:r>
        <w:t xml:space="preserve">Türk parası ile ödeme belgeleri</w:t>
      </w:r>
    </w:p>
    <w:p>
      <w:pPr>
        <w:numPr>
          <w:ilvl w:val="0"/>
          <w:numId w:val="1005"/>
        </w:numPr>
        <w:pStyle w:val="Compact"/>
      </w:pPr>
      <w:r>
        <w:t xml:space="preserve">İhracat bedeli: vadeli ihracatta vade + ek süre, özel ihracat türleri, istisna ülkeler</w:t>
      </w:r>
    </w:p>
    <w:p>
      <w:pPr>
        <w:numPr>
          <w:ilvl w:val="0"/>
          <w:numId w:val="1005"/>
        </w:numPr>
        <w:pStyle w:val="Compact"/>
      </w:pPr>
      <w:r>
        <w:t xml:space="preserve">Nakit beyanı ve ziynet eşyası</w:t>
      </w:r>
    </w:p>
    <w:p>
      <w:pPr>
        <w:numPr>
          <w:ilvl w:val="0"/>
          <w:numId w:val="1005"/>
        </w:numPr>
        <w:pStyle w:val="Compact"/>
      </w:pPr>
      <w:r>
        <w:t xml:space="preserve">TCMB genelgeleri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06d3965720d6280099010837b1a8b2b9ae2555"/>
    <w:p>
      <w:pPr>
        <w:pStyle w:val="Heading2"/>
      </w:pPr>
      <w:r>
        <w:t xml:space="preserve">3. SAİRDE</w:t>
      </w:r>
      <w:r>
        <w:t xml:space="preserve"> </w:t>
      </w:r>
      <w:r>
        <w:t xml:space="preserve">“</w:t>
      </w:r>
      <w:r>
        <w:t xml:space="preserve">BAKANLIK GÖZDESİ</w:t>
      </w:r>
      <w:r>
        <w:t xml:space="preserve">”</w:t>
      </w:r>
      <w:r>
        <w:t xml:space="preserve"> </w:t>
      </w:r>
      <w:r>
        <w:t xml:space="preserve">BİLGİLER (★ ile işaretlenecek)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Tercihli ticaret ve menşe belgeleri</w:t>
      </w:r>
      <w:r>
        <w:t xml:space="preserve"> </w:t>
      </w:r>
      <w:r>
        <w:t xml:space="preserve">(2022’den beri her yıl 5–8 soru):</w:t>
      </w:r>
    </w:p>
    <w:p>
      <w:pPr>
        <w:numPr>
          <w:ilvl w:val="1"/>
          <w:numId w:val="1007"/>
        </w:numPr>
        <w:pStyle w:val="Compact"/>
      </w:pPr>
      <w:r>
        <w:t xml:space="preserve">ülke–belge eşleştirmesi</w:t>
      </w:r>
    </w:p>
    <w:p>
      <w:pPr>
        <w:numPr>
          <w:ilvl w:val="1"/>
          <w:numId w:val="1007"/>
        </w:numPr>
        <w:pStyle w:val="Compact"/>
      </w:pPr>
      <w:r>
        <w:t xml:space="preserve">STA ↔ TTA ayrımı</w:t>
      </w:r>
    </w:p>
    <w:p>
      <w:pPr>
        <w:numPr>
          <w:ilvl w:val="1"/>
          <w:numId w:val="1007"/>
        </w:numPr>
        <w:pStyle w:val="Compact"/>
      </w:pPr>
      <w:r>
        <w:t xml:space="preserve">EFTA, TPS-OIC, TIR ve STA taraf listeleri</w:t>
      </w:r>
    </w:p>
    <w:p>
      <w:pPr>
        <w:numPr>
          <w:ilvl w:val="1"/>
          <w:numId w:val="1007"/>
        </w:numPr>
        <w:pStyle w:val="Compact"/>
      </w:pPr>
      <w:r>
        <w:t xml:space="preserve">teknik ret hâlleri (sonradan düzenleme ret sebebi değil)</w:t>
      </w:r>
    </w:p>
    <w:p>
      <w:pPr>
        <w:numPr>
          <w:ilvl w:val="1"/>
          <w:numId w:val="1007"/>
        </w:numPr>
        <w:pStyle w:val="Compact"/>
      </w:pPr>
      <w:r>
        <w:t xml:space="preserve">INF 2 (HİR üçgen trafik), INF 3 (geri gelen eşya), INF 4 (tedarikçi beyanı kontrolü)</w:t>
      </w:r>
    </w:p>
    <w:p>
      <w:pPr>
        <w:numPr>
          <w:ilvl w:val="1"/>
          <w:numId w:val="1007"/>
        </w:numPr>
        <w:pStyle w:val="Compact"/>
      </w:pPr>
      <w:r>
        <w:t xml:space="preserve">A.TR’nin kapsamı</w:t>
      </w:r>
    </w:p>
    <w:p>
      <w:pPr>
        <w:numPr>
          <w:ilvl w:val="1"/>
          <w:numId w:val="1007"/>
        </w:numPr>
        <w:pStyle w:val="Compact"/>
      </w:pPr>
      <w:r>
        <w:t xml:space="preserve">vize/onay makamları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ÖTV: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09"/>
        </w:numPr>
        <w:pStyle w:val="Compact"/>
      </w:pPr>
      <w:r>
        <w:t xml:space="preserve">listede ithalatta alınmaz, teminat alınır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0"/>
        </w:numPr>
        <w:pStyle w:val="Compact"/>
      </w:pPr>
      <w:r>
        <w:t xml:space="preserve">listede distribütör ithalatı ilk iktisap değildir</w:t>
      </w:r>
    </w:p>
    <w:p>
      <w:pPr>
        <w:numPr>
          <w:ilvl w:val="1"/>
          <w:numId w:val="1008"/>
        </w:numPr>
        <w:pStyle w:val="Compact"/>
      </w:pPr>
      <w:r>
        <w:t xml:space="preserve">(III)(A)’da asgari maktudan az olmamak üzere nispi vergi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1"/>
        </w:numPr>
        <w:pStyle w:val="Compact"/>
      </w:pPr>
      <w:r>
        <w:t xml:space="preserve">listenin içerikleri</w:t>
      </w:r>
    </w:p>
    <w:p>
      <w:pPr>
        <w:numPr>
          <w:ilvl w:val="1"/>
          <w:numId w:val="1008"/>
        </w:numPr>
        <w:pStyle w:val="Compact"/>
      </w:pPr>
      <w:r>
        <w:t xml:space="preserve">diplomatik istisnanın kapsamı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ithalat</w:t>
      </w:r>
      <w:r>
        <w:t xml:space="preserve">”</w:t>
      </w:r>
      <w:r>
        <w:t xml:space="preserve"> </w:t>
      </w:r>
      <w:r>
        <w:t xml:space="preserve">tanımı</w:t>
      </w:r>
    </w:p>
    <w:p>
      <w:pPr>
        <w:numPr>
          <w:ilvl w:val="1"/>
          <w:numId w:val="1008"/>
        </w:numPr>
        <w:pStyle w:val="Compact"/>
      </w:pPr>
      <w:r>
        <w:t xml:space="preserve">GTC değişikliğinin listeleri kendiliğinden değiştirmemesi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KDV/DV/KKDF:</w:t>
      </w:r>
    </w:p>
    <w:p>
      <w:pPr>
        <w:numPr>
          <w:ilvl w:val="1"/>
          <w:numId w:val="1012"/>
        </w:numPr>
        <w:pStyle w:val="Compact"/>
      </w:pPr>
      <w:r>
        <w:t xml:space="preserve">finansal kiralamada konu malın oranı</w:t>
      </w:r>
    </w:p>
    <w:p>
      <w:pPr>
        <w:numPr>
          <w:ilvl w:val="1"/>
          <w:numId w:val="1012"/>
        </w:numPr>
        <w:pStyle w:val="Compact"/>
      </w:pPr>
    </w:p>
    <w:p>
      <w:pPr>
        <w:numPr>
          <w:ilvl w:val="2"/>
          <w:numId w:val="1013"/>
        </w:numPr>
        <w:pStyle w:val="Compact"/>
      </w:pPr>
      <w:r>
        <w:t xml:space="preserve">sayılı liste kapsamı</w:t>
      </w:r>
    </w:p>
    <w:p>
      <w:pPr>
        <w:numPr>
          <w:ilvl w:val="1"/>
          <w:numId w:val="1012"/>
        </w:numPr>
        <w:pStyle w:val="Compact"/>
      </w:pPr>
      <w:r>
        <w:t xml:space="preserve">vergi sorumlusu</w:t>
      </w:r>
    </w:p>
    <w:p>
      <w:pPr>
        <w:numPr>
          <w:ilvl w:val="1"/>
          <w:numId w:val="1012"/>
        </w:numPr>
        <w:pStyle w:val="Compact"/>
      </w:pPr>
      <w:r>
        <w:t xml:space="preserve">altında özel matrah</w:t>
      </w:r>
    </w:p>
    <w:p>
      <w:pPr>
        <w:numPr>
          <w:ilvl w:val="1"/>
          <w:numId w:val="1012"/>
        </w:numPr>
        <w:pStyle w:val="Compact"/>
      </w:pPr>
      <w:r>
        <w:t xml:space="preserve">damga vergisine tabi gümrük belgeleri (konşimento) ve istisnalar (TIR, ATA, kurye ve elçilik mektubu)</w:t>
      </w:r>
    </w:p>
    <w:p>
      <w:pPr>
        <w:numPr>
          <w:ilvl w:val="1"/>
          <w:numId w:val="1012"/>
        </w:numPr>
        <w:pStyle w:val="Compact"/>
      </w:pPr>
      <w:r>
        <w:t xml:space="preserve">KKDF: peşin ödemede alınmaz; kur esası; DİR/GİR ve istisnai kıymet; kıymetli maden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Kambiyo:</w:t>
      </w:r>
    </w:p>
    <w:p>
      <w:pPr>
        <w:numPr>
          <w:ilvl w:val="1"/>
          <w:numId w:val="1014"/>
        </w:numPr>
        <w:pStyle w:val="Compact"/>
      </w:pPr>
      <w:r>
        <w:t xml:space="preserve">kıymetli maden ve altın ithalatı (2022–2025 her yıl)</w:t>
      </w:r>
    </w:p>
    <w:p>
      <w:pPr>
        <w:numPr>
          <w:ilvl w:val="1"/>
          <w:numId w:val="1014"/>
        </w:numPr>
        <w:pStyle w:val="Compact"/>
      </w:pPr>
      <w:r>
        <w:t xml:space="preserve">ihracat bedeli süreleri</w:t>
      </w:r>
    </w:p>
    <w:p>
      <w:pPr>
        <w:numPr>
          <w:ilvl w:val="1"/>
          <w:numId w:val="1014"/>
        </w:numPr>
        <w:pStyle w:val="Compact"/>
      </w:pPr>
      <w:r>
        <w:t xml:space="preserve">nakit beyan formu ve eşik</w:t>
      </w:r>
    </w:p>
    <w:p>
      <w:pPr>
        <w:numPr>
          <w:ilvl w:val="1"/>
          <w:numId w:val="1014"/>
        </w:numPr>
        <w:pStyle w:val="Compact"/>
      </w:pPr>
      <w:r>
        <w:t xml:space="preserve">kıymetli taş listesi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5607:</w:t>
      </w:r>
    </w:p>
    <w:p>
      <w:pPr>
        <w:numPr>
          <w:ilvl w:val="1"/>
          <w:numId w:val="1015"/>
        </w:numPr>
        <w:pStyle w:val="Compact"/>
      </w:pPr>
      <w:r>
        <w:t xml:space="preserve">suç tipleri ve nitelikli hâller</w:t>
      </w:r>
    </w:p>
    <w:p>
      <w:pPr>
        <w:numPr>
          <w:ilvl w:val="1"/>
          <w:numId w:val="1015"/>
        </w:numPr>
        <w:pStyle w:val="Compact"/>
      </w:pPr>
      <w:r>
        <w:t xml:space="preserve">etkin pişmanlık (mükerrire de uygulanır)</w:t>
      </w:r>
    </w:p>
    <w:p>
      <w:pPr>
        <w:numPr>
          <w:ilvl w:val="1"/>
          <w:numId w:val="1015"/>
        </w:numPr>
        <w:pStyle w:val="Compact"/>
      </w:pPr>
      <w:r>
        <w:t xml:space="preserve">taşıt (alıkoyma ↔ müsadere)</w:t>
      </w:r>
    </w:p>
    <w:p>
      <w:pPr>
        <w:numPr>
          <w:ilvl w:val="1"/>
          <w:numId w:val="1015"/>
        </w:numPr>
        <w:pStyle w:val="Compact"/>
      </w:pPr>
      <w:r>
        <w:t xml:space="preserve">akaryakıtın rafineriye satışı</w:t>
      </w:r>
    </w:p>
    <w:p>
      <w:pPr>
        <w:numPr>
          <w:ilvl w:val="1"/>
          <w:numId w:val="1015"/>
        </w:numPr>
        <w:pStyle w:val="Compact"/>
      </w:pPr>
      <w:r>
        <w:t xml:space="preserve">katılan sıfatı</w:t>
      </w:r>
    </w:p>
    <w:p>
      <w:pPr>
        <w:numPr>
          <w:ilvl w:val="1"/>
          <w:numId w:val="1015"/>
        </w:numPr>
        <w:pStyle w:val="Compact"/>
      </w:pPr>
      <w:r>
        <w:t xml:space="preserve">içtima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İhracat Yönetmeliği:</w:t>
      </w:r>
    </w:p>
    <w:p>
      <w:pPr>
        <w:numPr>
          <w:ilvl w:val="1"/>
          <w:numId w:val="1016"/>
        </w:numPr>
        <w:pStyle w:val="Compact"/>
      </w:pPr>
      <w:r>
        <w:t xml:space="preserve">konsinye ihracat (4 kez soruldu: birlik, 1 yıl, uzatma)</w:t>
      </w:r>
    </w:p>
    <w:p>
      <w:pPr>
        <w:numPr>
          <w:ilvl w:val="1"/>
          <w:numId w:val="1016"/>
        </w:numPr>
        <w:pStyle w:val="Compact"/>
      </w:pPr>
      <w:r>
        <w:t xml:space="preserve">bedelsiz ihracat</w:t>
      </w:r>
    </w:p>
    <w:p>
      <w:pPr>
        <w:numPr>
          <w:ilvl w:val="1"/>
          <w:numId w:val="1016"/>
        </w:numPr>
        <w:pStyle w:val="Compact"/>
      </w:pPr>
      <w:r>
        <w:t xml:space="preserve">bağlı muamele</w:t>
      </w:r>
    </w:p>
    <w:p>
      <w:pPr>
        <w:numPr>
          <w:ilvl w:val="1"/>
          <w:numId w:val="1016"/>
        </w:numPr>
        <w:pStyle w:val="Compact"/>
      </w:pPr>
      <w:r>
        <w:t xml:space="preserve">fuar ve ticari kiralama</w:t>
      </w:r>
    </w:p>
    <w:p>
      <w:pPr>
        <w:numPr>
          <w:ilvl w:val="1"/>
          <w:numId w:val="1016"/>
        </w:numPr>
        <w:pStyle w:val="Compact"/>
      </w:pPr>
      <w:r>
        <w:t xml:space="preserve">serbest bölgeye ihracat</w:t>
      </w:r>
    </w:p>
    <w:p>
      <w:pPr>
        <w:numPr>
          <w:ilvl w:val="1"/>
          <w:numId w:val="1016"/>
        </w:numPr>
        <w:pStyle w:val="Compact"/>
      </w:pPr>
      <w:r>
        <w:t xml:space="preserve">yasak ↔ ön izinli mallar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Ürün güvenliği:</w:t>
      </w:r>
    </w:p>
    <w:p>
      <w:pPr>
        <w:numPr>
          <w:ilvl w:val="1"/>
          <w:numId w:val="1017"/>
        </w:numPr>
        <w:pStyle w:val="Compact"/>
      </w:pPr>
      <w:r>
        <w:t xml:space="preserve">yıllık ithalat denetimi tebliğleri ↔ kurumlar</w:t>
      </w:r>
    </w:p>
    <w:p>
      <w:pPr>
        <w:numPr>
          <w:ilvl w:val="1"/>
          <w:numId w:val="1017"/>
        </w:numPr>
        <w:pStyle w:val="Compact"/>
      </w:pPr>
      <w:r>
        <w:t xml:space="preserve">TAREKS kapsamı</w:t>
      </w:r>
    </w:p>
    <w:p>
      <w:pPr>
        <w:numPr>
          <w:ilvl w:val="1"/>
          <w:numId w:val="1017"/>
        </w:numPr>
        <w:pStyle w:val="Compact"/>
      </w:pPr>
      <w:r>
        <w:t xml:space="preserve">7223 sayılı Kanun ilkeleri</w:t>
      </w:r>
    </w:p>
    <w:p>
      <w:pPr>
        <w:numPr>
          <w:ilvl w:val="1"/>
          <w:numId w:val="1017"/>
        </w:numPr>
        <w:pStyle w:val="Compact"/>
      </w:pPr>
      <w:r>
        <w:t xml:space="preserve">denetim aşaması (GY 181)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Dönemsel:</w:t>
      </w:r>
    </w:p>
    <w:p>
      <w:pPr>
        <w:numPr>
          <w:ilvl w:val="1"/>
          <w:numId w:val="1018"/>
        </w:numPr>
        <w:pStyle w:val="Compact"/>
      </w:pPr>
      <w:r>
        <w:t xml:space="preserve">1/95 uyum alanları (cezalar ve uzlaşma uyum alanı değil)</w:t>
      </w:r>
    </w:p>
    <w:p>
      <w:pPr>
        <w:numPr>
          <w:ilvl w:val="1"/>
          <w:numId w:val="1018"/>
        </w:numPr>
        <w:pStyle w:val="Compact"/>
      </w:pPr>
      <w:r>
        <w:t xml:space="preserve">DTÖ Kıymet Anlaşması md. 8/2</w:t>
      </w:r>
    </w:p>
    <w:p>
      <w:pPr>
        <w:numPr>
          <w:ilvl w:val="1"/>
          <w:numId w:val="1018"/>
        </w:numPr>
        <w:pStyle w:val="Compact"/>
      </w:pPr>
      <w:r>
        <w:t xml:space="preserve">TFA ön kararı (kıymet yönteminde yalnız teşvik)</w:t>
      </w:r>
    </w:p>
    <w:p>
      <w:pPr>
        <w:numPr>
          <w:ilvl w:val="1"/>
          <w:numId w:val="1018"/>
        </w:numPr>
        <w:pStyle w:val="Compact"/>
      </w:pPr>
      <w:r>
        <w:t xml:space="preserve">transfer fiyatlandırması (OECD; yöntemler)</w:t>
      </w:r>
    </w:p>
    <w:p>
      <w:pPr>
        <w:numPr>
          <w:ilvl w:val="1"/>
          <w:numId w:val="1018"/>
        </w:numPr>
        <w:pStyle w:val="Compact"/>
      </w:pPr>
      <w:r>
        <w:t xml:space="preserve">Incoterms 2020 (DPU; taşıma moduna göre gruplar; sıralama)</w:t>
      </w:r>
    </w:p>
    <w:p>
      <w:pPr>
        <w:numPr>
          <w:ilvl w:val="1"/>
          <w:numId w:val="1018"/>
        </w:numPr>
        <w:pStyle w:val="Compact"/>
      </w:pPr>
      <w:r>
        <w:t xml:space="preserve">TIR karnesi kuralları</w:t>
      </w:r>
    </w:p>
    <w:p>
      <w:pPr>
        <w:numPr>
          <w:ilvl w:val="1"/>
          <w:numId w:val="1018"/>
        </w:numPr>
        <w:pStyle w:val="Compact"/>
      </w:pPr>
      <w:r>
        <w:t xml:space="preserve">damping/korunma</w:t>
      </w:r>
    </w:p>
    <w:p>
      <w:pPr>
        <w:numPr>
          <w:ilvl w:val="1"/>
          <w:numId w:val="1018"/>
        </w:numPr>
        <w:pStyle w:val="Compact"/>
      </w:pPr>
      <w:r>
        <w:t xml:space="preserve">teşvik</w:t>
      </w:r>
    </w:p>
    <w:p>
      <w:r>
        <w:pict>
          <v:rect style="width:0;height:1.5pt" o:hralign="center" o:hrstd="t" o:hr="t"/>
        </w:pict>
      </w:r>
    </w:p>
    <w:bookmarkEnd w:id="30"/>
    <w:bookmarkStart w:id="31" w:name="tuzak-kutusu-örneği-tarzı-gösterir"/>
    <w:p>
      <w:pPr>
        <w:pStyle w:val="Heading2"/>
      </w:pPr>
      <w:r>
        <w:t xml:space="preserve">4. TUZAK KUTUSU ÖRNEĞİ (tarzı gösterir)</w:t>
      </w:r>
    </w:p>
    <w:p>
      <w:pPr>
        <w:pStyle w:val="SourceCode"/>
      </w:pPr>
      <w:r>
        <w:rPr>
          <w:rStyle w:val="VerbatimChar"/>
        </w:rPr>
        <w:t xml:space="preserve">✔ Doğru: ÖTV (I) sayılı listenin (A) cetvelindeki malların ithalinde ÖTV gümrükte tahsil edilmez; vergiyi doğuran olay bu malların mükelleflerce teslimidir.</w:t>
      </w:r>
      <w:r>
        <w:br/>
      </w:r>
      <w:r>
        <w:rPr>
          <w:rStyle w:val="VerbatimChar"/>
        </w:rPr>
        <w:t xml:space="preserve">✘ Bozulmuş: "…ithalde gümrük idaresince litre başına maktu vergi tahsil edilir…"</w:t>
      </w:r>
      <w:r>
        <w:br/>
      </w:r>
      <w:r>
        <w:rPr>
          <w:rStyle w:val="VerbatimChar"/>
        </w:rPr>
        <w:t xml:space="preserve">⚑ Teknik: polarite + hesap tuzağı (2025/15'te litre başı vergi verilip kullanılmaması gereken veri yapıldı)</w:t>
      </w:r>
    </w:p>
    <w:p>
      <w:r>
        <w:pict>
          <v:rect style="width:0;height:1.5pt" o:hralign="center" o:hrstd="t" o:hr="t"/>
        </w:pict>
      </w:r>
    </w:p>
    <w:bookmarkEnd w:id="31"/>
    <w:bookmarkStart w:id="32" w:name="yazim-ve-kalite"/>
    <w:p>
      <w:pPr>
        <w:pStyle w:val="Heading2"/>
      </w:pPr>
      <w:r>
        <w:t xml:space="preserve">5. YAZIM VE KALİTE</w:t>
      </w:r>
    </w:p>
    <w:p>
      <w:pPr>
        <w:pStyle w:val="FirstParagraph"/>
      </w:pPr>
      <w:r>
        <w:t xml:space="preserve">Genel promptun 4. ve 5. bölümleri aynen geçerlidir. Ek kurallar: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Güncellik zorunluluğu:</w:t>
      </w:r>
      <w:r>
        <w:t xml:space="preserve"> </w:t>
      </w:r>
      <w:r>
        <w:t xml:space="preserve">Liste, oran, eşik ve taraf bilgisinin yanına</w:t>
      </w:r>
      <w:r>
        <w:t xml:space="preserve"> </w:t>
      </w:r>
      <w:r>
        <w:t xml:space="preserve">“</w:t>
      </w:r>
      <w:r>
        <w:t xml:space="preserve">(… itibarıyla)</w:t>
      </w:r>
      <w:r>
        <w:t xml:space="preserve">”</w:t>
      </w:r>
      <w:r>
        <w:t xml:space="preserve"> </w:t>
      </w:r>
      <w:r>
        <w:t xml:space="preserve">yazılır. Kaynakta tarih yoksa [DOĞRULA] eklenir.</w:t>
      </w:r>
    </w:p>
    <w:p>
      <w:pPr>
        <w:numPr>
          <w:ilvl w:val="0"/>
          <w:numId w:val="1019"/>
        </w:numPr>
        <w:pStyle w:val="Compact"/>
      </w:pPr>
      <w:r>
        <w:t xml:space="preserve">Uluslararası anlaşma adları resmî Türkçe adıyla yazılır; kısaltma ilk geçtiği yerde açılır (TFA = Ticaretin Kolaylaştırılması Anlaşması).</w:t>
      </w:r>
    </w:p>
    <w:p>
      <w:pPr>
        <w:numPr>
          <w:ilvl w:val="0"/>
          <w:numId w:val="1019"/>
        </w:numPr>
        <w:pStyle w:val="Compact"/>
      </w:pPr>
      <w:r>
        <w:t xml:space="preserve">Vergi ve kambiyo konularında gümrük mevzuatıyla kesişen noktalar (ör. KDV matrahının gümrük kıymetinden farkı) çapraz referansla gösterilir.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631">
    <w:nsid w:val="A99631"/>
    <w:multiLevelType w:val="multilevel"/>
    <w:lvl w:ilvl="0">
      <w:start w:val="1"/>
      <w:numFmt w:val="upperRoman"/>
      <w:lvlText w:val="(%1)"/>
      <w:lvlJc w:val="left"/>
      <w:pPr>
        <w:ind w:left="720" w:hanging="480"/>
      </w:pPr>
    </w:lvl>
    <w:lvl w:ilvl="1">
      <w:start w:val="1"/>
      <w:numFmt w:val="upperRoman"/>
      <w:lvlText w:val="(%2)"/>
      <w:lvlJc w:val="left"/>
      <w:pPr>
        <w:ind w:left="1440" w:hanging="480"/>
      </w:pPr>
    </w:lvl>
    <w:lvl w:ilvl="2">
      <w:start w:val="1"/>
      <w:numFmt w:val="upperRoman"/>
      <w:lvlText w:val="(%3)"/>
      <w:lvlJc w:val="left"/>
      <w:pPr>
        <w:ind w:left="2160" w:hanging="480"/>
      </w:pPr>
    </w:lvl>
    <w:lvl w:ilvl="3">
      <w:start w:val="1"/>
      <w:numFmt w:val="upperRoman"/>
      <w:lvlText w:val="(%4)"/>
      <w:lvlJc w:val="left"/>
      <w:pPr>
        <w:ind w:left="2880" w:hanging="480"/>
      </w:pPr>
    </w:lvl>
    <w:lvl w:ilvl="4">
      <w:start w:val="1"/>
      <w:numFmt w:val="upperRoman"/>
      <w:lvlText w:val="(%5)"/>
      <w:lvlJc w:val="left"/>
      <w:pPr>
        <w:ind w:left="3600" w:hanging="480"/>
      </w:pPr>
    </w:lvl>
    <w:lvl w:ilvl="5">
      <w:start w:val="1"/>
      <w:numFmt w:val="upperRoman"/>
      <w:lvlText w:val="(%6)"/>
      <w:lvlJc w:val="left"/>
      <w:pPr>
        <w:ind w:left="4320" w:hanging="480"/>
      </w:pPr>
    </w:lvl>
    <w:lvl w:ilvl="6">
      <w:start w:val="1"/>
      <w:numFmt w:val="upperRoman"/>
      <w:lvlText w:val="(%7)"/>
      <w:lvlJc w:val="left"/>
      <w:pPr>
        <w:ind w:left="5040" w:hanging="480"/>
      </w:pPr>
    </w:lvl>
    <w:lvl w:ilvl="7">
      <w:start w:val="1"/>
      <w:numFmt w:val="upperRoman"/>
      <w:lvlText w:val="(%8)"/>
      <w:lvlJc w:val="left"/>
      <w:pPr>
        <w:ind w:left="5760" w:hanging="480"/>
      </w:pPr>
    </w:lvl>
    <w:lvl w:ilvl="8">
      <w:start w:val="1"/>
      <w:numFmt w:val="upperRoman"/>
      <w:lvlText w:val="(%9)"/>
      <w:lvlJc w:val="left"/>
      <w:pPr>
        <w:ind w:left="6480" w:hanging="480"/>
      </w:pPr>
    </w:lvl>
  </w:abstractNum>
  <w:abstractNum w:abstractNumId="99632">
    <w:nsid w:val="A99632"/>
    <w:multiLevelType w:val="multilevel"/>
    <w:lvl w:ilvl="0">
      <w:start w:val="2"/>
      <w:numFmt w:val="upperRoman"/>
      <w:lvlText w:val="(%1)"/>
      <w:lvlJc w:val="left"/>
      <w:pPr>
        <w:ind w:left="720" w:hanging="480"/>
      </w:pPr>
    </w:lvl>
    <w:lvl w:ilvl="1">
      <w:start w:val="2"/>
      <w:numFmt w:val="upperRoman"/>
      <w:lvlText w:val="(%2)"/>
      <w:lvlJc w:val="left"/>
      <w:pPr>
        <w:ind w:left="1440" w:hanging="480"/>
      </w:pPr>
    </w:lvl>
    <w:lvl w:ilvl="2">
      <w:start w:val="2"/>
      <w:numFmt w:val="upperRoman"/>
      <w:lvlText w:val="(%3)"/>
      <w:lvlJc w:val="left"/>
      <w:pPr>
        <w:ind w:left="2160" w:hanging="480"/>
      </w:pPr>
    </w:lvl>
    <w:lvl w:ilvl="3">
      <w:start w:val="2"/>
      <w:numFmt w:val="upperRoman"/>
      <w:lvlText w:val="(%4)"/>
      <w:lvlJc w:val="left"/>
      <w:pPr>
        <w:ind w:left="2880" w:hanging="480"/>
      </w:pPr>
    </w:lvl>
    <w:lvl w:ilvl="4">
      <w:start w:val="2"/>
      <w:numFmt w:val="upperRoman"/>
      <w:lvlText w:val="(%5)"/>
      <w:lvlJc w:val="left"/>
      <w:pPr>
        <w:ind w:left="3600" w:hanging="480"/>
      </w:pPr>
    </w:lvl>
    <w:lvl w:ilvl="5">
      <w:start w:val="2"/>
      <w:numFmt w:val="upperRoman"/>
      <w:lvlText w:val="(%6)"/>
      <w:lvlJc w:val="left"/>
      <w:pPr>
        <w:ind w:left="4320" w:hanging="480"/>
      </w:pPr>
    </w:lvl>
    <w:lvl w:ilvl="6">
      <w:start w:val="2"/>
      <w:numFmt w:val="upperRoman"/>
      <w:lvlText w:val="(%7)"/>
      <w:lvlJc w:val="left"/>
      <w:pPr>
        <w:ind w:left="5040" w:hanging="480"/>
      </w:pPr>
    </w:lvl>
    <w:lvl w:ilvl="7">
      <w:start w:val="2"/>
      <w:numFmt w:val="upperRoman"/>
      <w:lvlText w:val="(%8)"/>
      <w:lvlJc w:val="left"/>
      <w:pPr>
        <w:ind w:left="5760" w:hanging="480"/>
      </w:pPr>
    </w:lvl>
    <w:lvl w:ilvl="8">
      <w:start w:val="2"/>
      <w:numFmt w:val="upperRoman"/>
      <w:lvlText w:val="(%9)"/>
      <w:lvlJc w:val="left"/>
      <w:pPr>
        <w:ind w:left="6480" w:hanging="480"/>
      </w:pPr>
    </w:lvl>
  </w:abstractNum>
  <w:abstractNum w:abstractNumId="99634">
    <w:nsid w:val="A99634"/>
    <w:multiLevelType w:val="multilevel"/>
    <w:lvl w:ilvl="0">
      <w:start w:val="4"/>
      <w:numFmt w:val="upperRoman"/>
      <w:lvlText w:val="(%1)"/>
      <w:lvlJc w:val="left"/>
      <w:pPr>
        <w:ind w:left="720" w:hanging="480"/>
      </w:pPr>
    </w:lvl>
    <w:lvl w:ilvl="1">
      <w:start w:val="4"/>
      <w:numFmt w:val="upperRoman"/>
      <w:lvlText w:val="(%2)"/>
      <w:lvlJc w:val="left"/>
      <w:pPr>
        <w:ind w:left="1440" w:hanging="480"/>
      </w:pPr>
    </w:lvl>
    <w:lvl w:ilvl="2">
      <w:start w:val="4"/>
      <w:numFmt w:val="upperRoman"/>
      <w:lvlText w:val="(%3)"/>
      <w:lvlJc w:val="left"/>
      <w:pPr>
        <w:ind w:left="2160" w:hanging="480"/>
      </w:pPr>
    </w:lvl>
    <w:lvl w:ilvl="3">
      <w:start w:val="4"/>
      <w:numFmt w:val="upperRoman"/>
      <w:lvlText w:val="(%4)"/>
      <w:lvlJc w:val="left"/>
      <w:pPr>
        <w:ind w:left="2880" w:hanging="480"/>
      </w:pPr>
    </w:lvl>
    <w:lvl w:ilvl="4">
      <w:start w:val="4"/>
      <w:numFmt w:val="upperRoman"/>
      <w:lvlText w:val="(%5)"/>
      <w:lvlJc w:val="left"/>
      <w:pPr>
        <w:ind w:left="3600" w:hanging="480"/>
      </w:pPr>
    </w:lvl>
    <w:lvl w:ilvl="5">
      <w:start w:val="4"/>
      <w:numFmt w:val="upperRoman"/>
      <w:lvlText w:val="(%6)"/>
      <w:lvlJc w:val="left"/>
      <w:pPr>
        <w:ind w:left="4320" w:hanging="480"/>
      </w:pPr>
    </w:lvl>
    <w:lvl w:ilvl="6">
      <w:start w:val="4"/>
      <w:numFmt w:val="upperRoman"/>
      <w:lvlText w:val="(%7)"/>
      <w:lvlJc w:val="left"/>
      <w:pPr>
        <w:ind w:left="5040" w:hanging="480"/>
      </w:pPr>
    </w:lvl>
    <w:lvl w:ilvl="7">
      <w:start w:val="4"/>
      <w:numFmt w:val="upperRoman"/>
      <w:lvlText w:val="(%8)"/>
      <w:lvlJc w:val="left"/>
      <w:pPr>
        <w:ind w:left="5760" w:hanging="480"/>
      </w:pPr>
    </w:lvl>
    <w:lvl w:ilvl="8">
      <w:start w:val="4"/>
      <w:numFmt w:val="upp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6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6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2026-10-07T23:35:52Z</dcterms:created>
  <dcterms:modified xsi:type="dcterms:W3CDTF">2026-10-07T23:35:52Z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