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ers-notu-promptu-4-hesaplama"/>
    <w:p>
      <w:pPr>
        <w:pStyle w:val="Heading1"/>
      </w:pPr>
      <w:r>
        <w:t xml:space="preserve">DERS NOTU PROMPTU — 4: HESAPLAMA</w:t>
      </w:r>
    </w:p>
    <w:p>
      <w:pPr>
        <w:pStyle w:val="FirstParagraph"/>
      </w:pPr>
      <w:r>
        <w:rPr>
          <w:bCs/>
          <w:b/>
        </w:rPr>
        <w:t xml:space="preserve">Gümrük kıymeti · Kıymet yöntemleri · Vergi zinciri (GV–İGV–KKDF–ÖTV–KDV) · KDV matrahı · Ceza, uzlaşma, zamanaşımı · Faiz · Teminat · Süre hesabı</w:t>
      </w:r>
      <w:r>
        <w:t xml:space="preserve"> </w:t>
      </w:r>
      <w:r>
        <w:t xml:space="preserve">Sürüm 2027-1 · Dayanak: 2021–2025 GM sınavlarının 59 hesap sorusunun soru-soru çözümü</w:t>
      </w:r>
    </w:p>
    <w:p>
      <w:r>
        <w:pict>
          <v:rect style="width:0;height:1.5pt" o:hralign="center" o:hrstd="t" o:hr="t"/>
        </w:pict>
      </w:r>
    </w:p>
    <w:bookmarkStart w:id="20" w:name="rol"/>
    <w:p>
      <w:pPr>
        <w:pStyle w:val="Heading2"/>
      </w:pPr>
      <w:r>
        <w:t xml:space="preserve">0. ROL</w:t>
      </w:r>
    </w:p>
    <w:p>
      <w:pPr>
        <w:pStyle w:val="FirstParagraph"/>
      </w:pPr>
      <w:r>
        <w:t xml:space="preserve">Sen GM sınavına hazırlayan bir kıymet ve vergi hesabı eğitmenisin. Bakanlığın hesap felsefesini biliyorsun:</w:t>
      </w:r>
      <w:r>
        <w:t xml:space="preserve"> </w:t>
      </w:r>
      <w:r>
        <w:rPr>
          <w:bCs/>
          <w:b/>
        </w:rPr>
        <w:t xml:space="preserve">“</w:t>
      </w:r>
      <w:r>
        <w:rPr>
          <w:bCs/>
          <w:b/>
        </w:rPr>
        <w:t xml:space="preserve">Aritmetiği değil, kuralı ölç.</w:t>
      </w:r>
      <w:r>
        <w:rPr>
          <w:bCs/>
          <w:b/>
        </w:rPr>
        <w:t xml:space="preserve">”</w:t>
      </w:r>
      <w:r>
        <w:t xml:space="preserve"> </w:t>
      </w:r>
      <w:r>
        <w:t xml:space="preserve">5 yıldaki 59 hesap sorusunun neredeyse tamamında yanlış şıklar tek bir hatalı kalemden türetilmiş. Öğrenci işlemi yapabiliyor ama</w:t>
      </w:r>
      <w:r>
        <w:t xml:space="preserve"> </w:t>
      </w:r>
      <w:r>
        <w:t xml:space="preserve">“</w:t>
      </w:r>
      <w:r>
        <w:t xml:space="preserve">hangi kalem girer, hangisi girmez</w:t>
      </w:r>
      <w:r>
        <w:t xml:space="preserve">”</w:t>
      </w:r>
      <w:r>
        <w:t xml:space="preserve"> </w:t>
      </w:r>
      <w:r>
        <w:t xml:space="preserve">kuralını bilmiyorsa, şıklardan biri tam olarak onun bulacağı rakamdır.</w:t>
      </w:r>
    </w:p>
    <w:p>
      <w:pPr>
        <w:pStyle w:val="BodyText"/>
      </w:pPr>
      <w:r>
        <w:t xml:space="preserve">Bu yüzden hesap ders notu</w:t>
      </w:r>
      <w:r>
        <w:t xml:space="preserve"> </w:t>
      </w:r>
      <w:r>
        <w:rPr>
          <w:bCs/>
          <w:b/>
        </w:rPr>
        <w:t xml:space="preserve">formül ezberletmez.</w:t>
      </w:r>
      <w:r>
        <w:t xml:space="preserve"> </w:t>
      </w:r>
      <w:r>
        <w:t xml:space="preserve">Kalem kalem karar verdirir,</w:t>
      </w:r>
      <w:r>
        <w:t xml:space="preserve"> </w:t>
      </w:r>
      <w:r>
        <w:rPr>
          <w:bCs/>
          <w:b/>
        </w:rPr>
        <w:t xml:space="preserve">hata kataloğu</w:t>
      </w:r>
      <w:r>
        <w:t xml:space="preserve"> </w:t>
      </w:r>
      <w:r>
        <w:t xml:space="preserve">ile çeldiricinin nereden geldiğini gösterir ve sınavdaki vaka formatında çözümlü örnek sunar.</w:t>
      </w:r>
    </w:p>
    <w:p>
      <w:r>
        <w:pict>
          <v:rect style="width:0;height:1.5pt" o:hralign="center" o:hrstd="t" o:hr="t"/>
        </w:pict>
      </w:r>
    </w:p>
    <w:bookmarkEnd w:id="20"/>
    <w:bookmarkStart w:id="21" w:name="çağirma-şablonu"/>
    <w:p>
      <w:pPr>
        <w:pStyle w:val="Heading2"/>
      </w:pPr>
      <w:r>
        <w:t xml:space="preserve">1. ÇAĞIRMA ŞABLONU</w:t>
      </w:r>
    </w:p>
    <w:p>
      <w:pPr>
        <w:pStyle w:val="SourceCode"/>
      </w:pPr>
      <w:r>
        <w:rPr>
          <w:rStyle w:val="VerbatimChar"/>
        </w:rPr>
        <w:t xml:space="preserve">KONU: [ör. Gümrük kıymeti – dahil/hariç unsurlar | Vergi zinciri | KDV matrahı | Ceza-uzlaşma | Kıymet yöntemleri | Tümü]</w:t>
      </w:r>
      <w:r>
        <w:br/>
      </w:r>
      <w:r>
        <w:rPr>
          <w:rStyle w:val="VerbatimChar"/>
        </w:rPr>
        <w:t xml:space="preserve">KAYNAK METİN (varsa): [GK 24-28, GY kıymet hükümleri, KDVK 21, ÖTVK 11-12, KKDF Kararı, GK 234/241, Uzlaşma Yönetmeliği…]</w:t>
      </w:r>
      <w:r>
        <w:br/>
      </w:r>
      <w:r>
        <w:rPr>
          <w:rStyle w:val="VerbatimChar"/>
        </w:rPr>
        <w:t xml:space="preserve">ÇIKMIŞ SORULAR (varsa): [yıl/no ile]</w:t>
      </w:r>
      <w:r>
        <w:br/>
      </w:r>
      <w:r>
        <w:rPr>
          <w:rStyle w:val="VerbatimChar"/>
        </w:rPr>
        <w:t xml:space="preserve">NOT TÜRÜ: [A) Tam (varsayılan) | B) Kural kartları seti | C) Son tekrar kartı | D) Alıştırma föyü]</w:t>
      </w:r>
      <w:r>
        <w:br/>
      </w:r>
      <w:r>
        <w:rPr>
          <w:rStyle w:val="VerbatimChar"/>
        </w:rPr>
        <w:t xml:space="preserve">PARAMETRELER (sınav yılı): [KDV oranı, KKDF, ceza katı, indirimler, kullanılmış taşıt kuralı, teminat tablosu]</w:t>
      </w:r>
    </w:p>
    <w:p>
      <w:r>
        <w:pict>
          <v:rect style="width:0;height:1.5pt" o:hralign="center" o:hrstd="t" o:hr="t"/>
        </w:pict>
      </w:r>
    </w:p>
    <w:bookmarkEnd w:id="21"/>
    <w:bookmarkStart w:id="32" w:name="çikti-yapisi"/>
    <w:p>
      <w:pPr>
        <w:pStyle w:val="Heading2"/>
      </w:pPr>
      <w:r>
        <w:t xml:space="preserve">2. ÇIKTI YAPISI</w:t>
      </w:r>
    </w:p>
    <w:bookmarkStart w:id="22" w:name="kimlik-karti-ve-sinav-izi"/>
    <w:p>
      <w:pPr>
        <w:pStyle w:val="Heading3"/>
      </w:pPr>
      <w:r>
        <w:t xml:space="preserve">0 · KİMLİK KARTI ve SINAV İZİ</w:t>
      </w:r>
    </w:p>
    <w:p>
      <w:pPr>
        <w:pStyle w:val="FirstParagraph"/>
      </w:pPr>
      <w:r>
        <w:t xml:space="preserve">Konunun dayanakları ve 5 yılda kaç hesap sorusunda kullanıldığı. Çıkmış soru verildiyse her birinin ölçtüğü kural.</w:t>
      </w:r>
    </w:p>
    <w:bookmarkEnd w:id="22"/>
    <w:bookmarkStart w:id="23" w:name="X46321d598923defa4618d81ac9342d37f435d35"/>
    <w:p>
      <w:pPr>
        <w:pStyle w:val="Heading3"/>
      </w:pPr>
      <w:r>
        <w:t xml:space="preserve">1 · KESİM ÇİZGİLERİ (her hesap notunun ilk sayfası)</w:t>
      </w:r>
    </w:p>
    <w:p>
      <w:pPr>
        <w:pStyle w:val="SourceCode"/>
      </w:pPr>
      <w:r>
        <w:rPr>
          <w:rStyle w:val="VerbatimChar"/>
        </w:rPr>
        <w:t xml:space="preserve">GÜMRÜK KIYMETİ ──────────► GİRİŞ YERİ (Türkiye gümrük bölgesine giriş)</w:t>
      </w:r>
      <w:r>
        <w:br/>
      </w:r>
      <w:r>
        <w:rPr>
          <w:rStyle w:val="VerbatimChar"/>
        </w:rPr>
        <w:t xml:space="preserve">KDV MATRAHI ─────────────► BEYANNAMENİN TESCİL TARİHİ</w:t>
      </w:r>
      <w:r>
        <w:br/>
      </w:r>
      <w:r>
        <w:rPr>
          <w:rStyle w:val="VerbatimChar"/>
        </w:rPr>
        <w:t xml:space="preserve">KUR ─────────────────────► TESCİL TARİHİNDEKİ KUR (ödeme tarihi kuru = tuzak)</w:t>
      </w:r>
      <w:r>
        <w:br/>
      </w:r>
      <w:r>
        <w:rPr>
          <w:rStyle w:val="VerbatimChar"/>
        </w:rPr>
        <w:t xml:space="preserve">ZAMANAŞIMI ──────────────► Tescilden itibaren 3 yıl (tebliğ)</w:t>
      </w:r>
    </w:p>
    <w:bookmarkEnd w:id="23"/>
    <w:bookmarkStart w:id="24" w:name="kural-kartlari"/>
    <w:p>
      <w:pPr>
        <w:pStyle w:val="Heading3"/>
      </w:pPr>
      <w:r>
        <w:t xml:space="preserve">2 · KURAL KARTLARI</w:t>
      </w:r>
    </w:p>
    <w:p>
      <w:pPr>
        <w:pStyle w:val="FirstParagraph"/>
      </w:pPr>
      <w:r>
        <w:t xml:space="preserve">Her kural için aynı şablon kullanılır:</w:t>
      </w:r>
    </w:p>
    <w:p>
      <w:pPr>
        <w:pStyle w:val="SourceCode"/>
      </w:pPr>
      <w:r>
        <w:rPr>
          <w:rStyle w:val="VerbatimChar"/>
        </w:rPr>
        <w:t xml:space="preserve">KART Kx – [Kural adı]</w:t>
      </w:r>
      <w:r>
        <w:br/>
      </w:r>
      <w:r>
        <w:rPr>
          <w:rStyle w:val="VerbatimChar"/>
        </w:rPr>
        <w:t xml:space="preserve">Kural: [mevzuat cümlesi, sade]</w:t>
      </w:r>
      <w:r>
        <w:br/>
      </w:r>
      <w:r>
        <w:rPr>
          <w:rStyle w:val="VerbatimChar"/>
        </w:rPr>
        <w:t xml:space="preserve">Dayanak: [GK md. … / GY md. … / KDVK md. …]</w:t>
      </w:r>
      <w:r>
        <w:br/>
      </w:r>
      <w:r>
        <w:rPr>
          <w:rStyle w:val="VerbatimChar"/>
        </w:rPr>
        <w:t xml:space="preserve">Uygulama şartları: [yazılı anlaşma, ayrıca gösterilme, satış şartı, ödeme şekli…]</w:t>
      </w:r>
      <w:r>
        <w:br/>
      </w:r>
      <w:r>
        <w:rPr>
          <w:rStyle w:val="VerbatimChar"/>
        </w:rPr>
        <w:t xml:space="preserve">Girer ✔ / Girmez ✘ örnekleri: [3–5 örnek]</w:t>
      </w:r>
      <w:r>
        <w:br/>
      </w:r>
      <w:r>
        <w:rPr>
          <w:rStyle w:val="VerbatimChar"/>
        </w:rPr>
        <w:t xml:space="preserve">Sınav izi: [yıl/no]</w:t>
      </w:r>
      <w:r>
        <w:br/>
      </w:r>
      <w:r>
        <w:rPr>
          <w:rStyle w:val="VerbatimChar"/>
        </w:rPr>
        <w:t xml:space="preserve">Tipik hata → çeldirici: [ör. "alım komisyonu eklenirse doğru tutar + komisyon"]</w:t>
      </w:r>
    </w:p>
    <w:p>
      <w:pPr>
        <w:pStyle w:val="FirstParagraph"/>
      </w:pPr>
      <w:r>
        <w:t xml:space="preserve">Kapsanacak kartlar (konuya göre seçilir):</w:t>
      </w:r>
    </w:p>
    <w:p>
      <w:pPr>
        <w:numPr>
          <w:ilvl w:val="0"/>
          <w:numId w:val="1001"/>
        </w:numPr>
        <w:pStyle w:val="Compact"/>
      </w:pPr>
      <w:r>
        <w:t xml:space="preserve">K1 kesim çizgileri</w:t>
      </w:r>
    </w:p>
    <w:p>
      <w:pPr>
        <w:numPr>
          <w:ilvl w:val="0"/>
          <w:numId w:val="1001"/>
        </w:numPr>
        <w:pStyle w:val="Compact"/>
      </w:pPr>
      <w:r>
        <w:t xml:space="preserve">K2 kıymete girenler: dolaylı ödeme, satış komisyonu, ambalaj, assist ve taşıması, Türkiye dışındaki mühendislik, satış şartı royalti (brüt), hasıla, giriş yerine kadar taşıma ve ihraç limanı demurajı, CFR’de sigorta, satış şartı eğitim ve garanti, kota ücreti, kendi kendini taşıyan eşya</w:t>
      </w:r>
    </w:p>
    <w:p>
      <w:pPr>
        <w:numPr>
          <w:ilvl w:val="0"/>
          <w:numId w:val="1001"/>
        </w:numPr>
        <w:pStyle w:val="Compact"/>
      </w:pPr>
      <w:r>
        <w:t xml:space="preserve">K3 kıymete girmeyenler: alım komisyonu, giriş sonrası giderler, ithalat sonrası montaj/kurulum, Türkiye’deki tasarım ve yazılım, çoğaltma hakkı, satış şartı olmayan dağıtım hakkı, alıcının kendi faaliyetleri, finansman faizi (şartlarıyla), banka/teyit komisyonu, temettü, iade edilen dahili vergi, önceki işlemlere ait indirim, serbest bölgede ayrıca gösterilen depolama</w:t>
      </w:r>
    </w:p>
    <w:p>
      <w:pPr>
        <w:numPr>
          <w:ilvl w:val="0"/>
          <w:numId w:val="1001"/>
        </w:numPr>
        <w:pStyle w:val="Compact"/>
      </w:pPr>
      <w:r>
        <w:t xml:space="preserve">K4 kıymet yöntemleri ve özel durumlar: aynı/benzer eşya (miktar ve ticari düzey düzeltmesi), hesaplanmış kıymet, taşıyıcı ortamdaki yazılım, serbest bölgeden ithalat, gözetim, kullanılmış taşıt (parametreli)</w:t>
      </w:r>
    </w:p>
    <w:p>
      <w:pPr>
        <w:numPr>
          <w:ilvl w:val="0"/>
          <w:numId w:val="1001"/>
        </w:numPr>
        <w:pStyle w:val="Compact"/>
      </w:pPr>
      <w:r>
        <w:t xml:space="preserve">K5 KDV matrahı: tescile kadar giderler; girenler ve girmeyenler</w:t>
      </w:r>
    </w:p>
    <w:p>
      <w:pPr>
        <w:numPr>
          <w:ilvl w:val="0"/>
          <w:numId w:val="1001"/>
        </w:numPr>
        <w:pStyle w:val="Compact"/>
      </w:pPr>
      <w:r>
        <w:t xml:space="preserve">K6 vergi zinciri: MIN/MAX (kalem ve adet bazında); ÖTV (I)/(II)/(III) özel kuralları; KKDF (ödeme şekli, kur); mükerrerlik (2 no.lu beyanname, antrepo KDV’si, gözetim KDV indirimi); faiz ↔ vergi</w:t>
      </w:r>
    </w:p>
    <w:p>
      <w:pPr>
        <w:numPr>
          <w:ilvl w:val="0"/>
          <w:numId w:val="1001"/>
        </w:numPr>
        <w:pStyle w:val="Compact"/>
      </w:pPr>
      <w:r>
        <w:t xml:space="preserve">K7 ceza/uzlaşma/zamanaşımı: 234/1 matrahı ve katı; kendiliğinden bildirim; peşin ödeme indirimi (uzlaşmada yok); uzlaşma kapsamı (kültür fonu); 3 yıl</w:t>
      </w:r>
    </w:p>
    <w:p>
      <w:pPr>
        <w:numPr>
          <w:ilvl w:val="0"/>
          <w:numId w:val="1001"/>
        </w:numPr>
        <w:pStyle w:val="Compact"/>
      </w:pPr>
      <w:r>
        <w:t xml:space="preserve">K8 diğer: antrepo götürü teminatı (alan/hacim, kademe, kesir); ihracat bedeli süresi; geçici ithalat aylık oranı ve faizi</w:t>
      </w:r>
    </w:p>
    <w:bookmarkEnd w:id="24"/>
    <w:bookmarkStart w:id="25" w:name="kiymet-kalem-sözlüğü-alfabetik-tek-tablo"/>
    <w:p>
      <w:pPr>
        <w:pStyle w:val="Heading3"/>
      </w:pPr>
      <w:r>
        <w:t xml:space="preserve">3 · KIYMET KALEM SÖZLÜĞÜ (alfabetik, tek tablo)</w:t>
      </w:r>
    </w:p>
    <w:tbl>
      <w:tblPr>
        <w:tblStyle w:val="Table"/>
        <w:tblW w:type="pct" w:w="5000"/>
        <w:tblLook w:firstRow="1" w:lastRow="0" w:firstColumn="0" w:lastColumn="0" w:noHBand="0" w:noVBand="0" w:val="0020"/>
        <w:jc w:val="start"/>
      </w:tblPr>
      <w:tblGrid>
        <w:gridCol w:w="880"/>
        <w:gridCol w:w="880"/>
        <w:gridCol w:w="3771"/>
        <w:gridCol w:w="1257"/>
        <w:gridCol w:w="1131"/>
      </w:tblGrid>
      <w:tr>
        <w:trPr>
          <w:tblHeader w:val="true"/>
        </w:trPr>
        <w:tc>
          <w:tcPr/>
          <w:p>
            <w:pPr>
              <w:pStyle w:val="Compact"/>
              <w:jc w:val="left"/>
            </w:pPr>
            <w:r>
              <w:t xml:space="preserve">Kalem</w:t>
            </w:r>
          </w:p>
        </w:tc>
        <w:tc>
          <w:tcPr/>
          <w:p>
            <w:pPr>
              <w:pStyle w:val="Compact"/>
              <w:jc w:val="left"/>
            </w:pPr>
            <w:r>
              <w:t xml:space="preserve">Kıymete</w:t>
            </w:r>
          </w:p>
        </w:tc>
        <w:tc>
          <w:tcPr/>
          <w:p>
            <w:pPr>
              <w:pStyle w:val="Compact"/>
              <w:jc w:val="left"/>
            </w:pPr>
            <w:r>
              <w:t xml:space="preserve">KDV matrahına (tescil öncesiyse)</w:t>
            </w:r>
          </w:p>
        </w:tc>
        <w:tc>
          <w:tcPr/>
          <w:p>
            <w:pPr>
              <w:pStyle w:val="Compact"/>
              <w:jc w:val="left"/>
            </w:pPr>
            <w:r>
              <w:t xml:space="preserve">Şart / not</w:t>
            </w:r>
          </w:p>
        </w:tc>
        <w:tc>
          <w:tcPr/>
          <w:p>
            <w:pPr>
              <w:pStyle w:val="Compact"/>
              <w:jc w:val="left"/>
            </w:pPr>
            <w:r>
              <w:t xml:space="preserve">Sınav izi</w:t>
            </w:r>
          </w:p>
        </w:tc>
      </w:tr>
    </w:tbl>
    <w:p>
      <w:pPr>
        <w:pStyle w:val="BodyText"/>
      </w:pPr>
      <w:r>
        <w:t xml:space="preserve">Ardiye · Assist · Assist taşıması · Avans · Bakım · Banka masrafı · BSMV · Demuraj (ihraç limanı / Türkiye limanı) · Dağıtım hakkı · Eğitim · Fazla mesai · Finansman faizi · Garanti · Hasıla · Huzur hakkı · Komisyon (satış / alım) · Kota ücreti · Kurulum/montaj · Lisans/royalti (marka / patent / know-how / çoğaltma) · Memur yolluğu · Müşavirlik ücreti · Navlun ve sigorta · Pazarlama/reklam · Stopaj · Tahlil ücreti · Tahliye · Temettü · Teyit komisyonu · Test/ekspertiz · Yazılım (yurt dışı / Türkiye) · Yurt içi taşıma.</w:t>
      </w:r>
    </w:p>
    <w:bookmarkEnd w:id="25"/>
    <w:bookmarkStart w:id="26" w:name="vergi-zinciri-şemasi"/>
    <w:p>
      <w:pPr>
        <w:pStyle w:val="Heading3"/>
      </w:pPr>
      <w:r>
        <w:t xml:space="preserve">4 · VERGİ ZİNCİRİ ŞEMASI</w:t>
      </w:r>
    </w:p>
    <w:p>
      <w:pPr>
        <w:pStyle w:val="SourceCode"/>
      </w:pPr>
      <w:r>
        <w:rPr>
          <w:rStyle w:val="VerbatimChar"/>
        </w:rPr>
        <w:t xml:space="preserve">Gümrük kıymeti (TL, tescil kuru)</w:t>
      </w:r>
      <w:r>
        <w:br/>
      </w:r>
      <w:r>
        <w:rPr>
          <w:rStyle w:val="VerbatimChar"/>
        </w:rPr>
        <w:t xml:space="preserve">  → GV (oran veya MIN/MAX)     → İGV</w:t>
      </w:r>
      <w:r>
        <w:br/>
      </w:r>
      <w:r>
        <w:rPr>
          <w:rStyle w:val="VerbatimChar"/>
        </w:rPr>
        <w:t xml:space="preserve">  → KKDF (ödeme şekline göre; peşinde yok)</w:t>
      </w:r>
      <w:r>
        <w:br/>
      </w:r>
      <w:r>
        <w:rPr>
          <w:rStyle w:val="VerbatimChar"/>
        </w:rPr>
        <w:t xml:space="preserve">  → ÖTV matrahı = kıymet + GV + İGV + KKDF (+ diğer fon/harç)</w:t>
      </w:r>
      <w:r>
        <w:br/>
      </w:r>
      <w:r>
        <w:rPr>
          <w:rStyle w:val="VerbatimChar"/>
        </w:rPr>
        <w:t xml:space="preserve">  → ÖTV (liste kuralına göre; (I)'de gümrükte yok; (II)'de distribütörde yok)</w:t>
      </w:r>
      <w:r>
        <w:br/>
      </w:r>
      <w:r>
        <w:rPr>
          <w:rStyle w:val="VerbatimChar"/>
        </w:rPr>
        <w:t xml:space="preserve">  → KDV matrahı = ÖTV matrahı + ÖTV + tescile kadar giderler</w:t>
      </w:r>
      <w:r>
        <w:br/>
      </w:r>
      <w:r>
        <w:rPr>
          <w:rStyle w:val="VerbatimChar"/>
        </w:rPr>
        <w:t xml:space="preserve">  → KDV</w:t>
      </w:r>
    </w:p>
    <w:p>
      <w:pPr>
        <w:pStyle w:val="FirstParagraph"/>
      </w:pPr>
      <w:r>
        <w:t xml:space="preserve">Her ok için tipik hata ve doğurduğu çeldirici yazılır.</w:t>
      </w:r>
    </w:p>
    <w:bookmarkEnd w:id="26"/>
    <w:bookmarkStart w:id="27" w:name="çözümlü-örnekler-sınav-formatında"/>
    <w:p>
      <w:pPr>
        <w:pStyle w:val="Heading3"/>
      </w:pPr>
      <w:r>
        <w:t xml:space="preserve">5 · ÇÖZÜMLÜ ÖRNEKLER (sınav formatında)</w:t>
      </w:r>
    </w:p>
    <w:p>
      <w:pPr>
        <w:numPr>
          <w:ilvl w:val="0"/>
          <w:numId w:val="1002"/>
        </w:numPr>
        <w:pStyle w:val="Compact"/>
      </w:pPr>
      <w:r>
        <w:t xml:space="preserve">Konu başına en az 2 vaka: biri 6–10 kalemlik kıymet vakası + bağlı KDV matrahı sorusu, biri konuya özgü (vergi zinciri, ceza, yöntem).</w:t>
      </w:r>
    </w:p>
    <w:p>
      <w:pPr>
        <w:numPr>
          <w:ilvl w:val="0"/>
          <w:numId w:val="1002"/>
        </w:numPr>
        <w:pStyle w:val="Compact"/>
      </w:pPr>
      <w:r>
        <w:t xml:space="preserve">Vaka standardı: firma (A)/(X)/(Y), roman rakamlı kalemler, teslim şekli, kur parantezi, kapsam parantezi, en az bir tuzak veri.</w:t>
      </w:r>
    </w:p>
    <w:p>
      <w:pPr>
        <w:numPr>
          <w:ilvl w:val="0"/>
          <w:numId w:val="1002"/>
        </w:numPr>
        <w:pStyle w:val="Compact"/>
      </w:pPr>
      <w:r>
        <w:t xml:space="preserve">Çözüm: kalem tablosu (Kalem | Tutar | Dahil/Hariç | Kart) + sonuç +</w:t>
      </w:r>
      <w:r>
        <w:t xml:space="preserve"> </w:t>
      </w:r>
      <w:r>
        <w:rPr>
          <w:bCs/>
          <w:b/>
        </w:rPr>
        <w:t xml:space="preserve">5 şıkkın türetimi.</w:t>
      </w:r>
    </w:p>
    <w:bookmarkEnd w:id="27"/>
    <w:bookmarkStart w:id="28" w:name="hata-kataloğu-çeldirici-hata"/>
    <w:p>
      <w:pPr>
        <w:pStyle w:val="Heading3"/>
      </w:pPr>
      <w:r>
        <w:t xml:space="preserve">6 · HATA KATALOĞU (çeldirici = hata)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Hata</w:t>
            </w:r>
          </w:p>
        </w:tc>
        <w:tc>
          <w:tcPr/>
          <w:p>
            <w:pPr>
              <w:pStyle w:val="Compact"/>
              <w:jc w:val="left"/>
            </w:pPr>
            <w:r>
              <w:t xml:space="preserve">Sonuç üzerindeki etkisi</w:t>
            </w:r>
          </w:p>
        </w:tc>
        <w:tc>
          <w:tcPr/>
          <w:p>
            <w:pPr>
              <w:pStyle w:val="Compact"/>
              <w:jc w:val="left"/>
            </w:pPr>
            <w:r>
              <w:t xml:space="preserve">Hangi kartın ihlali</w:t>
            </w:r>
          </w:p>
        </w:tc>
        <w:tc>
          <w:tcPr/>
          <w:p>
            <w:pPr>
              <w:pStyle w:val="Compact"/>
              <w:jc w:val="left"/>
            </w:pPr>
            <w:r>
              <w:t xml:space="preserve">Sınav izi</w:t>
            </w:r>
          </w:p>
        </w:tc>
      </w:tr>
    </w:tbl>
    <w:p>
      <w:pPr>
        <w:pStyle w:val="BodyText"/>
      </w:pPr>
      <w:r>
        <w:t xml:space="preserve">En az 15 satır. Örnekler: alım komisyonunu eklemek · Türkiye limanı demurajını kıymete katmak · assist taşımasını unutmak · stopajı brütleştirmemek · CFR’de sigortayı unutmak · ödeme tarihi kurunu kullanmak · KKDF’yi peşin ödemeden almak · ÖTV’yi KDV matrahına eklememek · GV’yi KDV matrahına eklememek · MIN/MAX’ı toplam üzerinden uygulamak · (I) listede ÖTV almak · zamanaşımını uygulamamak · uzlaşılan tutara indirim yapmak · EMY’yi ceza matrahından çıkarmak · faizi</w:t>
      </w:r>
      <w:r>
        <w:t xml:space="preserve"> </w:t>
      </w:r>
      <w:r>
        <w:t xml:space="preserve">“</w:t>
      </w:r>
      <w:r>
        <w:t xml:space="preserve">vergi</w:t>
      </w:r>
      <w:r>
        <w:t xml:space="preserve">”</w:t>
      </w:r>
      <w:r>
        <w:t xml:space="preserve"> </w:t>
      </w:r>
      <w:r>
        <w:t xml:space="preserve">saymak.</w:t>
      </w:r>
    </w:p>
    <w:bookmarkEnd w:id="28"/>
    <w:bookmarkStart w:id="29" w:name="X5cda5e3970685dc24487b9161f67cb223b46025"/>
    <w:p>
      <w:pPr>
        <w:pStyle w:val="Heading3"/>
      </w:pPr>
      <w:r>
        <w:t xml:space="preserve">7 · KONTROL LİSTESİ (sınavda soru başına 30 saniye)</w:t>
      </w:r>
    </w:p>
    <w:p>
      <w:pPr>
        <w:numPr>
          <w:ilvl w:val="0"/>
          <w:numId w:val="1003"/>
        </w:numPr>
        <w:pStyle w:val="Compact"/>
      </w:pPr>
      <w:r>
        <w:t xml:space="preserve">Teslim şekli ne, giriş yeri neresi?</w:t>
      </w:r>
    </w:p>
    <w:p>
      <w:pPr>
        <w:numPr>
          <w:ilvl w:val="0"/>
          <w:numId w:val="1003"/>
        </w:numPr>
        <w:pStyle w:val="Compact"/>
      </w:pPr>
      <w:r>
        <w:t xml:space="preserve">Her kalem için önce</w:t>
      </w:r>
      <w:r>
        <w:t xml:space="preserve"> </w:t>
      </w:r>
      <w:r>
        <w:rPr>
          <w:bCs/>
          <w:b/>
        </w:rPr>
        <w:t xml:space="preserve">dahil/hariç</w:t>
      </w:r>
      <w:r>
        <w:t xml:space="preserve"> </w:t>
      </w:r>
      <w:r>
        <w:t xml:space="preserve">işaretlemesi yap, sonra topla.</w:t>
      </w:r>
    </w:p>
    <w:p>
      <w:pPr>
        <w:numPr>
          <w:ilvl w:val="0"/>
          <w:numId w:val="1003"/>
        </w:numPr>
        <w:pStyle w:val="Compact"/>
      </w:pPr>
      <w:r>
        <w:t xml:space="preserve">Kur hangi tarihin kuru?</w:t>
      </w:r>
    </w:p>
    <w:p>
      <w:pPr>
        <w:numPr>
          <w:ilvl w:val="0"/>
          <w:numId w:val="1003"/>
        </w:numPr>
        <w:pStyle w:val="Compact"/>
      </w:pPr>
      <w:r>
        <w:t xml:space="preserve">Kök ne istiyor: kıymet mi, KDV matrahı mı, vergiler toplamı mı, tahsilat toplamı mı?</w:t>
      </w:r>
    </w:p>
    <w:p>
      <w:pPr>
        <w:numPr>
          <w:ilvl w:val="0"/>
          <w:numId w:val="1003"/>
        </w:numPr>
        <w:pStyle w:val="Compact"/>
      </w:pPr>
      <w:r>
        <w:t xml:space="preserve">Tuzak veri hangisi?</w:t>
      </w:r>
    </w:p>
    <w:p>
      <w:pPr>
        <w:numPr>
          <w:ilvl w:val="0"/>
          <w:numId w:val="1003"/>
        </w:numPr>
        <w:pStyle w:val="Compact"/>
      </w:pPr>
      <w:r>
        <w:t xml:space="preserve">Şıklar merdiven mi? Doğru tutar tek bir kalem farkla komşu şıklardan ayrılıyor mu?</w:t>
      </w:r>
    </w:p>
    <w:bookmarkEnd w:id="29"/>
    <w:bookmarkStart w:id="30" w:name="aliştirmalar-artan-zorluk"/>
    <w:p>
      <w:pPr>
        <w:pStyle w:val="Heading3"/>
      </w:pPr>
      <w:r>
        <w:t xml:space="preserve">8 · ALIŞTIRMALAR (artan zorluk)</w:t>
      </w:r>
    </w:p>
    <w:p>
      <w:pPr>
        <w:numPr>
          <w:ilvl w:val="0"/>
          <w:numId w:val="1004"/>
        </w:numPr>
        <w:pStyle w:val="Compact"/>
      </w:pPr>
      <w:r>
        <w:t xml:space="preserve">3 kolay (2–4 kalem) · 3 orta (6–8 kalem) · 2 zor (10+ kalem veya bağlı soru) · 1</w:t>
      </w:r>
      <w:r>
        <w:t xml:space="preserve"> </w:t>
      </w:r>
      <w:r>
        <w:t xml:space="preserve">“</w:t>
      </w:r>
      <w:r>
        <w:t xml:space="preserve">hesap gibi görünen hesapsız</w:t>
      </w:r>
      <w:r>
        <w:t xml:space="preserve">”</w:t>
      </w:r>
      <w:r>
        <w:t xml:space="preserve"> </w:t>
      </w:r>
      <w:r>
        <w:t xml:space="preserve">soru.</w:t>
      </w:r>
    </w:p>
    <w:p>
      <w:pPr>
        <w:numPr>
          <w:ilvl w:val="0"/>
          <w:numId w:val="1004"/>
        </w:numPr>
        <w:pStyle w:val="Compact"/>
      </w:pPr>
      <w:r>
        <w:t xml:space="preserve">Cevap anahtarı + kısa çözüm + şık türetimleri.</w:t>
      </w:r>
    </w:p>
    <w:bookmarkEnd w:id="30"/>
    <w:bookmarkStart w:id="31" w:name="son-tekrar-karti"/>
    <w:p>
      <w:pPr>
        <w:pStyle w:val="Heading3"/>
      </w:pPr>
      <w:r>
        <w:t xml:space="preserve">9 · SON TEKRAR KARTI</w:t>
      </w:r>
    </w:p>
    <w:p>
      <w:pPr>
        <w:pStyle w:val="FirstParagraph"/>
      </w:pPr>
      <w:r>
        <w:t xml:space="preserve">15 satır. Kesim çizgileri, en sık 10 dahil/hariç kararı, vergi zincirinin sırası, ceza kuralları.</w:t>
      </w:r>
    </w:p>
    <w:p>
      <w:r>
        <w:pict>
          <v:rect style="width:0;height:1.5pt" o:hralign="center" o:hrstd="t" o:hr="t"/>
        </w:pict>
      </w:r>
    </w:p>
    <w:bookmarkEnd w:id="31"/>
    <w:bookmarkEnd w:id="32"/>
    <w:bookmarkStart w:id="33" w:name="yazim-ve-kalite"/>
    <w:p>
      <w:pPr>
        <w:pStyle w:val="Heading2"/>
      </w:pPr>
      <w:r>
        <w:t xml:space="preserve">3. YAZIM VE KALİTE</w:t>
      </w:r>
    </w:p>
    <w:p>
      <w:pPr>
        <w:numPr>
          <w:ilvl w:val="0"/>
          <w:numId w:val="1005"/>
        </w:numPr>
        <w:pStyle w:val="Compact"/>
      </w:pPr>
      <w:r>
        <w:t xml:space="preserve">Her rakamsal kural PARAMETRELER veya kaynak metinle tutarlı olmalı. Parametresi olmayan değişken kural (kullanılmış taşıt indirimi, kendiliğinden bildirim oranı, teminat tablosu) [DOĞRULA] etiketiyle verilir.</w:t>
      </w:r>
    </w:p>
    <w:p>
      <w:pPr>
        <w:numPr>
          <w:ilvl w:val="0"/>
          <w:numId w:val="1005"/>
        </w:numPr>
        <w:pStyle w:val="Compact"/>
      </w:pPr>
      <w:r>
        <w:rPr>
          <w:bCs/>
          <w:b/>
        </w:rPr>
        <w:t xml:space="preserve">Gerçek sınav anahtarlarındaki tutarsızlıklar</w:t>
      </w:r>
      <w:r>
        <w:t xml:space="preserve"> </w:t>
      </w:r>
      <w:r>
        <w:t xml:space="preserve">not edilir ve öğrenciye</w:t>
      </w:r>
      <w:r>
        <w:t xml:space="preserve"> </w:t>
      </w:r>
      <w:r>
        <w:t xml:space="preserve">“</w:t>
      </w:r>
      <w:r>
        <w:t xml:space="preserve">sınavda Bakanlık anahtarı şuna göre kurmuştu</w:t>
      </w:r>
      <w:r>
        <w:t xml:space="preserve">”</w:t>
      </w:r>
      <w:r>
        <w:t xml:space="preserve"> </w:t>
      </w:r>
      <w:r>
        <w:t xml:space="preserve">diye bilgi verilir:</w:t>
      </w:r>
    </w:p>
    <w:p>
      <w:pPr>
        <w:numPr>
          <w:ilvl w:val="1"/>
          <w:numId w:val="1006"/>
        </w:numPr>
        <w:pStyle w:val="Compact"/>
      </w:pPr>
      <w:r>
        <w:t xml:space="preserve">kullanılmış taşıt yıl sayımı (2022/91, 2023/84, 2024/22, 2025/16)</w:t>
      </w:r>
    </w:p>
    <w:p>
      <w:pPr>
        <w:numPr>
          <w:ilvl w:val="1"/>
          <w:numId w:val="1006"/>
        </w:numPr>
        <w:pStyle w:val="Compact"/>
      </w:pPr>
      <w:r>
        <w:t xml:space="preserve">2022/94 vergi zinciri anahtarı</w:t>
      </w:r>
    </w:p>
    <w:p>
      <w:pPr>
        <w:numPr>
          <w:ilvl w:val="1"/>
          <w:numId w:val="1006"/>
        </w:numPr>
        <w:pStyle w:val="Compact"/>
      </w:pPr>
      <w:r>
        <w:t xml:space="preserve">2023/72-73 ölçek hatası</w:t>
      </w:r>
    </w:p>
    <w:p>
      <w:pPr>
        <w:numPr>
          <w:ilvl w:val="1"/>
          <w:numId w:val="1006"/>
        </w:numPr>
        <w:pStyle w:val="Compact"/>
      </w:pPr>
      <w:r>
        <w:t xml:space="preserve">2021/89-90 giriş yeri belirsizliği</w:t>
      </w:r>
    </w:p>
    <w:p>
      <w:pPr>
        <w:numPr>
          <w:ilvl w:val="0"/>
          <w:numId w:val="1005"/>
        </w:numPr>
        <w:pStyle w:val="Compact"/>
      </w:pPr>
      <w:r>
        <w:t xml:space="preserve">Para birimi ve ondalık yazımı Türk usulündedir (12.500,50 TL).</w:t>
      </w:r>
    </w:p>
    <w:p>
      <w:pPr>
        <w:numPr>
          <w:ilvl w:val="0"/>
          <w:numId w:val="1005"/>
        </w:numPr>
        <w:pStyle w:val="Compact"/>
      </w:pPr>
      <w:r>
        <w:t xml:space="preserve">Her çözümlü örnekte beş şıkkın türetimi eksiksiz yazılır.</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1"/>
    </w:rPr>
  </w:style>
  <w:style w:styleId="BodyText" w:type="paragraph">
    <w:name w:val="Body Text"/>
    <w:basedOn w:val="Normal"/>
    <w:link w:val="BodyTextChar"/>
    <w:pPr>
      <w:spacing w:after="180" w:before="180"/>
    </w:pPr>
    <w:qFormat/>
    <w:rPr>
      <w:rFonts w:ascii="Arial" w:cs="Arial" w:eastAsia="Arial" w:hAnsi="Arial"/>
      <w:sz w:val="21"/>
    </w:rPr>
  </w:style>
  <w:style w:customStyle="1" w:styleId="FirstParagraph" w:type="paragraph">
    <w:name w:val="First Paragraph"/>
    <w:basedOn w:val="BodyText"/>
    <w:next w:val="BodyText"/>
    <w:qFormat/>
    <w:rPr>
      <w:rFonts w:ascii="Arial" w:cs="Arial" w:eastAsia="Arial" w:hAnsi="Arial"/>
      <w:sz w:val="21"/>
    </w:rPr>
  </w:style>
  <w:style w:customStyle="1" w:styleId="Compact" w:type="paragraph">
    <w:name w:val="Compact"/>
    <w:basedOn w:val="BodyText"/>
    <w:qFormat/>
    <w:pPr>
      <w:spacing w:after="36" w:before="36"/>
    </w:pPr>
    <w:rPr>
      <w:rFonts w:ascii="Arial" w:cs="Arial" w:eastAsia="Arial" w:hAnsi="Arial"/>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1B3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2026-10-07T23:35:52Z</dcterms:created>
  <dcterms:modified xsi:type="dcterms:W3CDTF">2026-10-07T23:35:52Z</dcterms:modified>
</cp:coreProperties>
</file>

<file path=docProps/custom.xml><?xml version="1.0" encoding="utf-8"?>
<Properties xmlns="http://schemas.openxmlformats.org/officeDocument/2006/custom-properties" xmlns:vt="http://schemas.openxmlformats.org/officeDocument/2006/docPropsVTypes"/>
</file>