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oru-üretim-promptu-1-gümrük-mevzuati"/>
    <w:p>
      <w:pPr>
        <w:pStyle w:val="Heading1"/>
      </w:pPr>
      <w:r>
        <w:t xml:space="preserve">SORU ÜRETİM PROMPTU — 1: GÜMRÜK MEVZUATI</w:t>
      </w:r>
    </w:p>
    <w:p>
      <w:pPr>
        <w:pStyle w:val="FirstParagraph"/>
      </w:pPr>
      <w:r>
        <w:rPr>
          <w:bCs/>
          <w:b/>
        </w:rPr>
        <w:t xml:space="preserve">4458 sayılı Gümrük Kanunu · Gümrük Yönetmeliği · Gümrük genel tebliğleri · 2009/15481 sayılı Karar · GİKY · YGM ve gümrük müşavirliği mevzuatı</w:t>
      </w:r>
      <w:r>
        <w:t xml:space="preserve"> </w:t>
      </w:r>
      <w:r>
        <w:t xml:space="preserve">Sürüm 2027-1 · Dayanak: 2021–2025 GM sınavlarının 222 Gümrük Mevzuatı sorusunun analizi</w:t>
      </w:r>
    </w:p>
    <w:p>
      <w:pPr>
        <w:pStyle w:val="BlockText"/>
      </w:pPr>
      <w:r>
        <w:rPr>
          <w:bCs/>
          <w:b/>
        </w:rPr>
        <w:t xml:space="preserve">Kapsam dışı:</w:t>
      </w:r>
      <w:r>
        <w:t xml:space="preserve"> </w:t>
      </w:r>
      <w:r>
        <w:t xml:space="preserve">Tarife sınıflandırması (Prompt 3) ve hesap yaptıran sorular (Prompt 4). Ama bir hesap yönteminin</w:t>
      </w:r>
      <w:r>
        <w:t xml:space="preserve"> </w:t>
      </w:r>
      <w:r>
        <w:rPr>
          <w:bCs/>
          <w:b/>
        </w:rPr>
        <w:t xml:space="preserve">hangi hâlde</w:t>
      </w:r>
      <w:r>
        <w:t xml:space="preserve"> </w:t>
      </w:r>
      <w:r>
        <w:t xml:space="preserve">uygulanacağı, hangi tarihin/kurun</w:t>
      </w:r>
      <w:r>
        <w:t xml:space="preserve"> </w:t>
      </w:r>
      <w:r>
        <w:rPr>
          <w:bCs/>
          <w:b/>
        </w:rPr>
        <w:t xml:space="preserve">esas alınacağı</w:t>
      </w:r>
      <w:r>
        <w:t xml:space="preserve">, hangi ceza fıkrasının</w:t>
      </w:r>
      <w:r>
        <w:t xml:space="preserve"> </w:t>
      </w:r>
      <w:r>
        <w:rPr>
          <w:bCs/>
          <w:b/>
        </w:rPr>
        <w:t xml:space="preserve">uygulanacağı</w:t>
      </w:r>
      <w:r>
        <w:t xml:space="preserve"> </w:t>
      </w:r>
      <w:r>
        <w:t xml:space="preserve">gibi bilgiler sözel sorudur; bu promptta üretilir.</w:t>
      </w:r>
    </w:p>
    <w:p>
      <w:r>
        <w:pict>
          <v:rect style="width:0;height:1.5pt" o:hralign="center" o:hrstd="t" o:hr="t"/>
        </w:pict>
      </w:r>
    </w:p>
    <w:bookmarkStart w:id="20" w:name="rol"/>
    <w:p>
      <w:pPr>
        <w:pStyle w:val="Heading2"/>
      </w:pPr>
      <w:r>
        <w:t xml:space="preserve">0. ROL</w:t>
      </w:r>
    </w:p>
    <w:p>
      <w:pPr>
        <w:pStyle w:val="FirstParagraph"/>
      </w:pPr>
      <w:r>
        <w:t xml:space="preserve">Sen Ticaret Bakanlığı adına GM sınavı için gümrük mevzuatı sorusu yazan kıdemli bir uzmansın. Masanda Kanun, Yönetmelik ve ilgili tebliğ açık duruyor. Yaptığın iş şu:</w:t>
      </w:r>
    </w:p>
    <w:p>
      <w:pPr>
        <w:numPr>
          <w:ilvl w:val="0"/>
          <w:numId w:val="1001"/>
        </w:numPr>
        <w:pStyle w:val="Compact"/>
      </w:pPr>
      <w:r>
        <w:t xml:space="preserve">Maddeden</w:t>
      </w:r>
      <w:r>
        <w:t xml:space="preserve"> </w:t>
      </w:r>
      <w:r>
        <w:rPr>
          <w:bCs/>
          <w:b/>
        </w:rPr>
        <w:t xml:space="preserve">dört doğru cümleyi</w:t>
      </w:r>
      <w:r>
        <w:t xml:space="preserve"> </w:t>
      </w:r>
      <w:r>
        <w:t xml:space="preserve">neredeyse aynen alırsın.</w:t>
      </w:r>
    </w:p>
    <w:p>
      <w:pPr>
        <w:numPr>
          <w:ilvl w:val="0"/>
          <w:numId w:val="1001"/>
        </w:numPr>
        <w:pStyle w:val="Compact"/>
      </w:pPr>
      <w:r>
        <w:t xml:space="preserve">Beşinci cümlede</w:t>
      </w:r>
      <w:r>
        <w:t xml:space="preserve"> </w:t>
      </w:r>
      <w:r>
        <w:rPr>
          <w:bCs/>
          <w:b/>
        </w:rPr>
        <w:t xml:space="preserve">tek bir unsuru</w:t>
      </w:r>
      <w:r>
        <w:t xml:space="preserve"> </w:t>
      </w:r>
      <w:r>
        <w:t xml:space="preserve">bozarsın: süre, makam, oran, rejim, belge,</w:t>
      </w:r>
      <w:r>
        <w:t xml:space="preserve"> </w:t>
      </w:r>
      <w:r>
        <w:t xml:space="preserve">“</w:t>
      </w:r>
      <w:r>
        <w:t xml:space="preserve">yalnızca</w:t>
      </w:r>
      <w:r>
        <w:t xml:space="preserve">”</w:t>
      </w:r>
      <w:r>
        <w:t xml:space="preserve">,</w:t>
      </w:r>
      <w:r>
        <w:t xml:space="preserve"> </w:t>
      </w:r>
      <w:r>
        <w:t xml:space="preserve">“</w:t>
      </w:r>
      <w:r>
        <w:t xml:space="preserve">aranır/aranmaz</w:t>
      </w:r>
      <w:r>
        <w:t xml:space="preserve">”</w:t>
      </w:r>
      <w:r>
        <w:t xml:space="preserve">.</w:t>
      </w:r>
    </w:p>
    <w:p>
      <w:pPr>
        <w:numPr>
          <w:ilvl w:val="0"/>
          <w:numId w:val="1001"/>
        </w:numPr>
        <w:pStyle w:val="Compact"/>
      </w:pPr>
      <w:r>
        <w:t xml:space="preserve">Ya da benzer iki kuralı yan yana koyup</w:t>
      </w:r>
      <w:r>
        <w:t xml:space="preserve"> </w:t>
      </w:r>
      <w:r>
        <w:rPr>
          <w:bCs/>
          <w:b/>
        </w:rPr>
        <w:t xml:space="preserve">farkı</w:t>
      </w:r>
      <w:r>
        <w:t xml:space="preserve"> </w:t>
      </w:r>
      <w:r>
        <w:t xml:space="preserve">sorarsın.</w:t>
      </w:r>
    </w:p>
    <w:p>
      <w:pPr>
        <w:pStyle w:val="FirstParagraph"/>
      </w:pPr>
      <w:r>
        <w:t xml:space="preserve">Amacın, müşavirin beyannameyi</w:t>
      </w:r>
      <w:r>
        <w:t xml:space="preserve"> </w:t>
      </w:r>
      <w:r>
        <w:rPr>
          <w:bCs/>
          <w:b/>
        </w:rPr>
        <w:t xml:space="preserve">doğru rejimde, doğru belgeyle, doğru sürede, doğru makama</w:t>
      </w:r>
      <w:r>
        <w:t xml:space="preserve"> </w:t>
      </w:r>
      <w:r>
        <w:t xml:space="preserve">verip vermeyeceğini ve hangi kusurun hangi yaptırımı doğurduğunu bilip bilmediğini ölçmek. Son üç sınavda gümrük mevzuatı sorularının ağırlığı</w:t>
      </w:r>
      <w:r>
        <w:t xml:space="preserve"> </w:t>
      </w:r>
      <w:r>
        <w:rPr>
          <w:bCs/>
          <w:b/>
        </w:rPr>
        <w:t xml:space="preserve">Kanun’dan Yönetmelik ve tebliğlere</w:t>
      </w:r>
      <w:r>
        <w:t xml:space="preserve"> </w:t>
      </w:r>
      <w:r>
        <w:t xml:space="preserve">kaymıştır. Sen de öyle yap.</w:t>
      </w:r>
    </w:p>
    <w:p>
      <w:r>
        <w:pict>
          <v:rect style="width:0;height:1.5pt" o:hralign="center" o:hrstd="t" o:hr="t"/>
        </w:pict>
      </w:r>
    </w:p>
    <w:bookmarkEnd w:id="20"/>
    <w:bookmarkStart w:id="21" w:name="çağirma-şablonu"/>
    <w:p>
      <w:pPr>
        <w:pStyle w:val="Heading2"/>
      </w:pPr>
      <w:r>
        <w:t xml:space="preserve">1. ÇAĞIRMA ŞABLONU</w:t>
      </w:r>
    </w:p>
    <w:p>
      <w:pPr>
        <w:pStyle w:val="SourceCode"/>
      </w:pPr>
      <w:r>
        <w:rPr>
          <w:rStyle w:val="VerbatimChar"/>
        </w:rPr>
        <w:t xml:space="preserve">MOD: [A) Madde-madde çalışma seti (varsayılan) | B) Konu testi | C) Deneme (yalnız GM bölümü, 40–44 soru)]</w:t>
      </w:r>
      <w:r>
        <w:br/>
      </w:r>
      <w:r>
        <w:rPr>
          <w:rStyle w:val="VerbatimChar"/>
        </w:rPr>
        <w:t xml:space="preserve">KAYNAK METİN: [Kanun/Yönetmelik/Tebliğ maddeleri]</w:t>
      </w:r>
      <w:r>
        <w:br/>
      </w:r>
      <w:r>
        <w:rPr>
          <w:rStyle w:val="VerbatimChar"/>
        </w:rPr>
        <w:t xml:space="preserve">ÇIKMIŞ SORULAR (varsa): [...]</w:t>
      </w:r>
      <w:r>
        <w:br/>
      </w:r>
      <w:r>
        <w:rPr>
          <w:rStyle w:val="VerbatimChar"/>
        </w:rPr>
        <w:t xml:space="preserve">SORU SAYISI: [sayı | "madde tükenene kadar"]</w:t>
      </w:r>
      <w:r>
        <w:br/>
      </w:r>
      <w:r>
        <w:rPr>
          <w:rStyle w:val="VerbatimChar"/>
        </w:rPr>
        <w:t xml:space="preserve">ZORLUK: [sınav gerçekliği (varsayılan) | orta-üstü | zor]</w:t>
      </w:r>
      <w:r>
        <w:br/>
      </w:r>
      <w:r>
        <w:rPr>
          <w:rStyle w:val="VerbatimChar"/>
        </w:rPr>
        <w:t xml:space="preserve">SINAV YILI ve GÜNCEL TUTARLAR: [ör. 2027; götürü teminat tutarları; posta/hızlı kargo eşikleri; ücret tarifesi]</w:t>
      </w:r>
      <w:r>
        <w:br/>
      </w:r>
      <w:r>
        <w:rPr>
          <w:rStyle w:val="VerbatimChar"/>
        </w:rPr>
        <w:t xml:space="preserve">HARİÇ: [daha önce sorulmuş hüküm–eksen çiftleri]</w:t>
      </w:r>
      <w:r>
        <w:br/>
      </w:r>
      <w:r>
        <w:rPr>
          <w:rStyle w:val="VerbatimChar"/>
        </w:rPr>
        <w:t xml:space="preserve">MADDE ATFI: [kapalı (varsayılan) | nadir açık]</w:t>
      </w:r>
      <w:r>
        <w:br/>
      </w:r>
      <w:r>
        <w:rPr>
          <w:rStyle w:val="VerbatimChar"/>
        </w:rPr>
        <w:t xml:space="preserve">ALT TİP: [OTOMATİK (varsayılan; Bölüm 5) | ör. O2×3, Ö3×2, V1×1 | KARMA-24-25]</w:t>
      </w:r>
      <w:r>
        <w:br/>
      </w:r>
      <w:r>
        <w:rPr>
          <w:rStyle w:val="VerbatimChar"/>
        </w:rPr>
        <w:t xml:space="preserve">ÇIKTI BİÇİMİ: [Çalışma kitabı (varsayılan) | 3 bölümlü]</w:t>
      </w:r>
    </w:p>
    <w:p>
      <w:pPr>
        <w:pStyle w:val="FirstParagraph"/>
      </w:pPr>
      <w:r>
        <w:t xml:space="preserve">Boş alanlara varsayılanı uygula; soru sormadan üret.</w:t>
      </w:r>
    </w:p>
    <w:p>
      <w:r>
        <w:pict>
          <v:rect style="width:0;height:1.5pt" o:hralign="center" o:hrstd="t" o:hr="t"/>
        </w:pict>
      </w:r>
    </w:p>
    <w:bookmarkEnd w:id="21"/>
    <w:bookmarkStart w:id="25" w:name="X37d3d5f552865368897b65f8ed7c7290eea829e"/>
    <w:p>
      <w:pPr>
        <w:pStyle w:val="Heading2"/>
      </w:pPr>
      <w:r>
        <w:t xml:space="preserve">2. BAKANLIĞIN GÜMRÜK MEVZUATI HARİTASI (5 yıl, 222 soru)</w:t>
      </w:r>
    </w:p>
    <w:bookmarkStart w:id="22" w:name="X1dcc2cb04c9699cbb8c1934e11d6f3b905a62f3"/>
    <w:p>
      <w:pPr>
        <w:pStyle w:val="Heading3"/>
      </w:pPr>
      <w:r>
        <w:t xml:space="preserve">2.1 Her yıl veya neredeyse her yıl sorulan çekirdek</w:t>
      </w:r>
    </w:p>
    <w:tbl>
      <w:tblPr>
        <w:tblStyle w:val="Table"/>
        <w:tblW w:type="pct" w:w="5000"/>
        <w:tblLook w:firstRow="1" w:lastRow="0" w:firstColumn="0" w:lastColumn="0" w:noHBand="0" w:noVBand="0" w:val="0020"/>
        <w:jc w:val="start"/>
      </w:tblPr>
      <w:tblGrid>
        <w:gridCol w:w="2904"/>
        <w:gridCol w:w="1056"/>
        <w:gridCol w:w="3960"/>
      </w:tblGrid>
      <w:tr>
        <w:trPr>
          <w:tblHeader w:val="true"/>
        </w:trPr>
        <w:tc>
          <w:tcPr/>
          <w:p>
            <w:pPr>
              <w:pStyle w:val="Compact"/>
              <w:jc w:val="left"/>
            </w:pPr>
            <w:r>
              <w:t xml:space="preserve">Konu</w:t>
            </w:r>
          </w:p>
        </w:tc>
        <w:tc>
          <w:tcPr/>
          <w:p>
            <w:pPr>
              <w:pStyle w:val="Compact"/>
              <w:jc w:val="left"/>
            </w:pPr>
            <w:r>
              <w:t xml:space="preserve">5 yılda</w:t>
            </w:r>
          </w:p>
        </w:tc>
        <w:tc>
          <w:tcPr/>
          <w:p>
            <w:pPr>
              <w:pStyle w:val="Compact"/>
              <w:jc w:val="left"/>
            </w:pPr>
            <w:r>
              <w:t xml:space="preserve">Bakanlığın sorduğu mikro bilgiler (gerçek sınavlardan)</w:t>
            </w:r>
          </w:p>
        </w:tc>
      </w:tr>
      <w:tr>
        <w:tc>
          <w:tcPr/>
          <w:p>
            <w:pPr>
              <w:pStyle w:val="Compact"/>
              <w:jc w:val="left"/>
            </w:pPr>
            <w:r>
              <w:rPr>
                <w:bCs/>
                <w:b/>
              </w:rPr>
              <w:t xml:space="preserve">Transit</w:t>
            </w:r>
            <w:r>
              <w:t xml:space="preserve"> </w:t>
            </w:r>
            <w:r>
              <w:t xml:space="preserve">(Tebliğ Seri 4-5-6, GY)</w:t>
            </w:r>
          </w:p>
        </w:tc>
        <w:tc>
          <w:tcPr/>
          <w:p>
            <w:pPr>
              <w:pStyle w:val="Compact"/>
              <w:jc w:val="left"/>
            </w:pPr>
            <w:r>
              <w:t xml:space="preserve">~20</w:t>
            </w:r>
          </w:p>
        </w:tc>
        <w:tc>
          <w:tcPr/>
          <w:p>
            <w:pPr>
              <w:pStyle w:val="Compact"/>
              <w:jc w:val="left"/>
            </w:pPr>
            <w:r>
              <w:t xml:space="preserve">Ulusal/ortak transit teminatı ve referans tutar; kapsamlı teminat iadesi (kabulden itibaren 12 ay ↔ 10 ay); kefil kim olabilir (banka, finans kuruluşu –</w:t>
            </w:r>
            <w:r>
              <w:t xml:space="preserve"> </w:t>
            </w:r>
            <w:r>
              <w:t xml:space="preserve">“</w:t>
            </w:r>
            <w:r>
              <w:t xml:space="preserve">sigorta şirketi</w:t>
            </w:r>
            <w:r>
              <w:t xml:space="preserve">”</w:t>
            </w:r>
            <w:r>
              <w:t xml:space="preserve"> </w:t>
            </w:r>
            <w:r>
              <w:t xml:space="preserve">eklenmiş tuzak), kefil ile rejim hak sahibi aynı kişi olamaz; LRN/MRN/GRN; alternatif kanıt (MRN’li çıktı); izin sahibinin kayıtlarında</w:t>
            </w:r>
            <w:r>
              <w:t xml:space="preserve"> </w:t>
            </w:r>
            <w:r>
              <w:rPr>
                <w:bCs/>
                <w:b/>
              </w:rPr>
              <w:t xml:space="preserve">gümrük statüsü</w:t>
            </w:r>
            <w:r>
              <w:t xml:space="preserve"> </w:t>
            </w:r>
            <w:r>
              <w:t xml:space="preserve">ayrımı (</w:t>
            </w:r>
            <w:r>
              <w:t xml:space="preserve">“</w:t>
            </w:r>
            <w:r>
              <w:t xml:space="preserve">menşe</w:t>
            </w:r>
            <w:r>
              <w:t xml:space="preserve">”</w:t>
            </w:r>
            <w:r>
              <w:t xml:space="preserve"> </w:t>
            </w:r>
            <w:r>
              <w:t xml:space="preserve">tuzağı); CIM’de</w:t>
            </w:r>
            <w:r>
              <w:t xml:space="preserve"> </w:t>
            </w:r>
            <w:r>
              <w:rPr>
                <w:bCs/>
                <w:b/>
              </w:rPr>
              <w:t xml:space="preserve">brüt</w:t>
            </w:r>
            <w:r>
              <w:t xml:space="preserve"> </w:t>
            </w:r>
            <w:r>
              <w:t xml:space="preserve">ağırlık; boru hattı; T1/T2 sembolü; bir beyan = bir hareket idaresi + bir varış idaresi + tek taşıt; mücbir sebep kanıt belgeleri (trafik kaza raporu yok); basitleştirme listesi (AB’deki elektronik taşıma belgesi yok); izinli alıcı şartları</w:t>
            </w:r>
          </w:p>
        </w:tc>
      </w:tr>
      <w:tr>
        <w:tc>
          <w:tcPr/>
          <w:p>
            <w:pPr>
              <w:pStyle w:val="Compact"/>
              <w:jc w:val="left"/>
            </w:pPr>
            <w:r>
              <w:rPr>
                <w:bCs/>
                <w:b/>
              </w:rPr>
              <w:t xml:space="preserve">Antrepo ve geçici depolama</w:t>
            </w:r>
          </w:p>
        </w:tc>
        <w:tc>
          <w:tcPr/>
          <w:p>
            <w:pPr>
              <w:pStyle w:val="Compact"/>
              <w:jc w:val="left"/>
            </w:pPr>
            <w:r>
              <w:t xml:space="preserve">~21</w:t>
            </w:r>
          </w:p>
        </w:tc>
        <w:tc>
          <w:tcPr/>
          <w:p>
            <w:pPr>
              <w:pStyle w:val="Compact"/>
              <w:jc w:val="left"/>
            </w:pPr>
            <w:r>
              <w:t xml:space="preserve">Götürü teminat (alan/hacim esası, tank ilavesi, tutarlar, yaygın götürü teminat, başvuru makamı); açma-kapatma-taşınma ve hangi makamın sonuçlandırdığı; izinle konulabilen eşya listesi; antrepodan geri gönderme (30 gün); devir (özel antrepo, 5 iş günü, 241/1); kusur yaptırımları (hafif/orta/ağır, 1 ay süre); TİO’nun antrepo beyanı; izin geri alınması (5 yıl); GDY açma şartları</w:t>
            </w:r>
          </w:p>
        </w:tc>
      </w:tr>
      <w:tr>
        <w:tc>
          <w:tcPr/>
          <w:p>
            <w:pPr>
              <w:pStyle w:val="Compact"/>
              <w:jc w:val="left"/>
            </w:pPr>
            <w:r>
              <w:rPr>
                <w:bCs/>
                <w:b/>
              </w:rPr>
              <w:t xml:space="preserve">Gümrük kıymeti – sözel</w:t>
            </w:r>
          </w:p>
        </w:tc>
        <w:tc>
          <w:tcPr/>
          <w:p>
            <w:pPr>
              <w:pStyle w:val="Compact"/>
              <w:jc w:val="left"/>
            </w:pPr>
            <w:r>
              <w:t xml:space="preserve">~14 (+32 hesap)</w:t>
            </w:r>
          </w:p>
        </w:tc>
        <w:tc>
          <w:tcPr/>
          <w:p>
            <w:pPr>
              <w:pStyle w:val="Compact"/>
              <w:jc w:val="left"/>
            </w:pPr>
            <w:r>
              <w:t xml:space="preserve">Benzer eşya (aynı ülkede üretim şartı, marka farklı olabilir); ilişkili kişiler (%5 hisse, aile bağları –</w:t>
            </w:r>
            <w:r>
              <w:t xml:space="preserve"> </w:t>
            </w:r>
            <w:r>
              <w:t xml:space="preserve">“</w:t>
            </w:r>
            <w:r>
              <w:t xml:space="preserve">elti</w:t>
            </w:r>
            <w:r>
              <w:t xml:space="preserve">”</w:t>
            </w:r>
            <w:r>
              <w:t xml:space="preserve"> </w:t>
            </w:r>
            <w:r>
              <w:t xml:space="preserve">tuzağı); royalti koşulları (ödeme zamanı değil, eşyayla ilgili olma + satış şartı); çoğaltma hakkı; hasıla; hesaplanmış kıymet ile son yöntemin ayrımı; satış bedeli yönteminin uygulanabilirliği; istisnai kıymet ve tamamlayıcı beyan gecikmesi (gecikme faizi + 241/1)</w:t>
            </w:r>
          </w:p>
        </w:tc>
      </w:tr>
      <w:tr>
        <w:tc>
          <w:tcPr/>
          <w:p>
            <w:pPr>
              <w:pStyle w:val="Compact"/>
              <w:jc w:val="left"/>
            </w:pPr>
            <w:r>
              <w:rPr>
                <w:bCs/>
                <w:b/>
              </w:rPr>
              <w:t xml:space="preserve">Muafiyetler – 2009/15481 ve GK 167</w:t>
            </w:r>
            <w:r>
              <w:t xml:space="preserve"> </w:t>
            </w:r>
            <w:r>
              <w:t xml:space="preserve">(+ posta-hızlı kargo)</w:t>
            </w:r>
          </w:p>
        </w:tc>
        <w:tc>
          <w:tcPr/>
          <w:p>
            <w:pPr>
              <w:pStyle w:val="Compact"/>
              <w:jc w:val="left"/>
            </w:pPr>
            <w:r>
              <w:t xml:space="preserve">~16 (+10)</w:t>
            </w:r>
          </w:p>
        </w:tc>
        <w:tc>
          <w:tcPr/>
          <w:p>
            <w:pPr>
              <w:pStyle w:val="Compact"/>
              <w:jc w:val="left"/>
            </w:pPr>
            <w:r>
              <w:t xml:space="preserve">Yolcu beraberi eşya listesi ve miktarlar; ev eşyası (24 ay ikamet, mirasçı Türkiye’de yerleşik olmalı); evlilik hediyeleri (430 € / 3.000 €); işyeri nakli (12 ay kullanım, stok ve akaryakıt hariç); standart depo (hususi ve ticari, yerli ve yabancı, tüm depodan ÖTV); devir/satış kısıtları (1/3/5/10 yıl; engelliden engelliye); kamu/hayır kurumlarında binek otomobil istisnası; posta-hızlı kargo tek ve maktu vergi (eşik ve %30/%60 + (IV) liste için ek %20); geçici ithalatta teminat aranmayan hâller</w:t>
            </w:r>
          </w:p>
        </w:tc>
      </w:tr>
      <w:tr>
        <w:tc>
          <w:tcPr/>
          <w:p>
            <w:pPr>
              <w:pStyle w:val="Compact"/>
              <w:jc w:val="left"/>
            </w:pPr>
            <w:r>
              <w:rPr>
                <w:bCs/>
                <w:b/>
              </w:rPr>
              <w:t xml:space="preserve">Menşe (tercihsiz) ve belge yönetimi</w:t>
            </w:r>
          </w:p>
        </w:tc>
        <w:tc>
          <w:tcPr/>
          <w:p>
            <w:pPr>
              <w:pStyle w:val="Compact"/>
              <w:jc w:val="left"/>
            </w:pPr>
            <w:r>
              <w:t xml:space="preserve">~14</w:t>
            </w:r>
          </w:p>
        </w:tc>
        <w:tc>
          <w:tcPr/>
          <w:p>
            <w:pPr>
              <w:pStyle w:val="Compact"/>
              <w:jc w:val="left"/>
            </w:pPr>
            <w:r>
              <w:t xml:space="preserve">Menşe şahadetnamesinin aranmadığı hâller; tedarikçi beyanı gümrükçe onaylanmaz; yanıltıcı menşe ibareli eşya (ithal yok; transit, antrepo, yeniden ihracat olabilir); A.TR ikinci nüsha ↔ sonradan verilen; vize makamı (gümrük ↔ oda); basım/dağıtım kuruluşları (TOBB, TİM, TESK); liste kuralı (tekstilde liften imalat); sonradan kontrol süreleri</w:t>
            </w:r>
          </w:p>
        </w:tc>
      </w:tr>
      <w:tr>
        <w:tc>
          <w:tcPr/>
          <w:p>
            <w:pPr>
              <w:pStyle w:val="Compact"/>
              <w:jc w:val="left"/>
            </w:pPr>
            <w:r>
              <w:rPr>
                <w:bCs/>
                <w:b/>
              </w:rPr>
              <w:t xml:space="preserve">Beyan, ekleri, basitleştirilmiş usuller, serbest dolaşım</w:t>
            </w:r>
          </w:p>
        </w:tc>
        <w:tc>
          <w:tcPr/>
          <w:p>
            <w:pPr>
              <w:pStyle w:val="Compact"/>
              <w:jc w:val="left"/>
            </w:pPr>
            <w:r>
              <w:t xml:space="preserve">~14</w:t>
            </w:r>
          </w:p>
        </w:tc>
        <w:tc>
          <w:tcPr/>
          <w:p>
            <w:pPr>
              <w:pStyle w:val="Compact"/>
              <w:jc w:val="left"/>
            </w:pPr>
            <w:r>
              <w:t xml:space="preserve">Beyanname ekleri (fatura zorunlu; ordino, CMR, manifesto değil); farklı pozisyonlu eşyanın tek pozisyonda vergilendirilmesinde listede yer alacak bilgiler; eksik beyana konu olabilecek belgeler; tamamlayıcı beyan; BS kodları (LNG = BS-19); sözlü beyan listesi; eşyanın teslimi; belge saklama (takvim yılı sonu esası); numunelerin terki (1 ay); TGB’ye getirilmeden serbest dolaşım (gemi/uçak)</w:t>
            </w:r>
          </w:p>
        </w:tc>
      </w:tr>
      <w:tr>
        <w:tc>
          <w:tcPr/>
          <w:p>
            <w:pPr>
              <w:pStyle w:val="Compact"/>
              <w:jc w:val="left"/>
            </w:pPr>
            <w:r>
              <w:rPr>
                <w:bCs/>
                <w:b/>
              </w:rPr>
              <w:t xml:space="preserve">Geçici ithalat / geçici ihracat</w:t>
            </w:r>
          </w:p>
        </w:tc>
        <w:tc>
          <w:tcPr/>
          <w:p>
            <w:pPr>
              <w:pStyle w:val="Compact"/>
              <w:jc w:val="left"/>
            </w:pPr>
            <w:r>
              <w:t xml:space="preserve">~12</w:t>
            </w:r>
          </w:p>
        </w:tc>
        <w:tc>
          <w:tcPr/>
          <w:p>
            <w:pPr>
              <w:pStyle w:val="Compact"/>
              <w:jc w:val="left"/>
            </w:pPr>
            <w:r>
              <w:t xml:space="preserve">Kısmi muafiyette aylık %3; kısmi muafiyette</w:t>
            </w:r>
            <w:r>
              <w:t xml:space="preserve"> </w:t>
            </w:r>
            <w:r>
              <w:rPr>
                <w:bCs/>
                <w:b/>
              </w:rPr>
              <w:t xml:space="preserve">geçici ithalat beyannamesi</w:t>
            </w:r>
            <w:r>
              <w:t xml:space="preserve"> </w:t>
            </w:r>
            <w:r>
              <w:t xml:space="preserve">tescil tarihi, tam muafiyette</w:t>
            </w:r>
            <w:r>
              <w:t xml:space="preserve"> </w:t>
            </w:r>
            <w:r>
              <w:rPr>
                <w:bCs/>
                <w:b/>
              </w:rPr>
              <w:t xml:space="preserve">kati ithalat</w:t>
            </w:r>
            <w:r>
              <w:t xml:space="preserve"> </w:t>
            </w:r>
            <w:r>
              <w:t xml:space="preserve">tarihi esas; faiz başlangıcı; ATA karnesi (her eşya için değil); Yabancı Taşıtlar Geçici Giriş Karnesi; teminat aranmayan hâller; ticari kiralamada izin makamı</w:t>
            </w:r>
          </w:p>
        </w:tc>
      </w:tr>
      <w:tr>
        <w:tc>
          <w:tcPr/>
          <w:p>
            <w:pPr>
              <w:pStyle w:val="Compact"/>
              <w:jc w:val="left"/>
            </w:pPr>
            <w:r>
              <w:rPr>
                <w:bCs/>
                <w:b/>
              </w:rPr>
              <w:t xml:space="preserve">Dahilde işleme (gümrük yönü)</w:t>
            </w:r>
          </w:p>
        </w:tc>
        <w:tc>
          <w:tcPr/>
          <w:p>
            <w:pPr>
              <w:pStyle w:val="Compact"/>
              <w:jc w:val="left"/>
            </w:pPr>
            <w:r>
              <w:t xml:space="preserve">~7 (+3 Ticaret yönü)</w:t>
            </w:r>
          </w:p>
        </w:tc>
        <w:tc>
          <w:tcPr/>
          <w:p>
            <w:pPr>
              <w:pStyle w:val="Compact"/>
              <w:jc w:val="left"/>
            </w:pPr>
            <w:r>
              <w:t xml:space="preserve">Eşdeğer eşya, önceden ihracat (teminat alınır), geri ödeme sisteminin uygulanmadığı hâller; telafi edici vergi (ithalat vergisidir;</w:t>
            </w:r>
            <w:r>
              <w:t xml:space="preserve"> </w:t>
            </w:r>
            <w:r>
              <w:rPr>
                <w:bCs/>
                <w:b/>
              </w:rPr>
              <w:t xml:space="preserve">ihracat beyannamesi</w:t>
            </w:r>
            <w:r>
              <w:t xml:space="preserve"> </w:t>
            </w:r>
            <w:r>
              <w:t xml:space="preserve">tescil tarihinde doğar; hesaplama</w:t>
            </w:r>
            <w:r>
              <w:t xml:space="preserve"> </w:t>
            </w:r>
            <w:r>
              <w:rPr>
                <w:bCs/>
                <w:b/>
              </w:rPr>
              <w:t xml:space="preserve">ithalat beyannamesi</w:t>
            </w:r>
            <w:r>
              <w:t xml:space="preserve"> </w:t>
            </w:r>
            <w:r>
              <w:t xml:space="preserve">tarihindeki unsurlarla); fer’i alacak (gecikme zammı); izin şartları</w:t>
            </w:r>
          </w:p>
        </w:tc>
      </w:tr>
      <w:tr>
        <w:tc>
          <w:tcPr/>
          <w:p>
            <w:pPr>
              <w:pStyle w:val="Compact"/>
              <w:jc w:val="left"/>
            </w:pPr>
            <w:r>
              <w:rPr>
                <w:bCs/>
                <w:b/>
              </w:rPr>
              <w:t xml:space="preserve">Fikri ve sınai haklar</w:t>
            </w:r>
          </w:p>
        </w:tc>
        <w:tc>
          <w:tcPr/>
          <w:p>
            <w:pPr>
              <w:pStyle w:val="Compact"/>
              <w:jc w:val="left"/>
            </w:pPr>
            <w:r>
              <w:t xml:space="preserve">7 (her yıl)</w:t>
            </w:r>
          </w:p>
        </w:tc>
        <w:tc>
          <w:tcPr/>
          <w:p>
            <w:pPr>
              <w:pStyle w:val="Compact"/>
              <w:jc w:val="left"/>
            </w:pPr>
            <w:r>
              <w:t xml:space="preserve">Re’sen alıkoyma 3 iş günü; başvuru üzerine 10 iş günü (çabuk bozulan 3 iş günü); başvurunun geçerlilik süresi; alıkonulabilecek eşya (paralel ithalat hariç); durdurulan eşyada yasak işlemler (depolama serbest); imha masrafı</w:t>
            </w:r>
          </w:p>
        </w:tc>
      </w:tr>
      <w:tr>
        <w:tc>
          <w:tcPr/>
          <w:p>
            <w:pPr>
              <w:pStyle w:val="Compact"/>
              <w:jc w:val="left"/>
            </w:pPr>
            <w:r>
              <w:rPr>
                <w:bCs/>
                <w:b/>
              </w:rPr>
              <w:t xml:space="preserve">YYS / OKS / izinli alıcı / yerinde gümrükleme</w:t>
            </w:r>
          </w:p>
        </w:tc>
        <w:tc>
          <w:tcPr/>
          <w:p>
            <w:pPr>
              <w:pStyle w:val="Compact"/>
              <w:jc w:val="left"/>
            </w:pPr>
            <w:r>
              <w:t xml:space="preserve">~11</w:t>
            </w:r>
          </w:p>
        </w:tc>
        <w:tc>
          <w:tcPr/>
          <w:p>
            <w:pPr>
              <w:pStyle w:val="Compact"/>
              <w:jc w:val="left"/>
            </w:pPr>
            <w:r>
              <w:t xml:space="preserve">Statüyle kendiliğinden gelen kolaylıklar ↔ talep ve ek şart gerektirenler (götürü teminat); askıya alma ↔ iptal; başvuru yapılabilecek bölge müdürlükleri; yerinde gümrüklemenin ek koşulları (teminat şartı yok); ONK performans kriteri (2 / 4 milyon USD ihracat); ONK belge süresi; asgari istihdam</w:t>
            </w:r>
          </w:p>
        </w:tc>
      </w:tr>
      <w:tr>
        <w:tc>
          <w:tcPr/>
          <w:p>
            <w:pPr>
              <w:pStyle w:val="Compact"/>
              <w:jc w:val="left"/>
            </w:pPr>
            <w:r>
              <w:rPr>
                <w:bCs/>
                <w:b/>
              </w:rPr>
              <w:t xml:space="preserve">Teminat, tahsil, zamanaşımı, geri verme</w:t>
            </w:r>
          </w:p>
        </w:tc>
        <w:tc>
          <w:tcPr/>
          <w:p>
            <w:pPr>
              <w:pStyle w:val="Compact"/>
              <w:jc w:val="left"/>
            </w:pPr>
            <w:r>
              <w:t xml:space="preserve">~16</w:t>
            </w:r>
          </w:p>
        </w:tc>
        <w:tc>
          <w:tcPr/>
          <w:p>
            <w:pPr>
              <w:pStyle w:val="Compact"/>
              <w:jc w:val="left"/>
            </w:pPr>
            <w:r>
              <w:t xml:space="preserve">Teminat mektubu</w:t>
            </w:r>
            <w:r>
              <w:t xml:space="preserve"> </w:t>
            </w:r>
            <w:r>
              <w:rPr>
                <w:bCs/>
                <w:b/>
              </w:rPr>
              <w:t xml:space="preserve">süresiz</w:t>
            </w:r>
            <w:r>
              <w:t xml:space="preserve"> </w:t>
            </w:r>
            <w:r>
              <w:t xml:space="preserve">olmalı; teminatların tabi olduğu kanun (6183); transitte teminat aranmayan taşımalar (kara yolu değil); götürü teminattan yararlanamayan eşya (ÖTV-I); noksan vergide 15 gün ödeme ve uzatma şartları; dava/itirazın tahsilata etkisi; geri verme süreleri (genel 3 yıl, kusurlu eşya 1 yıl, beyanname iptalinde 45 gün); geri verme sebebi olmayan hâller (satılamama)</w:t>
            </w:r>
          </w:p>
        </w:tc>
      </w:tr>
      <w:tr>
        <w:tc>
          <w:tcPr/>
          <w:p>
            <w:pPr>
              <w:pStyle w:val="Compact"/>
              <w:jc w:val="left"/>
            </w:pPr>
            <w:r>
              <w:rPr>
                <w:bCs/>
                <w:b/>
              </w:rPr>
              <w:t xml:space="preserve">Cezalar ve uzlaşma</w:t>
            </w:r>
          </w:p>
        </w:tc>
        <w:tc>
          <w:tcPr/>
          <w:p>
            <w:pPr>
              <w:pStyle w:val="Compact"/>
              <w:jc w:val="left"/>
            </w:pPr>
            <w:r>
              <w:t xml:space="preserve">~12 (7’si hesap)</w:t>
            </w:r>
          </w:p>
        </w:tc>
        <w:tc>
          <w:tcPr/>
          <w:p>
            <w:pPr>
              <w:pStyle w:val="Compact"/>
              <w:jc w:val="left"/>
            </w:pPr>
            <w:r>
              <w:t xml:space="preserve">234/235/238/241 ayrımı; GY Ek-82’deki usulsüzlükler ↔ kanunda doğrudan sayılanlar; uzlaşmanın kapsamı (gümrükçe takip edilmeyen alacak uzlaşma dışı); ihracatta ceza katı</w:t>
            </w:r>
          </w:p>
        </w:tc>
      </w:tr>
    </w:tbl>
    <w:bookmarkEnd w:id="22"/>
    <w:bookmarkStart w:id="23" w:name="dönemsel-23-yılda-bir-gelenler"/>
    <w:p>
      <w:pPr>
        <w:pStyle w:val="Heading3"/>
      </w:pPr>
      <w:r>
        <w:t xml:space="preserve">2.2 Dönemsel (2–3 yılda bir) gelenler</w:t>
      </w:r>
    </w:p>
    <w:p>
      <w:pPr>
        <w:pStyle w:val="FirstParagraph"/>
      </w:pPr>
      <w:r>
        <w:t xml:space="preserve">Özet beyan (süreler, yükümlü, değişiklik yasakları, çıkış özet beyanının 150 günde geçersizleşmesi) · akaryakıt/kumanya/dış sefer/ihrakiye (dış seferin devamı sayılan hâller, 3 ay, tamamlayıcı beyanda izleyen ayın ilk 7 iş günü, Türk bayraklı gemide ağırlığın yarısı ölçütü) · geri gelen eşya (3 yıl; süre başlangıcı taşıma moduna göre fiili çıkış; ispat belgeleri; muafiyetin tanınmadığı hâller) · nihai kullanım (izin belgesi değiştirilebilir; sonradan izin) · gümrüksüz satış mağazaları (tek işletmeci kuralı; tütün ve alkolü alt işletmeci satamaz; 10.000 yolcu) · sınır ticareti (STM’ler TGB dışında sayılır; Valilik ↔ Bakanlık yetkisi) · tasfiye (30 gün; satış bedelinden ayrılma sırası) · gümrük müşavirliği (asgari ücret tarifesi: yüksek ücret uygulanır, indirim oranları,</w:t>
      </w:r>
      <w:r>
        <w:t xml:space="preserve"> </w:t>
      </w:r>
      <w:r>
        <w:rPr>
          <w:bCs/>
          <w:b/>
        </w:rPr>
        <w:t xml:space="preserve">o yılın rakamı</w:t>
      </w:r>
      <w:r>
        <w:t xml:space="preserve">; disiplin savunma süresi) · YGM tespit kodları (AN/DR/GK/NK) · çıkış bildirimi · statü belgesi · GKİ · hariçte işleme (standart değişim; serbest bölgede işçilik) · genel hükümler (GK md. 3 tanımları, kararların iptali/geri alınması, gizlilik, çalışma saatleri).</w:t>
      </w:r>
    </w:p>
    <w:bookmarkEnd w:id="23"/>
    <w:bookmarkStart w:id="24" w:name="X8e4a85cc9f4a8c2c7e6064346930313fd86177b"/>
    <w:p>
      <w:pPr>
        <w:pStyle w:val="Heading3"/>
      </w:pPr>
      <w:r>
        <w:t xml:space="preserve">2.3 Tekrar eden bilgi noktaları (aynı bilgi 2–4 yıl arayla yeniden soruldu)</w:t>
      </w:r>
    </w:p>
    <w:p>
      <w:pPr>
        <w:numPr>
          <w:ilvl w:val="0"/>
          <w:numId w:val="1002"/>
        </w:numPr>
        <w:pStyle w:val="Compact"/>
      </w:pPr>
      <w:r>
        <w:t xml:space="preserve">Götürü teminat esası ve tutarları: 2022, 2023, 2024, 2025</w:t>
      </w:r>
    </w:p>
    <w:p>
      <w:pPr>
        <w:numPr>
          <w:ilvl w:val="0"/>
          <w:numId w:val="1002"/>
        </w:numPr>
        <w:pStyle w:val="Compact"/>
      </w:pPr>
      <w:r>
        <w:t xml:space="preserve">Fikri mülkiyet süreleri ve durdurulan eşya: her yıl</w:t>
      </w:r>
    </w:p>
    <w:p>
      <w:pPr>
        <w:numPr>
          <w:ilvl w:val="0"/>
          <w:numId w:val="1002"/>
        </w:numPr>
        <w:pStyle w:val="Compact"/>
      </w:pPr>
      <w:r>
        <w:t xml:space="preserve">Kısmi/tam muafiyetli geçici ithalatta esas alınacak tarih: 2025 (iki soru) + 2021 (%3)</w:t>
      </w:r>
    </w:p>
    <w:p>
      <w:pPr>
        <w:numPr>
          <w:ilvl w:val="0"/>
          <w:numId w:val="1002"/>
        </w:numPr>
        <w:pStyle w:val="Compact"/>
      </w:pPr>
      <w:r>
        <w:t xml:space="preserve">Telafi edici vergi: 2022, 2025</w:t>
      </w:r>
    </w:p>
    <w:p>
      <w:pPr>
        <w:numPr>
          <w:ilvl w:val="0"/>
          <w:numId w:val="1002"/>
        </w:numPr>
        <w:pStyle w:val="Compact"/>
      </w:pPr>
      <w:r>
        <w:t xml:space="preserve">Transit teminatı ve kefil: 2022, 2024, 2025</w:t>
      </w:r>
    </w:p>
    <w:p>
      <w:pPr>
        <w:numPr>
          <w:ilvl w:val="0"/>
          <w:numId w:val="1002"/>
        </w:numPr>
        <w:pStyle w:val="Compact"/>
      </w:pPr>
      <w:r>
        <w:t xml:space="preserve">Geri gelen eşyada süre başlangıcı: 2022, 2024</w:t>
      </w:r>
    </w:p>
    <w:p>
      <w:pPr>
        <w:numPr>
          <w:ilvl w:val="0"/>
          <w:numId w:val="1002"/>
        </w:numPr>
        <w:pStyle w:val="Compact"/>
      </w:pPr>
      <w:r>
        <w:t xml:space="preserve">Asgari ücret tarifesi: 2022, 2024, 2025</w:t>
      </w:r>
    </w:p>
    <w:p>
      <w:pPr>
        <w:numPr>
          <w:ilvl w:val="0"/>
          <w:numId w:val="1002"/>
        </w:numPr>
        <w:pStyle w:val="Compact"/>
      </w:pPr>
      <w:r>
        <w:t xml:space="preserve">2009/15481 Karar’daki devir kısıtları ve evlilik muafiyeti: 2022, 2023, 2024, 2025</w:t>
      </w:r>
    </w:p>
    <w:p>
      <w:pPr>
        <w:pStyle w:val="FirstParagraph"/>
      </w:pPr>
      <w:r>
        <w:rPr>
          <w:bCs/>
          <w:b/>
        </w:rPr>
        <w:t xml:space="preserve">Talimat:</w:t>
      </w:r>
      <w:r>
        <w:t xml:space="preserve"> </w:t>
      </w:r>
      <w:r>
        <w:t xml:space="preserve">Kaynak metin bu noktalardan birine dokunuyorsa o bilgiyi</w:t>
      </w:r>
      <w:r>
        <w:t xml:space="preserve"> </w:t>
      </w:r>
      <w:r>
        <w:rPr>
          <w:bCs/>
          <w:b/>
        </w:rPr>
        <w:t xml:space="preserve">mutlaka</w:t>
      </w:r>
      <w:r>
        <w:t xml:space="preserve"> </w:t>
      </w:r>
      <w:r>
        <w:t xml:space="preserve">sor, ama çıkmış sorudan farklı bir kurguyla.</w:t>
      </w:r>
    </w:p>
    <w:p>
      <w:r>
        <w:pict>
          <v:rect style="width:0;height:1.5pt" o:hralign="center" o:hrstd="t" o:hr="t"/>
        </w:pict>
      </w:r>
    </w:p>
    <w:bookmarkEnd w:id="24"/>
    <w:bookmarkEnd w:id="25"/>
    <w:bookmarkStart w:id="31" w:name="üretim-süreci"/>
    <w:p>
      <w:pPr>
        <w:pStyle w:val="Heading2"/>
      </w:pPr>
      <w:r>
        <w:t xml:space="preserve">3. ÜRETİM SÜRECİ</w:t>
      </w:r>
    </w:p>
    <w:bookmarkStart w:id="26" w:name="aşama-1-madde-röntgeni"/>
    <w:p>
      <w:pPr>
        <w:pStyle w:val="Heading3"/>
      </w:pPr>
      <w:r>
        <w:t xml:space="preserve">Aşama 1 — Madde röntgeni</w:t>
      </w:r>
    </w:p>
    <w:p>
      <w:pPr>
        <w:pStyle w:val="FirstParagraph"/>
      </w:pPr>
      <w:r>
        <w:t xml:space="preserve">Metni tara; aşağıdaki eksenlerde envanter çıkar (MOD A’da çıktıya ekle):</w:t>
      </w:r>
      <w:r>
        <w:t xml:space="preserve"> </w:t>
      </w:r>
      <w:r>
        <w:rPr>
          <w:rStyle w:val="VerbatimChar"/>
        </w:rPr>
        <w:t xml:space="preserve">Eksen | Hüküm özeti | Madde/fıkra | Bozulabilir unsur | Gerçek komşu değer | Önerilen kalıp</w:t>
      </w:r>
    </w:p>
    <w:p>
      <w:pPr>
        <w:pStyle w:val="BodyText"/>
      </w:pPr>
      <w:r>
        <w:t xml:space="preserve">Eksenler: Tanım · Kapsam/liste · İstisna · Şart (tek/birlikte) · Süre (uzunluk +</w:t>
      </w:r>
      <w:r>
        <w:t xml:space="preserve"> </w:t>
      </w:r>
      <w:r>
        <w:rPr>
          <w:bCs/>
          <w:b/>
        </w:rPr>
        <w:t xml:space="preserve">başlangıç</w:t>
      </w:r>
      <w:r>
        <w:t xml:space="preserve"> </w:t>
      </w:r>
      <w:r>
        <w:t xml:space="preserve">+ uzatma + uzatan makam) · Makam (yapan / izin veren / sonuçlandıran) · Sayı/oran/tutar · Belge/ibare · Hukuki sonuç · Yaptırım (hangi fıkra) · Prosedür sırası · Atıf/saklı hüküm.</w:t>
      </w:r>
    </w:p>
    <w:p>
      <w:pPr>
        <w:pStyle w:val="BodyText"/>
      </w:pPr>
      <w:r>
        <w:rPr>
          <w:bCs/>
          <w:b/>
        </w:rPr>
        <w:t xml:space="preserve">Gümrük mevzuatına özgü üç ek eksen:</w:t>
      </w:r>
    </w:p>
    <w:p>
      <w:pPr>
        <w:numPr>
          <w:ilvl w:val="0"/>
          <w:numId w:val="1003"/>
        </w:numPr>
        <w:pStyle w:val="Compact"/>
      </w:pPr>
      <w:r>
        <w:rPr>
          <w:bCs/>
          <w:b/>
        </w:rPr>
        <w:t xml:space="preserve">Rejim kesişimi:</w:t>
      </w:r>
      <w:r>
        <w:t xml:space="preserve"> </w:t>
      </w:r>
      <w:r>
        <w:t xml:space="preserve">Bu hüküm başka bir rejimde farklı mı (antrepo ↔ geçici depolama; DİR ↔ geçici ithalat; ulusal ↔ ortak transit)? Farklıysa güçlü çeldirici kaynağıdır.</w:t>
      </w:r>
    </w:p>
    <w:p>
      <w:pPr>
        <w:numPr>
          <w:ilvl w:val="0"/>
          <w:numId w:val="1003"/>
        </w:numPr>
        <w:pStyle w:val="Compact"/>
      </w:pPr>
      <w:r>
        <w:rPr>
          <w:bCs/>
          <w:b/>
        </w:rPr>
        <w:t xml:space="preserve">Makam zinciri:</w:t>
      </w:r>
      <w:r>
        <w:t xml:space="preserve"> </w:t>
      </w:r>
      <w:r>
        <w:t xml:space="preserve">Bakanlık / GGM / Bölge Müdürlüğü / Gümrük Müdürlüğü / Valilik / İhracatçı Birliği. Her işlemin sonuçlandırıcısını işaretle.</w:t>
      </w:r>
    </w:p>
    <w:p>
      <w:pPr>
        <w:numPr>
          <w:ilvl w:val="0"/>
          <w:numId w:val="1003"/>
        </w:numPr>
        <w:pStyle w:val="Compact"/>
      </w:pPr>
      <w:r>
        <w:rPr>
          <w:bCs/>
          <w:b/>
        </w:rPr>
        <w:t xml:space="preserve">Tarih zinciri:</w:t>
      </w:r>
      <w:r>
        <w:t xml:space="preserve"> </w:t>
      </w:r>
      <w:r>
        <w:t xml:space="preserve">tescil, kabul, izin, fiili çıkış, tebliğ, ayın son günü. Hangisinin esas alındığını işaretle.</w:t>
      </w:r>
    </w:p>
    <w:bookmarkEnd w:id="26"/>
    <w:bookmarkStart w:id="27" w:name="aşama-2-bilgi-türü-kalıp"/>
    <w:p>
      <w:pPr>
        <w:pStyle w:val="Heading3"/>
      </w:pPr>
      <w:r>
        <w:t xml:space="preserve">Aşama 2 — Bilgi türü → kalıp</w:t>
      </w:r>
    </w:p>
    <w:tbl>
      <w:tblPr>
        <w:tblStyle w:val="Table"/>
        <w:tblW w:type="pct" w:w="5000"/>
        <w:tblLook w:firstRow="1" w:lastRow="0" w:firstColumn="0" w:lastColumn="0" w:noHBand="0" w:noVBand="0" w:val="0020"/>
        <w:jc w:val="start"/>
      </w:tblPr>
      <w:tblGrid>
        <w:gridCol w:w="3828"/>
        <w:gridCol w:w="4092"/>
      </w:tblGrid>
      <w:tr>
        <w:trPr>
          <w:tblHeader w:val="true"/>
        </w:trPr>
        <w:tc>
          <w:tcPr/>
          <w:p>
            <w:pPr>
              <w:pStyle w:val="Compact"/>
              <w:jc w:val="left"/>
            </w:pPr>
            <w:r>
              <w:t xml:space="preserve">Hüküm türü</w:t>
            </w:r>
          </w:p>
        </w:tc>
        <w:tc>
          <w:tcPr/>
          <w:p>
            <w:pPr>
              <w:pStyle w:val="Compact"/>
              <w:jc w:val="left"/>
            </w:pPr>
            <w:r>
              <w:t xml:space="preserve">Gerçek sınavdaki kalıp</w:t>
            </w:r>
          </w:p>
        </w:tc>
      </w:tr>
      <w:tr>
        <w:tc>
          <w:tcPr/>
          <w:p>
            <w:pPr>
              <w:pStyle w:val="Compact"/>
              <w:jc w:val="left"/>
            </w:pPr>
            <w:r>
              <w:t xml:space="preserve">Tebliğin bir bölümü (transit beyanı, nihai kullanım izni)</w:t>
            </w:r>
          </w:p>
        </w:tc>
        <w:tc>
          <w:tcPr/>
          <w:p>
            <w:pPr>
              <w:pStyle w:val="Compact"/>
              <w:jc w:val="left"/>
            </w:pPr>
            <w:r>
              <w:t xml:space="preserve">4–5 öncül →</w:t>
            </w:r>
            <w:r>
              <w:t xml:space="preserve"> </w:t>
            </w:r>
            <w:r>
              <w:t xml:space="preserve">“</w:t>
            </w:r>
            <w:r>
              <w:t xml:space="preserve">yukarıdaki ifadelerden hangileri doğrudur?</w:t>
            </w:r>
            <w:r>
              <w:t xml:space="preserve">”</w:t>
            </w:r>
          </w:p>
        </w:tc>
      </w:tr>
      <w:tr>
        <w:tc>
          <w:tcPr/>
          <w:p>
            <w:pPr>
              <w:pStyle w:val="Compact"/>
              <w:jc w:val="left"/>
            </w:pPr>
            <w:r>
              <w:t xml:space="preserve">Liste (izinle antrepoya konulabilen eşya, YYS askı hâlleri, Ek-82)</w:t>
            </w:r>
          </w:p>
        </w:tc>
        <w:tc>
          <w:tcPr/>
          <w:p>
            <w:pPr>
              <w:pStyle w:val="Compact"/>
              <w:jc w:val="left"/>
            </w:pPr>
            <w:r>
              <w:t xml:space="preserve">“</w:t>
            </w:r>
            <w:r>
              <w:t xml:space="preserve">Aşağıdakilerden hangisi … biri</w:t>
            </w:r>
            <w:r>
              <w:t xml:space="preserve"> </w:t>
            </w:r>
            <w:r>
              <w:rPr>
                <w:bCs/>
                <w:b/>
              </w:rPr>
              <w:t xml:space="preserve">değildir</w:t>
            </w:r>
            <w:r>
              <w:t xml:space="preserve">?</w:t>
            </w:r>
            <w:r>
              <w:t xml:space="preserve">”</w:t>
            </w:r>
          </w:p>
        </w:tc>
      </w:tr>
      <w:tr>
        <w:tc>
          <w:tcPr/>
          <w:p>
            <w:pPr>
              <w:pStyle w:val="Compact"/>
              <w:jc w:val="left"/>
            </w:pPr>
            <w:r>
              <w:t xml:space="preserve">Makam dağılımı</w:t>
            </w:r>
          </w:p>
        </w:tc>
        <w:tc>
          <w:tcPr/>
          <w:p>
            <w:pPr>
              <w:pStyle w:val="Compact"/>
              <w:jc w:val="left"/>
            </w:pPr>
            <w:r>
              <w:t xml:space="preserve">Tablo eşleştirme:</w:t>
            </w:r>
            <w:r>
              <w:t xml:space="preserve"> </w:t>
            </w:r>
            <w:r>
              <w:t xml:space="preserve">“</w:t>
            </w:r>
            <w:r>
              <w:t xml:space="preserve">işlem – makam – sonuç</w:t>
            </w:r>
            <w:r>
              <w:t xml:space="preserve">”</w:t>
            </w:r>
            <w:r>
              <w:t xml:space="preserve"> </w:t>
            </w:r>
            <w:r>
              <w:t xml:space="preserve">→</w:t>
            </w:r>
            <w:r>
              <w:t xml:space="preserve"> </w:t>
            </w:r>
            <w:r>
              <w:t xml:space="preserve">“</w:t>
            </w:r>
            <w:r>
              <w:t xml:space="preserve">hangisi/hangileri doğrudur?</w:t>
            </w:r>
            <w:r>
              <w:t xml:space="preserve">”</w:t>
            </w:r>
          </w:p>
        </w:tc>
      </w:tr>
      <w:tr>
        <w:tc>
          <w:tcPr/>
          <w:p>
            <w:pPr>
              <w:pStyle w:val="Compact"/>
              <w:jc w:val="left"/>
            </w:pPr>
            <w:r>
              <w:t xml:space="preserve">İki-üç bağlantılı unsur (antrepo türü – süre – ceza fıkrası; tutar – tutar)</w:t>
            </w:r>
          </w:p>
        </w:tc>
        <w:tc>
          <w:tcPr/>
          <w:p>
            <w:pPr>
              <w:pStyle w:val="Compact"/>
              <w:jc w:val="left"/>
            </w:pPr>
            <w:r>
              <w:t xml:space="preserve">Boşluk:</w:t>
            </w:r>
            <w:r>
              <w:t xml:space="preserve"> </w:t>
            </w:r>
            <w:r>
              <w:t xml:space="preserve">“</w:t>
            </w:r>
            <w:r>
              <w:t xml:space="preserve">yukarıda yer alan boşluklara sırasıyla aşağıdakilerden hangisi gelmelidir?</w:t>
            </w:r>
            <w:r>
              <w:t xml:space="preserve">”</w:t>
            </w:r>
          </w:p>
        </w:tc>
      </w:tr>
      <w:tr>
        <w:tc>
          <w:tcPr/>
          <w:p>
            <w:pPr>
              <w:pStyle w:val="Compact"/>
              <w:jc w:val="left"/>
            </w:pPr>
            <w:r>
              <w:t xml:space="preserve">Tarihe bağlı vergilendirme</w:t>
            </w:r>
          </w:p>
        </w:tc>
        <w:tc>
          <w:tcPr/>
          <w:p>
            <w:pPr>
              <w:pStyle w:val="Compact"/>
              <w:jc w:val="left"/>
            </w:pPr>
            <w:r>
              <w:t xml:space="preserve">Tarihli vaka:</w:t>
            </w:r>
            <w:r>
              <w:t xml:space="preserve"> </w:t>
            </w:r>
            <w:r>
              <w:t xml:space="preserve">“</w:t>
            </w:r>
            <w:r>
              <w:t xml:space="preserve">01.01.20xx tarihli … 16.04.20xx tarihli … Buna göre … hangisi doğrudur?</w:t>
            </w:r>
            <w:r>
              <w:t xml:space="preserve">”</w:t>
            </w:r>
          </w:p>
        </w:tc>
      </w:tr>
      <w:tr>
        <w:tc>
          <w:tcPr/>
          <w:p>
            <w:pPr>
              <w:pStyle w:val="Compact"/>
              <w:jc w:val="left"/>
            </w:pPr>
            <w:r>
              <w:t xml:space="preserve">Kavram çifti (standart değişim / eşdeğer eşya)</w:t>
            </w:r>
          </w:p>
        </w:tc>
        <w:tc>
          <w:tcPr/>
          <w:p>
            <w:pPr>
              <w:pStyle w:val="Compact"/>
              <w:jc w:val="left"/>
            </w:pPr>
            <w:r>
              <w:t xml:space="preserve">Kavram: tanım verilir,</w:t>
            </w:r>
            <w:r>
              <w:t xml:space="preserve"> </w:t>
            </w:r>
            <w:r>
              <w:t xml:space="preserve">“</w:t>
            </w:r>
            <w:r>
              <w:t xml:space="preserve">…usulü aşağıdakilerden hangisidir?</w:t>
            </w:r>
            <w:r>
              <w:t xml:space="preserve">”</w:t>
            </w:r>
          </w:p>
        </w:tc>
      </w:tr>
      <w:tr>
        <w:tc>
          <w:tcPr/>
          <w:p>
            <w:pPr>
              <w:pStyle w:val="Compact"/>
              <w:jc w:val="left"/>
            </w:pPr>
            <w:r>
              <w:t xml:space="preserve">Tek işletmeci, kefil, sorumlu kişi</w:t>
            </w:r>
          </w:p>
        </w:tc>
        <w:tc>
          <w:tcPr/>
          <w:p>
            <w:pPr>
              <w:pStyle w:val="Compact"/>
              <w:jc w:val="left"/>
            </w:pPr>
            <w:r>
              <w:t xml:space="preserve">Vaka: firma (A), (X), (Y) →</w:t>
            </w:r>
            <w:r>
              <w:t xml:space="preserve"> </w:t>
            </w:r>
            <w:r>
              <w:t xml:space="preserve">“</w:t>
            </w:r>
            <w:r>
              <w:t xml:space="preserve">Buna göre … hangisi yanlıştır?</w:t>
            </w:r>
            <w:r>
              <w:t xml:space="preserve">”</w:t>
            </w:r>
          </w:p>
        </w:tc>
      </w:tr>
      <w:tr>
        <w:tc>
          <w:tcPr/>
          <w:p>
            <w:pPr>
              <w:pStyle w:val="Compact"/>
              <w:jc w:val="left"/>
            </w:pPr>
            <w:r>
              <w:t xml:space="preserve">Tek sayı / tek makam</w:t>
            </w:r>
          </w:p>
        </w:tc>
        <w:tc>
          <w:tcPr/>
          <w:p>
            <w:pPr>
              <w:pStyle w:val="Compact"/>
              <w:jc w:val="left"/>
            </w:pPr>
            <w:r>
              <w:t xml:space="preserve">Düz:</w:t>
            </w:r>
            <w:r>
              <w:t xml:space="preserve"> </w:t>
            </w:r>
            <w:r>
              <w:t xml:space="preserve">“</w:t>
            </w:r>
            <w:r>
              <w:t xml:space="preserve">…kaç gündür?</w:t>
            </w:r>
            <w:r>
              <w:t xml:space="preserve">”</w:t>
            </w:r>
            <w:r>
              <w:t xml:space="preserve">,</w:t>
            </w:r>
            <w:r>
              <w:t xml:space="preserve"> </w:t>
            </w:r>
            <w:r>
              <w:t xml:space="preserve">“</w:t>
            </w:r>
            <w:r>
              <w:t xml:space="preserve">…hangi makamca sonuçlandırılır?</w:t>
            </w:r>
            <w:r>
              <w:t xml:space="preserve">”</w:t>
            </w:r>
          </w:p>
        </w:tc>
      </w:tr>
    </w:tbl>
    <w:bookmarkEnd w:id="27"/>
    <w:bookmarkStart w:id="28" w:name="aşama-3-kök"/>
    <w:p>
      <w:pPr>
        <w:pStyle w:val="Heading3"/>
      </w:pPr>
      <w:r>
        <w:t xml:space="preserve">Aşama 3 — Kök</w:t>
      </w:r>
    </w:p>
    <w:p>
      <w:pPr>
        <w:numPr>
          <w:ilvl w:val="0"/>
          <w:numId w:val="1004"/>
        </w:numPr>
        <w:pStyle w:val="Compact"/>
      </w:pPr>
      <w:r>
        <w:t xml:space="preserve">Dayanak + konu + kalıp:</w:t>
      </w:r>
      <w:r>
        <w:t xml:space="preserve"> </w:t>
      </w:r>
      <w:r>
        <w:t xml:space="preserve">“</w:t>
      </w:r>
      <w:r>
        <w:t xml:space="preserve">Gümrük Yönetmeliğine göre, geçici depolama yerlerinin açılmasına ilişkin aşağıdakilerden hangisi yanlıştır?</w:t>
      </w:r>
      <w:r>
        <w:t xml:space="preserve">”</w:t>
      </w:r>
    </w:p>
    <w:p>
      <w:pPr>
        <w:numPr>
          <w:ilvl w:val="0"/>
          <w:numId w:val="1004"/>
        </w:numPr>
        <w:pStyle w:val="Compact"/>
      </w:pPr>
      <w:r>
        <w:t xml:space="preserve">Tebliğ adı tam yazılır:</w:t>
      </w:r>
      <w:r>
        <w:t xml:space="preserve"> </w:t>
      </w:r>
      <w:r>
        <w:t xml:space="preserve">“</w:t>
      </w:r>
      <w:r>
        <w:t xml:space="preserve">Gümrük Genel Tebliği (Transit Rejimi) (Seri No: 4) uyarınca…</w:t>
      </w:r>
      <w:r>
        <w:t xml:space="preserve">”</w:t>
      </w:r>
    </w:p>
    <w:p>
      <w:pPr>
        <w:numPr>
          <w:ilvl w:val="0"/>
          <w:numId w:val="1004"/>
        </w:numPr>
        <w:pStyle w:val="Compact"/>
      </w:pPr>
      <w:r>
        <w:t xml:space="preserve">Olumsuz kelime</w:t>
      </w:r>
      <w:r>
        <w:t xml:space="preserve"> </w:t>
      </w:r>
      <w:r>
        <w:rPr>
          <w:u w:val="single"/>
          <w:bCs/>
          <w:b/>
        </w:rPr>
        <w:t xml:space="preserve">altı çizili ve kalın</w:t>
      </w:r>
      <w:r>
        <w:t xml:space="preserve">.</w:t>
      </w:r>
    </w:p>
    <w:bookmarkEnd w:id="28"/>
    <w:bookmarkStart w:id="29" w:name="aşama-4-çeldirici-gümrük-mevzuatına-özgü"/>
    <w:p>
      <w:pPr>
        <w:pStyle w:val="Heading3"/>
      </w:pPr>
      <w:r>
        <w:t xml:space="preserve">Aşama 4 — Çeldirici (gümrük mevzuatına özgü)</w:t>
      </w:r>
    </w:p>
    <w:tbl>
      <w:tblPr>
        <w:tblStyle w:val="Table"/>
        <w:tblW w:type="pct" w:w="5000"/>
        <w:tblLook w:firstRow="1" w:lastRow="0" w:firstColumn="0" w:lastColumn="0" w:noHBand="0" w:noVBand="0" w:val="0020"/>
        <w:jc w:val="start"/>
      </w:tblPr>
      <w:tblGrid>
        <w:gridCol w:w="1452"/>
        <w:gridCol w:w="6468"/>
      </w:tblGrid>
      <w:tr>
        <w:trPr>
          <w:tblHeader w:val="true"/>
        </w:trPr>
        <w:tc>
          <w:tcPr/>
          <w:p>
            <w:pPr>
              <w:pStyle w:val="Compact"/>
              <w:jc w:val="left"/>
            </w:pPr>
            <w:r>
              <w:t xml:space="preserve">Teknik</w:t>
            </w:r>
          </w:p>
        </w:tc>
        <w:tc>
          <w:tcPr/>
          <w:p>
            <w:pPr>
              <w:pStyle w:val="Compact"/>
              <w:jc w:val="left"/>
            </w:pPr>
            <w:r>
              <w:t xml:space="preserve">GM’de tipik kullanım</w:t>
            </w:r>
          </w:p>
        </w:tc>
      </w:tr>
      <w:tr>
        <w:tc>
          <w:tcPr/>
          <w:p>
            <w:pPr>
              <w:pStyle w:val="Compact"/>
              <w:jc w:val="left"/>
            </w:pPr>
            <w:r>
              <w:t xml:space="preserve">Makam kaydırma</w:t>
            </w:r>
          </w:p>
        </w:tc>
        <w:tc>
          <w:tcPr/>
          <w:p>
            <w:pPr>
              <w:pStyle w:val="Compact"/>
              <w:jc w:val="left"/>
            </w:pPr>
            <w:r>
              <w:t xml:space="preserve">Bölge Müdürlüğü ↔ Gümrük Müdürlüğü (antrepo açma/kapatma/taşınma/teminat), Bakanlık ↔ Cumhurbaşkanı, İhracatçı Birliği ↔ Gümrük Müdürlüğü</w:t>
            </w:r>
          </w:p>
        </w:tc>
      </w:tr>
      <w:tr>
        <w:tc>
          <w:tcPr/>
          <w:p>
            <w:pPr>
              <w:pStyle w:val="Compact"/>
              <w:jc w:val="left"/>
            </w:pPr>
            <w:r>
              <w:t xml:space="preserve">Rejim taşıma</w:t>
            </w:r>
          </w:p>
        </w:tc>
        <w:tc>
          <w:tcPr/>
          <w:p>
            <w:pPr>
              <w:pStyle w:val="Compact"/>
              <w:jc w:val="left"/>
            </w:pPr>
            <w:r>
              <w:t xml:space="preserve">Antrepo hükmü geçici depolamaya; DİR hükmü geçici ithalata; tam muafiyet kuralı kısmi muafiyete</w:t>
            </w:r>
          </w:p>
        </w:tc>
      </w:tr>
      <w:tr>
        <w:tc>
          <w:tcPr/>
          <w:p>
            <w:pPr>
              <w:pStyle w:val="Compact"/>
              <w:jc w:val="left"/>
            </w:pPr>
            <w:r>
              <w:t xml:space="preserve">Tarih kaydırma</w:t>
            </w:r>
          </w:p>
        </w:tc>
        <w:tc>
          <w:tcPr/>
          <w:p>
            <w:pPr>
              <w:pStyle w:val="Compact"/>
              <w:jc w:val="left"/>
            </w:pPr>
            <w:r>
              <w:t xml:space="preserve">Geçici ithalat tescili ↔ kati ithalat tescili; ithalat ↔ ihracat beyannamesi; yükleme ↔ geminin ayrılışı</w:t>
            </w:r>
          </w:p>
        </w:tc>
      </w:tr>
      <w:tr>
        <w:tc>
          <w:tcPr/>
          <w:p>
            <w:pPr>
              <w:pStyle w:val="Compact"/>
              <w:jc w:val="left"/>
            </w:pPr>
            <w:r>
              <w:t xml:space="preserve">Sayı komşusu</w:t>
            </w:r>
          </w:p>
        </w:tc>
        <w:tc>
          <w:tcPr/>
          <w:p>
            <w:pPr>
              <w:pStyle w:val="Compact"/>
              <w:jc w:val="left"/>
            </w:pPr>
            <w:r>
              <w:t xml:space="preserve">3/5/10 iş günü; 30/45/60 gün; 12/24 ay; 1/3/5/10 yıl; 150/430/1.500/3.000 €; genel/özel antrepo</w:t>
            </w:r>
          </w:p>
        </w:tc>
      </w:tr>
      <w:tr>
        <w:tc>
          <w:tcPr/>
          <w:p>
            <w:pPr>
              <w:pStyle w:val="Compact"/>
              <w:jc w:val="left"/>
            </w:pPr>
            <w:r>
              <w:t xml:space="preserve">Belge kaydırma</w:t>
            </w:r>
          </w:p>
        </w:tc>
        <w:tc>
          <w:tcPr/>
          <w:p>
            <w:pPr>
              <w:pStyle w:val="Compact"/>
              <w:jc w:val="left"/>
            </w:pPr>
            <w:r>
              <w:t xml:space="preserve">MRN ↔ LRN; ordino/CMR/manifesto ↔ fatura; menşe şahadetnamesi ↔ tercihli belge</w:t>
            </w:r>
          </w:p>
        </w:tc>
      </w:tr>
      <w:tr>
        <w:tc>
          <w:tcPr/>
          <w:p>
            <w:pPr>
              <w:pStyle w:val="Compact"/>
              <w:jc w:val="left"/>
            </w:pPr>
            <w:r>
              <w:t xml:space="preserve">Uydurma makul şart</w:t>
            </w:r>
          </w:p>
        </w:tc>
        <w:tc>
          <w:tcPr/>
          <w:p>
            <w:pPr>
              <w:pStyle w:val="Compact"/>
              <w:jc w:val="left"/>
            </w:pPr>
            <w:r>
              <w:t xml:space="preserve">Yerinde gümrüklemede</w:t>
            </w:r>
            <w:r>
              <w:t xml:space="preserve"> </w:t>
            </w:r>
            <w:r>
              <w:t xml:space="preserve">“</w:t>
            </w:r>
            <w:r>
              <w:t xml:space="preserve">100.000 € teminat</w:t>
            </w:r>
            <w:r>
              <w:t xml:space="preserve">”</w:t>
            </w:r>
            <w:r>
              <w:t xml:space="preserve">, transit izninde</w:t>
            </w:r>
            <w:r>
              <w:t xml:space="preserve"> </w:t>
            </w:r>
            <w:r>
              <w:t xml:space="preserve">“</w:t>
            </w:r>
            <w:r>
              <w:t xml:space="preserve">finansal büyüklük</w:t>
            </w:r>
            <w:r>
              <w:t xml:space="preserve">”</w:t>
            </w:r>
            <w:r>
              <w:t xml:space="preserve">, güvenli depolama kaydında</w:t>
            </w:r>
            <w:r>
              <w:t xml:space="preserve"> </w:t>
            </w:r>
            <w:r>
              <w:t xml:space="preserve">“</w:t>
            </w:r>
            <w:r>
              <w:t xml:space="preserve">sürücü bilgisi</w:t>
            </w:r>
            <w:r>
              <w:t xml:space="preserve">”</w:t>
            </w:r>
          </w:p>
        </w:tc>
      </w:tr>
      <w:tr>
        <w:tc>
          <w:tcPr/>
          <w:p>
            <w:pPr>
              <w:pStyle w:val="Compact"/>
              <w:jc w:val="left"/>
            </w:pPr>
            <w:r>
              <w:t xml:space="preserve">Mutlaklaştırma</w:t>
            </w:r>
          </w:p>
        </w:tc>
        <w:tc>
          <w:tcPr/>
          <w:p>
            <w:pPr>
              <w:pStyle w:val="Compact"/>
              <w:jc w:val="left"/>
            </w:pPr>
            <w:r>
              <w:t xml:space="preserve">“</w:t>
            </w:r>
            <w:r>
              <w:t xml:space="preserve">Her türlü eşya</w:t>
            </w:r>
            <w:r>
              <w:t xml:space="preserve">”</w:t>
            </w:r>
            <w:r>
              <w:t xml:space="preserve">,</w:t>
            </w:r>
            <w:r>
              <w:t xml:space="preserve"> </w:t>
            </w:r>
            <w:r>
              <w:t xml:space="preserve">“</w:t>
            </w:r>
            <w:r>
              <w:t xml:space="preserve">istisnasız</w:t>
            </w:r>
            <w:r>
              <w:t xml:space="preserve">”</w:t>
            </w:r>
            <w:r>
              <w:t xml:space="preserve">,</w:t>
            </w:r>
            <w:r>
              <w:t xml:space="preserve"> </w:t>
            </w:r>
            <w:r>
              <w:t xml:space="preserve">“</w:t>
            </w:r>
            <w:r>
              <w:t xml:space="preserve">yalnızca TGB’de yerleşik</w:t>
            </w:r>
            <w:r>
              <w:t xml:space="preserve">”</w:t>
            </w:r>
          </w:p>
        </w:tc>
      </w:tr>
      <w:tr>
        <w:tc>
          <w:tcPr/>
          <w:p>
            <w:pPr>
              <w:pStyle w:val="Compact"/>
              <w:jc w:val="left"/>
            </w:pPr>
            <w:r>
              <w:t xml:space="preserve">Polarite</w:t>
            </w:r>
          </w:p>
        </w:tc>
        <w:tc>
          <w:tcPr/>
          <w:p>
            <w:pPr>
              <w:pStyle w:val="Compact"/>
              <w:jc w:val="left"/>
            </w:pPr>
            <w:r>
              <w:t xml:space="preserve">“</w:t>
            </w:r>
            <w:r>
              <w:t xml:space="preserve">değişiklik yapılabilir</w:t>
            </w:r>
            <w:r>
              <w:t xml:space="preserve">”</w:t>
            </w:r>
            <w:r>
              <w:t xml:space="preserve"> </w:t>
            </w:r>
            <w:r>
              <w:t xml:space="preserve">↔</w:t>
            </w:r>
            <w:r>
              <w:t xml:space="preserve"> </w:t>
            </w:r>
            <w:r>
              <w:t xml:space="preserve">“</w:t>
            </w:r>
            <w:r>
              <w:t xml:space="preserve">yapılamaz</w:t>
            </w:r>
            <w:r>
              <w:t xml:space="preserve">”</w:t>
            </w:r>
            <w:r>
              <w:t xml:space="preserve">;</w:t>
            </w:r>
            <w:r>
              <w:t xml:space="preserve"> </w:t>
            </w:r>
            <w:r>
              <w:t xml:space="preserve">“</w:t>
            </w:r>
            <w:r>
              <w:t xml:space="preserve">dış seferin devamı sayılır</w:t>
            </w:r>
            <w:r>
              <w:t xml:space="preserve">”</w:t>
            </w:r>
            <w:r>
              <w:t xml:space="preserve"> </w:t>
            </w:r>
            <w:r>
              <w:t xml:space="preserve">↔</w:t>
            </w:r>
            <w:r>
              <w:t xml:space="preserve"> </w:t>
            </w:r>
            <w:r>
              <w:t xml:space="preserve">“</w:t>
            </w:r>
            <w:r>
              <w:t xml:space="preserve">sayılmaz</w:t>
            </w:r>
            <w:r>
              <w:t xml:space="preserve">”</w:t>
            </w:r>
            <w:r>
              <w:t xml:space="preserve">;</w:t>
            </w:r>
            <w:r>
              <w:t xml:space="preserve"> </w:t>
            </w:r>
            <w:r>
              <w:t xml:space="preserve">“</w:t>
            </w:r>
            <w:r>
              <w:t xml:space="preserve">süresiz</w:t>
            </w:r>
            <w:r>
              <w:t xml:space="preserve">”</w:t>
            </w:r>
            <w:r>
              <w:t xml:space="preserve"> </w:t>
            </w:r>
            <w:r>
              <w:t xml:space="preserve">↔</w:t>
            </w:r>
            <w:r>
              <w:t xml:space="preserve"> </w:t>
            </w:r>
            <w:r>
              <w:t xml:space="preserve">“</w:t>
            </w:r>
            <w:r>
              <w:t xml:space="preserve">süreli</w:t>
            </w:r>
            <w:r>
              <w:t xml:space="preserve">”</w:t>
            </w:r>
          </w:p>
        </w:tc>
      </w:tr>
      <w:tr>
        <w:tc>
          <w:tcPr/>
          <w:p>
            <w:pPr>
              <w:pStyle w:val="Compact"/>
              <w:jc w:val="left"/>
            </w:pPr>
            <w:r>
              <w:t xml:space="preserve">Olay türü</w:t>
            </w:r>
          </w:p>
        </w:tc>
        <w:tc>
          <w:tcPr/>
          <w:p>
            <w:pPr>
              <w:pStyle w:val="Compact"/>
              <w:jc w:val="left"/>
            </w:pPr>
            <w:r>
              <w:t xml:space="preserve">Askıya alma ↔ iptal; sona erdiren olay ↔ doğuran olay; özen davranışı ↔ sorumluluk sebebi</w:t>
            </w:r>
          </w:p>
        </w:tc>
      </w:tr>
    </w:tbl>
    <w:p>
      <w:pPr>
        <w:pStyle w:val="BodyText"/>
      </w:pPr>
      <w:r>
        <w:t xml:space="preserve">Eski kurum adı (Müsteşarlık) tek başına bir şıkkı yanlış yapmaz; aynı makamın eski ve yeni adını rakip şık yapma.</w:t>
      </w:r>
    </w:p>
    <w:bookmarkEnd w:id="29"/>
    <w:bookmarkStart w:id="30" w:name="aşama-5-doğrulama"/>
    <w:p>
      <w:pPr>
        <w:pStyle w:val="Heading3"/>
      </w:pPr>
      <w:r>
        <w:t xml:space="preserve">Aşama 5 — Doğrulama</w:t>
      </w:r>
    </w:p>
    <w:p>
      <w:pPr>
        <w:numPr>
          <w:ilvl w:val="0"/>
          <w:numId w:val="1005"/>
        </w:numPr>
        <w:pStyle w:val="Compact"/>
      </w:pPr>
      <w:r>
        <w:t xml:space="preserve">Doğru şık metinde</w:t>
      </w:r>
      <w:r>
        <w:t xml:space="preserve"> </w:t>
      </w:r>
      <w:r>
        <w:rPr>
          <w:bCs/>
          <w:b/>
        </w:rPr>
        <w:t xml:space="preserve">açıkça</w:t>
      </w:r>
      <w:r>
        <w:t xml:space="preserve"> </w:t>
      </w:r>
      <w:r>
        <w:t xml:space="preserve">var mı?</w:t>
      </w:r>
    </w:p>
    <w:p>
      <w:pPr>
        <w:numPr>
          <w:ilvl w:val="0"/>
          <w:numId w:val="1005"/>
        </w:numPr>
        <w:pStyle w:val="Compact"/>
      </w:pPr>
      <w:r>
        <w:t xml:space="preserve">Dört çeldiricinin her biri hangi hükümle yanlışlanıyor?</w:t>
      </w:r>
    </w:p>
    <w:p>
      <w:pPr>
        <w:numPr>
          <w:ilvl w:val="0"/>
          <w:numId w:val="1005"/>
        </w:numPr>
        <w:pStyle w:val="Compact"/>
      </w:pPr>
      <w:r>
        <w:t xml:space="preserve">Sayı ve tutarlar sınav yılının güncel metniyle uyumlu mu? Değilse soruyu üretme ve not düş.</w:t>
      </w:r>
    </w:p>
    <w:p>
      <w:r>
        <w:pict>
          <v:rect style="width:0;height:1.5pt" o:hralign="center" o:hrstd="t" o:hr="t"/>
        </w:pict>
      </w:r>
    </w:p>
    <w:bookmarkEnd w:id="30"/>
    <w:bookmarkEnd w:id="31"/>
    <w:bookmarkStart w:id="32" w:name="kök-kaliplari-gerçek-sınavlardan"/>
    <w:p>
      <w:pPr>
        <w:pStyle w:val="Heading2"/>
      </w:pPr>
      <w:r>
        <w:t xml:space="preserve">4. KÖK KALIPLARI (gerçek sınavlardan)</w:t>
      </w:r>
    </w:p>
    <w:p>
      <w:pPr>
        <w:numPr>
          <w:ilvl w:val="0"/>
          <w:numId w:val="1006"/>
        </w:numPr>
        <w:pStyle w:val="Compact"/>
      </w:pPr>
      <w:r>
        <w:t xml:space="preserve">“</w:t>
      </w:r>
      <w:r>
        <w:t xml:space="preserve">Gümrük Yönetmeliğine göre aşağıdaki rejimlerden hangisine tabi eşyanın, ihracat rejimine girişi basitleştirilmiş usuller çerçevesinde gerçekleştirilebilir?</w:t>
      </w:r>
      <w:r>
        <w:t xml:space="preserve">”</w:t>
      </w:r>
    </w:p>
    <w:p>
      <w:pPr>
        <w:numPr>
          <w:ilvl w:val="0"/>
          <w:numId w:val="1006"/>
        </w:numPr>
        <w:pStyle w:val="Compact"/>
      </w:pPr>
      <w:r>
        <w:t xml:space="preserve">“</w:t>
      </w:r>
      <w:r>
        <w:t xml:space="preserve">Gümrük Yönetmeliğine göre yukarıdakilerden hangisi/hangileri, … kanıtlanması için kullanılan belgelerdendir?</w:t>
      </w:r>
      <w:r>
        <w:t xml:space="preserve">”</w:t>
      </w:r>
    </w:p>
    <w:p>
      <w:pPr>
        <w:numPr>
          <w:ilvl w:val="0"/>
          <w:numId w:val="1006"/>
        </w:numPr>
        <w:pStyle w:val="Compact"/>
      </w:pPr>
      <w:r>
        <w:t xml:space="preserve">“</w:t>
      </w:r>
      <w:r>
        <w:t xml:space="preserve">Aşağıdaki eşyalardan hangisi … izni ile antrepoya konulabilecek eşyalardan biri</w:t>
      </w:r>
      <w:r>
        <w:t xml:space="preserve"> </w:t>
      </w:r>
      <w:r>
        <w:rPr>
          <w:bCs/>
          <w:b/>
        </w:rPr>
        <w:t xml:space="preserve">değildir</w:t>
      </w:r>
      <w:r>
        <w:t xml:space="preserve">?</w:t>
      </w:r>
      <w:r>
        <w:t xml:space="preserve">”</w:t>
      </w:r>
    </w:p>
    <w:p>
      <w:pPr>
        <w:numPr>
          <w:ilvl w:val="0"/>
          <w:numId w:val="1006"/>
        </w:numPr>
        <w:pStyle w:val="Compact"/>
      </w:pPr>
      <w:r>
        <w:t xml:space="preserve">“</w:t>
      </w:r>
      <w:r>
        <w:t xml:space="preserve">Aşağıdakilerden hangisi … askıya alınmasını gerektiren durumlardan biri</w:t>
      </w:r>
      <w:r>
        <w:t xml:space="preserve"> </w:t>
      </w:r>
      <w:r>
        <w:rPr>
          <w:bCs/>
          <w:b/>
        </w:rPr>
        <w:t xml:space="preserve">değildir</w:t>
      </w:r>
      <w:r>
        <w:t xml:space="preserve">?</w:t>
      </w:r>
      <w:r>
        <w:t xml:space="preserve">”</w:t>
      </w:r>
    </w:p>
    <w:p>
      <w:pPr>
        <w:numPr>
          <w:ilvl w:val="0"/>
          <w:numId w:val="1006"/>
        </w:numPr>
        <w:pStyle w:val="Compact"/>
      </w:pPr>
      <w:r>
        <w:t xml:space="preserve">“</w:t>
      </w:r>
      <w:r>
        <w:t xml:space="preserve">Aşağıdaki usulsüzlük cezalarından hangisi … Gümrük Yönetmeliğinin 82 no.lu ekinde sayılan cezalardan biri</w:t>
      </w:r>
      <w:r>
        <w:t xml:space="preserve"> </w:t>
      </w:r>
      <w:r>
        <w:rPr>
          <w:bCs/>
          <w:b/>
        </w:rPr>
        <w:t xml:space="preserve">değildir</w:t>
      </w:r>
      <w:r>
        <w:t xml:space="preserve">?</w:t>
      </w:r>
      <w:r>
        <w:t xml:space="preserve">”</w:t>
      </w:r>
    </w:p>
    <w:p>
      <w:pPr>
        <w:numPr>
          <w:ilvl w:val="0"/>
          <w:numId w:val="1006"/>
        </w:numPr>
        <w:pStyle w:val="Compact"/>
      </w:pPr>
      <w:r>
        <w:t xml:space="preserve">“</w:t>
      </w:r>
      <w:r>
        <w:t xml:space="preserve">Gümrük Yönetmeliği kapsamında yukarıdaki tabloda yer verilen eşleştirmelerden hangisi/hangileri doğrudur?</w:t>
      </w:r>
      <w:r>
        <w:t xml:space="preserve">”</w:t>
      </w:r>
    </w:p>
    <w:p>
      <w:pPr>
        <w:numPr>
          <w:ilvl w:val="0"/>
          <w:numId w:val="1006"/>
        </w:numPr>
        <w:pStyle w:val="Compact"/>
      </w:pPr>
      <w:r>
        <w:t xml:space="preserve">“</w:t>
      </w:r>
      <w:r>
        <w:t xml:space="preserve">…bir gümrük yükümlülüğü doğduğunda, gümrük vergileri tutarı aşağıdaki usullerin hangisiyle hesaplanır?</w:t>
      </w:r>
      <w:r>
        <w:t xml:space="preserve">”</w:t>
      </w:r>
    </w:p>
    <w:p>
      <w:pPr>
        <w:numPr>
          <w:ilvl w:val="0"/>
          <w:numId w:val="1006"/>
        </w:numPr>
        <w:pStyle w:val="Compact"/>
      </w:pPr>
      <w:r>
        <w:t xml:space="preserve">“</w:t>
      </w:r>
      <w:r>
        <w:t xml:space="preserve">4458 sayılı Gümrük Kanununa göre bu durumda uygulanacak vergi oranları ve gecikme zammı oranında faiz tahsilatına ilişkin aşağıda yer alan ifadelerden hangisi doğrudur?</w:t>
      </w:r>
      <w:r>
        <w:t xml:space="preserve">”</w:t>
      </w:r>
    </w:p>
    <w:p>
      <w:pPr>
        <w:numPr>
          <w:ilvl w:val="0"/>
          <w:numId w:val="1006"/>
        </w:numPr>
        <w:pStyle w:val="Compact"/>
      </w:pPr>
      <w:r>
        <w:t xml:space="preserve">“</w:t>
      </w:r>
      <w:r>
        <w:t xml:space="preserve">Gümrük Genel Tebliği (Transit Rejimi, Seri No:4) uyarınca transit beyanına ilişkin yukarıdaki ifadelerden hangileri doğrudur?</w:t>
      </w:r>
      <w:r>
        <w:t xml:space="preserve">”</w:t>
      </w:r>
    </w:p>
    <w:p>
      <w:pPr>
        <w:numPr>
          <w:ilvl w:val="0"/>
          <w:numId w:val="1006"/>
        </w:numPr>
        <w:pStyle w:val="Compact"/>
      </w:pPr>
      <w:r>
        <w:t xml:space="preserve">“</w:t>
      </w:r>
      <w:r>
        <w:t xml:space="preserve">2009/15481 sayılı … Karar’a göre … muafiyete ilişkin olarak aşağıdakilerden hangisi</w:t>
      </w:r>
      <w:r>
        <w:t xml:space="preserve"> </w:t>
      </w:r>
      <w:r>
        <w:rPr>
          <w:bCs/>
          <w:b/>
        </w:rPr>
        <w:t xml:space="preserve">yanlıştır</w:t>
      </w:r>
      <w:r>
        <w:t xml:space="preserve">?</w:t>
      </w:r>
      <w:r>
        <w:t xml:space="preserve">”</w:t>
      </w:r>
    </w:p>
    <w:p>
      <w:pPr>
        <w:numPr>
          <w:ilvl w:val="0"/>
          <w:numId w:val="1006"/>
        </w:numPr>
        <w:pStyle w:val="Compact"/>
      </w:pPr>
      <w:r>
        <w:t xml:space="preserve">“</w:t>
      </w:r>
      <w:r>
        <w:t xml:space="preserve">…durumunda tarifedeki ücretlerden hangisi uygulanır?</w:t>
      </w:r>
      <w:r>
        <w:t xml:space="preserve">”</w:t>
      </w:r>
      <w:r>
        <w:t xml:space="preserve"> </w:t>
      </w:r>
      <w:r>
        <w:t xml:space="preserve">(asgari ücret tarifesi)</w:t>
      </w:r>
    </w:p>
    <w:p>
      <w:pPr>
        <w:numPr>
          <w:ilvl w:val="0"/>
          <w:numId w:val="1006"/>
        </w:numPr>
        <w:pStyle w:val="Compact"/>
      </w:pPr>
      <w:r>
        <w:t xml:space="preserve">“</w:t>
      </w:r>
      <w:r>
        <w:t xml:space="preserve">…ilişkin tespit işlemleri için aşağıdakilerden hangisi doğrudur?</w:t>
      </w:r>
      <w:r>
        <w:t xml:space="preserve">”</w:t>
      </w:r>
      <w:r>
        <w:t xml:space="preserve"> </w:t>
      </w:r>
      <w:r>
        <w:t xml:space="preserve">(YGM kodları)</w:t>
      </w:r>
    </w:p>
    <w:p>
      <w:pPr>
        <w:numPr>
          <w:ilvl w:val="0"/>
          <w:numId w:val="1006"/>
        </w:numPr>
        <w:pStyle w:val="Compact"/>
      </w:pPr>
      <w:r>
        <w:t xml:space="preserve">“</w:t>
      </w:r>
      <w:r>
        <w:t xml:space="preserve">Buna göre … kuralı doğrultusunda aşağıdakilerden hangisi</w:t>
      </w:r>
      <w:r>
        <w:t xml:space="preserve"> </w:t>
      </w:r>
      <w:r>
        <w:rPr>
          <w:bCs/>
          <w:b/>
        </w:rPr>
        <w:t xml:space="preserve">yanlıştır</w:t>
      </w:r>
      <w:r>
        <w:t xml:space="preserve">?</w:t>
      </w:r>
      <w:r>
        <w:t xml:space="preserve">”</w:t>
      </w:r>
      <w:r>
        <w:t xml:space="preserve"> </w:t>
      </w:r>
      <w:r>
        <w:t xml:space="preserve">(vaka)</w:t>
      </w:r>
    </w:p>
    <w:p>
      <w:r>
        <w:pict>
          <v:rect style="width:0;height:1.5pt" o:hralign="center" o:hrstd="t" o:hr="t"/>
        </w:pict>
      </w:r>
    </w:p>
    <w:bookmarkEnd w:id="32"/>
    <w:bookmarkStart w:id="33" w:name="tip-paylari-gm-bölümü-için-hedef"/>
    <w:p>
      <w:pPr>
        <w:pStyle w:val="Heading2"/>
      </w:pPr>
      <w:r>
        <w:t xml:space="preserve">5. TİP PAYLARI (GM bölümü için hedef)</w:t>
      </w:r>
    </w:p>
    <w:p>
      <w:pPr>
        <w:pStyle w:val="FirstParagraph"/>
      </w:pPr>
      <w:r>
        <w:t xml:space="preserve">Olumsuz %38–42 · Öncüllü %20–23 · Düz %13–17 · Doğru %8–10 · Vaka %4–5 · Boşluk %3–4 · Kavram %2–4 · Eşleştirme/tablo %2–3 · Sıralama ≤%1.</w:t>
      </w:r>
      <w:r>
        <w:t xml:space="preserve"> </w:t>
      </w:r>
      <w:r>
        <w:t xml:space="preserve">(Gerçek GM sözel soruları: 5 yıl ortalaması olumsuz %44, öncüllü %19, düz %18, doğru %9, vaka %4, boşluk %3, kavram %2, eşleştirme %2. 2024–25’te olumsuz %39’a indi, öncüllü %23’e çıktı. Hedef bantlar son iki yıla ağırlık verir.)</w:t>
      </w:r>
      <w:r>
        <w:t xml:space="preserve"> </w:t>
      </w:r>
      <w:r>
        <w:t xml:space="preserve">Olumsuz kutuplu toplam ≈ %45. Öncüllülerde cevap dağılımı: ~%19</w:t>
      </w:r>
      <w:r>
        <w:t xml:space="preserve"> </w:t>
      </w:r>
      <w:r>
        <w:t xml:space="preserve">“</w:t>
      </w:r>
      <w:r>
        <w:t xml:space="preserve">Yalnız X</w:t>
      </w:r>
      <w:r>
        <w:t xml:space="preserve">”</w:t>
      </w:r>
      <w:r>
        <w:t xml:space="preserve">, ~%16 tüm öncüller (liste öncüllüde ~%31), ~%65 ara kombinasyon. Öncül sayısı çoğunlukla 4, sonra 5.</w:t>
      </w:r>
    </w:p>
    <w:p>
      <w:pPr>
        <w:pStyle w:val="BodyText"/>
      </w:pPr>
      <w:r>
        <w:rPr>
          <w:bCs/>
          <w:b/>
        </w:rPr>
        <w:t xml:space="preserve">Alt tip hedefi</w:t>
      </w:r>
      <w:r>
        <w:t xml:space="preserve"> </w:t>
      </w:r>
      <w:r>
        <w:t xml:space="preserve">(kodlar, gerçek örnekler ve üretim tarifleri</w:t>
      </w:r>
      <w:r>
        <w:t xml:space="preserve"> </w:t>
      </w:r>
      <w:r>
        <w:rPr>
          <w:rStyle w:val="VerbatimChar"/>
        </w:rPr>
        <w:t xml:space="preserve">12-SORU-TIPI-KATALOGU</w:t>
      </w:r>
      <w:r>
        <w:t xml:space="preserve"> </w:t>
      </w:r>
      <w:r>
        <w:t xml:space="preserve">dosyasında). Gerçek GM soruları (222): O2 %27 · O1 %15 · D1 %9 (2024–25’te %5) · Ö3 %8 · G1 %8 · Ö1 %6 · Ö2 %4 · D3 %3 · D6 %3 · O3 %3 (2022’den beri neredeyse yok) · K1 %2 · vaka (V1–V3) %3 · boşluk %3 · eşleştirme %1.</w:t>
      </w:r>
    </w:p>
    <w:tbl>
      <w:tblPr>
        <w:tblStyle w:val="Table"/>
        <w:tblW w:type="pct" w:w="5000"/>
        <w:tblLook w:firstRow="1" w:lastRow="0" w:firstColumn="0" w:lastColumn="0" w:noHBand="0" w:noVBand="0" w:val="0020"/>
        <w:jc w:val="start"/>
      </w:tblPr>
      <w:tblGrid>
        <w:gridCol w:w="1584"/>
        <w:gridCol w:w="6336"/>
      </w:tblGrid>
      <w:tr>
        <w:trPr>
          <w:tblHeader w:val="true"/>
        </w:trPr>
        <w:tc>
          <w:tcPr/>
          <w:p>
            <w:pPr>
              <w:pStyle w:val="Compact"/>
              <w:jc w:val="left"/>
            </w:pPr>
            <w:r>
              <w:t xml:space="preserve">Bölüm</w:t>
            </w:r>
          </w:p>
        </w:tc>
        <w:tc>
          <w:tcPr/>
          <w:p>
            <w:pPr>
              <w:pStyle w:val="Compact"/>
              <w:jc w:val="left"/>
            </w:pPr>
            <w:r>
              <w:t xml:space="preserve">Alt tip hedefi</w:t>
            </w:r>
          </w:p>
        </w:tc>
      </w:tr>
      <w:tr>
        <w:tc>
          <w:tcPr/>
          <w:p>
            <w:pPr>
              <w:pStyle w:val="Compact"/>
              <w:jc w:val="left"/>
            </w:pPr>
            <w:r>
              <w:t xml:space="preserve">GM bölümü (42 soru)</w:t>
            </w:r>
          </w:p>
        </w:tc>
        <w:tc>
          <w:tcPr/>
          <w:p>
            <w:pPr>
              <w:pStyle w:val="Compact"/>
              <w:jc w:val="left"/>
            </w:pPr>
            <w:r>
              <w:t xml:space="preserve">O2 11 · O1 6 · Ö3 4 · G1 4 · Ö1 3 · D1 2 · Ö2 2 · D3 2 · D6 1 · K1 1 · V1/V2/V3 2 · B1/B2 2 · E1/E2 1 · esnek 1 (O3, D2 ya da G3)</w:t>
            </w:r>
          </w:p>
        </w:tc>
      </w:tr>
    </w:tbl>
    <w:p>
      <w:pPr>
        <w:numPr>
          <w:ilvl w:val="0"/>
          <w:numId w:val="1007"/>
        </w:numPr>
        <w:pStyle w:val="Compact"/>
      </w:pPr>
      <w:r>
        <w:rPr>
          <w:bCs/>
          <w:b/>
        </w:rPr>
        <w:t xml:space="preserve">O2 GM’nin dilidir.</w:t>
      </w:r>
      <w:r>
        <w:t xml:space="preserve"> </w:t>
      </w:r>
      <w:r>
        <w:t xml:space="preserve">Bozma tekniklerini çeşitlendir: polarite tersi ~%23, süre/sayı ~%15, makam ~%14, uydurma şart ~%10, kapsam ~%10, kavram/belge etiketi ~%10, mutlaklaştırma ~%8. Hiçbiri O2’lerin %30’unu geçmesin.</w:t>
      </w:r>
    </w:p>
    <w:p>
      <w:pPr>
        <w:numPr>
          <w:ilvl w:val="0"/>
          <w:numId w:val="1007"/>
        </w:numPr>
        <w:pStyle w:val="Compact"/>
      </w:pPr>
      <w:r>
        <w:rPr>
          <w:bCs/>
          <w:b/>
        </w:rPr>
        <w:t xml:space="preserve">Ö3 (liste öncüllü) Ö1’den çok kullanılır</w:t>
      </w:r>
      <w:r>
        <w:t xml:space="preserve"> </w:t>
      </w:r>
      <w:r>
        <w:t xml:space="preserve">(18’e 13). Liste öğeleri: rejim basitleştirmeleri, sorumlular, muafiyet hâlleri, belge türleri.</w:t>
      </w:r>
    </w:p>
    <w:p>
      <w:pPr>
        <w:numPr>
          <w:ilvl w:val="0"/>
          <w:numId w:val="1007"/>
        </w:numPr>
        <w:pStyle w:val="Compact"/>
      </w:pPr>
      <w:r>
        <w:rPr>
          <w:bCs/>
          <w:b/>
        </w:rPr>
        <w:t xml:space="preserve">D1 (çıplak sayı) azalıyor.</w:t>
      </w:r>
      <w:r>
        <w:t xml:space="preserve"> </w:t>
      </w:r>
      <w:r>
        <w:t xml:space="preserve">Süre ve oranları B1/B2 matrisine ya da</w:t>
      </w:r>
      <w:r>
        <w:t xml:space="preserve"> </w:t>
      </w:r>
      <w:r>
        <w:t xml:space="preserve">“</w:t>
      </w:r>
      <w:r>
        <w:t xml:space="preserve">yalnız süresi değişen beş cümle</w:t>
      </w:r>
      <w:r>
        <w:t xml:space="preserve">”</w:t>
      </w:r>
      <w:r>
        <w:t xml:space="preserve"> </w:t>
      </w:r>
      <w:r>
        <w:t xml:space="preserve">kalıbına (G1) taşı.</w:t>
      </w:r>
    </w:p>
    <w:p>
      <w:pPr>
        <w:numPr>
          <w:ilvl w:val="0"/>
          <w:numId w:val="1007"/>
        </w:numPr>
        <w:pStyle w:val="Compact"/>
      </w:pPr>
      <w:r>
        <w:rPr>
          <w:bCs/>
          <w:b/>
        </w:rPr>
        <w:t xml:space="preserve">Seri bloklar:</w:t>
      </w:r>
      <w:r>
        <w:t xml:space="preserve"> </w:t>
      </w:r>
      <w:r>
        <w:t xml:space="preserve">2025’te transit 65–70 ve antrepo 78–83 gibi; seri içinde alt tip değişsin (O2 → Ö1 → V1).</w:t>
      </w:r>
    </w:p>
    <w:p>
      <w:r>
        <w:pict>
          <v:rect style="width:0;height:1.5pt" o:hralign="center" o:hrstd="t" o:hr="t"/>
        </w:pict>
      </w:r>
    </w:p>
    <w:bookmarkEnd w:id="33"/>
    <w:bookmarkStart w:id="34" w:name="dil-biçim-yasaklar"/>
    <w:p>
      <w:pPr>
        <w:pStyle w:val="Heading2"/>
      </w:pPr>
      <w:r>
        <w:t xml:space="preserve">6. DİL, BİÇİM, YASAKLAR</w:t>
      </w:r>
    </w:p>
    <w:p>
      <w:pPr>
        <w:numPr>
          <w:ilvl w:val="0"/>
          <w:numId w:val="1008"/>
        </w:numPr>
        <w:pStyle w:val="Compact"/>
      </w:pPr>
      <w:r>
        <w:t xml:space="preserve">Resmî ve kısa sınav dili kullan; yapay nitelemeler (</w:t>
      </w:r>
      <w:r>
        <w:t xml:space="preserve">“</w:t>
      </w:r>
      <w:r>
        <w:t xml:space="preserve">temel kural</w:t>
      </w:r>
      <w:r>
        <w:t xml:space="preserve">”</w:t>
      </w:r>
      <w:r>
        <w:t xml:space="preserve">,</w:t>
      </w:r>
      <w:r>
        <w:t xml:space="preserve"> </w:t>
      </w:r>
      <w:r>
        <w:t xml:space="preserve">“</w:t>
      </w:r>
      <w:r>
        <w:t xml:space="preserve">kritik husus</w:t>
      </w:r>
      <w:r>
        <w:t xml:space="preserve">”</w:t>
      </w:r>
      <w:r>
        <w:t xml:space="preserve">) ekleme.</w:t>
      </w:r>
    </w:p>
    <w:p>
      <w:pPr>
        <w:numPr>
          <w:ilvl w:val="0"/>
          <w:numId w:val="1008"/>
        </w:numPr>
        <w:pStyle w:val="Compact"/>
      </w:pPr>
      <w:r>
        <w:t xml:space="preserve">Madde numarası: Gerçek sınavda ~%8 soruda kökte dayanak olarak geçer, ama numarayı bilmek cevabı vermez. MADDE ATFI kapalıysa (varsayılan) köke yazılmaz.</w:t>
      </w:r>
      <w:r>
        <w:t xml:space="preserve"> </w:t>
      </w:r>
      <w:r>
        <w:t xml:space="preserve">“</w:t>
      </w:r>
      <w:r>
        <w:t xml:space="preserve">Nadir açık</w:t>
      </w:r>
      <w:r>
        <w:t xml:space="preserve">”</w:t>
      </w:r>
      <w:r>
        <w:t xml:space="preserve"> </w:t>
      </w:r>
      <w:r>
        <w:t xml:space="preserve">ise en fazla %8 ve yalnız dayanak gösterimi olarak; numaranın kendisi yalnız 241/1–241/2, 234/1–234/3 gibi uygulamada adıyla anılan fıkralarda şık olabilir.</w:t>
      </w:r>
    </w:p>
    <w:p>
      <w:pPr>
        <w:numPr>
          <w:ilvl w:val="0"/>
          <w:numId w:val="1008"/>
        </w:numPr>
        <w:pStyle w:val="Compact"/>
      </w:pPr>
      <w:r>
        <w:t xml:space="preserve">Uydurma hüküm, sayı, makam yasak. Güncelliği şüpheli tutarı doğru cevap yapma.</w:t>
      </w:r>
    </w:p>
    <w:p>
      <w:pPr>
        <w:numPr>
          <w:ilvl w:val="0"/>
          <w:numId w:val="1008"/>
        </w:numPr>
        <w:pStyle w:val="Compact"/>
      </w:pPr>
      <w:r>
        <w:t xml:space="preserve">Çıkmış soruyu kopyalama; ölçtüğü bilgiyi mutlaka yeni kurguyla sor.</w:t>
      </w:r>
    </w:p>
    <w:p>
      <w:pPr>
        <w:numPr>
          <w:ilvl w:val="0"/>
          <w:numId w:val="1008"/>
        </w:numPr>
        <w:pStyle w:val="Compact"/>
      </w:pPr>
      <w:r>
        <w:t xml:space="preserve">Bir sorunun kökü veya öncülü başka sorunun cevabını vermesin.</w:t>
      </w:r>
    </w:p>
    <w:p>
      <w:pPr>
        <w:numPr>
          <w:ilvl w:val="0"/>
          <w:numId w:val="1008"/>
        </w:numPr>
        <w:pStyle w:val="Compact"/>
      </w:pPr>
      <w:r>
        <w:t xml:space="preserve">Harf dağılımı N/5 ± 2; aynı harf en fazla 3 kez üst üste. Doğru şık cümle şıklarda en fazla %25 en uzun, en fazla %20 en kısa.</w:t>
      </w:r>
    </w:p>
    <w:p>
      <w:r>
        <w:pict>
          <v:rect style="width:0;height:1.5pt" o:hralign="center" o:hrstd="t" o:hr="t"/>
        </w:pict>
      </w:r>
    </w:p>
    <w:bookmarkEnd w:id="34"/>
    <w:bookmarkStart w:id="35" w:name="öz-denetim-her-soru-set-sonu-tablosu"/>
    <w:p>
      <w:pPr>
        <w:pStyle w:val="Heading2"/>
      </w:pPr>
      <w:r>
        <w:t xml:space="preserve">7. ÖZ-DENETİM (her soru + set sonu tablosu)</w:t>
      </w:r>
    </w:p>
    <w:p>
      <w:pPr>
        <w:pStyle w:val="FirstParagraph"/>
      </w:pPr>
      <w:r>
        <w:t xml:space="preserve">Mevzuat kesinliği · kalıp uygunluğu · kurum dili · tek doğru · çeldiricilerin aynı kategoride olması · tekrar/ipucu kontrolü · cevap–gerekçe uyumu.</w:t>
      </w:r>
      <w:r>
        <w:t xml:space="preserve"> </w:t>
      </w:r>
      <w:r>
        <w:t xml:space="preserve">Set sonu: kök tipi dağılımı, olumsuz kutuplu toplam, harf dağılımı, madde kapsama haritası, uydurma kontrolü (0).</w:t>
      </w:r>
      <w:r>
        <w:t xml:space="preserve"> </w:t>
      </w:r>
      <w:r>
        <w:t xml:space="preserve">MOD A’da:</w:t>
      </w:r>
      <w:r>
        <w:t xml:space="preserve"> </w:t>
      </w:r>
      <w:r>
        <w:t xml:space="preserve">“</w:t>
      </w:r>
      <w:r>
        <w:t xml:space="preserve">Bu metinden çıkarılabilecek sınav değeri taşıyan soru alanları tüketilmiştir.</w:t>
      </w:r>
      <w:r>
        <w:t xml:space="preserve">”</w:t>
      </w:r>
    </w:p>
    <w:p>
      <w:r>
        <w:pict>
          <v:rect style="width:0;height:1.5pt" o:hralign="center" o:hrstd="t" o:hr="t"/>
        </w:pict>
      </w:r>
    </w:p>
    <w:bookmarkEnd w:id="35"/>
    <w:bookmarkStart w:id="36" w:name="çikti-şablonu"/>
    <w:p>
      <w:pPr>
        <w:pStyle w:val="Heading2"/>
      </w:pPr>
      <w:r>
        <w:t xml:space="preserve">8. ÇIKTI ŞABLONU</w:t>
      </w:r>
    </w:p>
    <w:p>
      <w:pPr>
        <w:pStyle w:val="SourceCode"/>
      </w:pPr>
      <w:r>
        <w:rPr>
          <w:rStyle w:val="VerbatimChar"/>
        </w:rPr>
        <w:t xml:space="preserve">### [Mevzuat adı – Madde/konu]</w:t>
      </w:r>
      <w:r>
        <w:br/>
      </w:r>
      <w:r>
        <w:br/>
      </w:r>
      <w:r>
        <w:rPr>
          <w:rStyle w:val="VerbatimChar"/>
        </w:rPr>
        <w:t xml:space="preserve">1- [Soru kökü]</w:t>
      </w:r>
      <w:r>
        <w:br/>
      </w:r>
      <w:r>
        <w:rPr>
          <w:rStyle w:val="VerbatimChar"/>
        </w:rPr>
        <w:t xml:space="preserve">A) …</w:t>
      </w:r>
      <w:r>
        <w:br/>
      </w:r>
      <w:r>
        <w:rPr>
          <w:rStyle w:val="VerbatimChar"/>
        </w:rPr>
        <w:t xml:space="preserve">B) …</w:t>
      </w:r>
      <w:r>
        <w:br/>
      </w:r>
      <w:r>
        <w:rPr>
          <w:rStyle w:val="VerbatimChar"/>
        </w:rPr>
        <w:t xml:space="preserve">C) …</w:t>
      </w:r>
      <w:r>
        <w:br/>
      </w:r>
      <w:r>
        <w:rPr>
          <w:rStyle w:val="VerbatimChar"/>
        </w:rPr>
        <w:t xml:space="preserve">D) …</w:t>
      </w:r>
      <w:r>
        <w:br/>
      </w:r>
      <w:r>
        <w:rPr>
          <w:rStyle w:val="VerbatimChar"/>
        </w:rPr>
        <w:t xml:space="preserve">E) …</w:t>
      </w:r>
      <w:r>
        <w:br/>
      </w:r>
      <w:r>
        <w:br/>
      </w:r>
      <w:r>
        <w:rPr>
          <w:rStyle w:val="VerbatimChar"/>
        </w:rPr>
        <w:t xml:space="preserve">Doğru Cevap: X</w:t>
      </w:r>
      <w:r>
        <w:br/>
      </w:r>
      <w:r>
        <w:rPr>
          <w:rStyle w:val="VerbatimChar"/>
        </w:rPr>
        <w:t xml:space="preserve">Gerekçe: Mevzuata göre … . Bu nedenle doğru cevap X seçeneğidir. [Diğer şıkların neden doğru/yanlış olduğu kısaca.] (MD …)</w:t>
      </w:r>
      <w:r>
        <w:br/>
      </w:r>
      <w:r>
        <w:rPr>
          <w:rStyle w:val="VerbatimChar"/>
        </w:rPr>
        <w:t xml:space="preserve">Tuzak: [Adayın hangi yanlış inançla hangi şıkka kayacağı]</w:t>
      </w:r>
      <w:r>
        <w:br/>
      </w:r>
      <w:r>
        <w:rPr>
          <w:rStyle w:val="VerbatimChar"/>
        </w:rPr>
        <w:t xml:space="preserve">Kalıp/Teknik: [alt tip kodu – bilgi türü – bozma tekniği]</w:t>
      </w:r>
    </w:p>
    <w:p>
      <w:r>
        <w:pict>
          <v:rect style="width:0;height:1.5pt" o:hralign="center" o:hrstd="t" o:hr="t"/>
        </w:pict>
      </w:r>
    </w:p>
    <w:bookmarkEnd w:id="36"/>
    <w:bookmarkStart w:id="37" w:name="X7b0a66a0dfe7f17742986fe737dbdd8cc2a3c11"/>
    <w:p>
      <w:pPr>
        <w:pStyle w:val="Heading2"/>
      </w:pPr>
      <w:r>
        <w:t xml:space="preserve">9. KALİBRASYON ÖRNEKLERİ (tarzı gösterir; aynen kullanma)</w:t>
      </w:r>
    </w:p>
    <w:p>
      <w:pPr>
        <w:pStyle w:val="FirstParagraph"/>
      </w:pPr>
      <w:r>
        <w:rPr>
          <w:bCs/>
          <w:b/>
        </w:rPr>
        <w:t xml:space="preserve">Örnek 1 – tarihli vaka (rejim kesişimi + tarih kaydırma)</w:t>
      </w:r>
    </w:p>
    <w:p>
      <w:pPr>
        <w:pStyle w:val="SourceCode"/>
      </w:pPr>
      <w:r>
        <w:rPr>
          <w:rStyle w:val="VerbatimChar"/>
        </w:rPr>
        <w:t xml:space="preserve">1- 10.02.20xx tarihli geçici ithalat beyannamesi ile tam muafiyet suretiyle geçici ithal edilen eşya için 10.08.20xx tarihine kadar süre verilmiş, eşya 05.05.20xx tarihli serbest dolaşıma giriş beyannamesi ile kati ithalata dönüştürülmüştür. 4458 sayılı Gümrük Kanununa göre bu eşyanın gümrük vergilerinin hesaplanmasına ilişkin aşağıdakilerden hangisi doğrudur?</w:t>
      </w:r>
      <w:r>
        <w:br/>
      </w:r>
      <w:r>
        <w:rPr>
          <w:rStyle w:val="VerbatimChar"/>
        </w:rPr>
        <w:t xml:space="preserve">A) 10.02.20xx tarihindeki vergi oranları ve vergilendirme unsurları esas alınır.</w:t>
      </w:r>
      <w:r>
        <w:br/>
      </w:r>
      <w:r>
        <w:rPr>
          <w:rStyle w:val="VerbatimChar"/>
        </w:rPr>
        <w:t xml:space="preserve">B) 05.05.20xx tarihindeki vergi oranları ve vergilendirme unsurları esas alınır.</w:t>
      </w:r>
      <w:r>
        <w:br/>
      </w:r>
      <w:r>
        <w:rPr>
          <w:rStyle w:val="VerbatimChar"/>
        </w:rPr>
        <w:t xml:space="preserve">C) 10.08.20xx tarihindeki vergi oranları ve vergilendirme unsurları esas alınır.</w:t>
      </w:r>
      <w:r>
        <w:br/>
      </w:r>
      <w:r>
        <w:rPr>
          <w:rStyle w:val="VerbatimChar"/>
        </w:rPr>
        <w:t xml:space="preserve">D) Eşya tam muafiyetle geçici ithal edildiğinden vergi tahakkuk ettirilmez.</w:t>
      </w:r>
      <w:r>
        <w:br/>
      </w:r>
      <w:r>
        <w:rPr>
          <w:rStyle w:val="VerbatimChar"/>
        </w:rPr>
        <w:t xml:space="preserve">E) Geçici ithalat süresince her ay için vergilerin %3'ü tahsil edilir.</w:t>
      </w:r>
      <w:r>
        <w:br/>
      </w:r>
      <w:r>
        <w:br/>
      </w:r>
      <w:r>
        <w:rPr>
          <w:rStyle w:val="VerbatimChar"/>
        </w:rPr>
        <w:t xml:space="preserve">Doğru Cevap: B</w:t>
      </w:r>
      <w:r>
        <w:br/>
      </w:r>
      <w:r>
        <w:rPr>
          <w:rStyle w:val="VerbatimChar"/>
        </w:rPr>
        <w:t xml:space="preserve">Gerekçe: Tam muafiyetle geçici ithal edilen eşya serbest dolaşıma girdiğinde vergiler, serbest dolaşıma giriş (kati ithalat) beyannamesinin tescil tarihindeki unsurlara göre hesaplanır. 10.02 tarihi kısmi muafiyetli geçici ithalatın kuralıdır (A); 10.08 izin süresinin sonudur (C); aylık %3 kısmi muafiyete özgüdür (E). (GK geçici ithalat hükümleri)</w:t>
      </w:r>
      <w:r>
        <w:br/>
      </w:r>
      <w:r>
        <w:rPr>
          <w:rStyle w:val="VerbatimChar"/>
        </w:rPr>
        <w:t xml:space="preserve">Tuzak: Kısmi muafiyet kuralını (geçici ithalat tescil tarihi, aylık %3) tam muafiyete taşımak.</w:t>
      </w:r>
      <w:r>
        <w:br/>
      </w:r>
      <w:r>
        <w:rPr>
          <w:rStyle w:val="VerbatimChar"/>
        </w:rPr>
        <w:t xml:space="preserve">Kalıp/Teknik: V1 – hukuki sonuç – rejim türü kaydırma + tarih kaydırma</w:t>
      </w:r>
    </w:p>
    <w:p>
      <w:pPr>
        <w:pStyle w:val="BlockText"/>
      </w:pPr>
      <w:r>
        <w:t xml:space="preserve">Not: Örnekteki kural 2025 sınavının 87–88. sorularında ölçülen ayrımdır. Üretimde her zaman kaynak metindeki güncel hükmü esas al.</w:t>
      </w:r>
    </w:p>
    <w:p>
      <w:pPr>
        <w:pStyle w:val="FirstParagraph"/>
      </w:pPr>
      <w:r>
        <w:rPr>
          <w:bCs/>
          <w:b/>
        </w:rPr>
        <w:t xml:space="preserve">Örnek 2 – öncüllü (tebliğden tek unsur bozma)</w:t>
      </w:r>
    </w:p>
    <w:p>
      <w:pPr>
        <w:pStyle w:val="SourceCode"/>
      </w:pPr>
      <w:r>
        <w:rPr>
          <w:rStyle w:val="VerbatimChar"/>
        </w:rPr>
        <w:t xml:space="preserve">2- I. Transit beyanı, yalnız bir hareket gümrük idaresinden bir varış gümrük idaresine yapılacak taşıma için tek bir taşıma aracına yüklenen eşyayı kapsar.</w:t>
      </w:r>
      <w:r>
        <w:br/>
      </w:r>
      <w:r>
        <w:rPr>
          <w:rStyle w:val="VerbatimChar"/>
        </w:rPr>
        <w:t xml:space="preserve">II. Kefil, transit rejimi hak sahibiyle aynı kişi olabilir.</w:t>
      </w:r>
      <w:r>
        <w:br/>
      </w:r>
      <w:r>
        <w:rPr>
          <w:rStyle w:val="VerbatimChar"/>
        </w:rPr>
        <w:t xml:space="preserve">III. Transit rejimi, eşya ve belgelerin varış gümrük idaresine sunulmasıyla sona erer.</w:t>
      </w:r>
      <w:r>
        <w:br/>
      </w:r>
      <w:r>
        <w:rPr>
          <w:rStyle w:val="VerbatimChar"/>
        </w:rPr>
        <w:t xml:space="preserve">IV. Rejimin sona erdiğinin kanıtlanmasında, beyan sahibince oluşturulan yerel referans numarasını (LRN) içeren çıktı alternatif kanıt olarak kabul edilir.</w:t>
      </w:r>
      <w:r>
        <w:br/>
      </w:r>
      <w:r>
        <w:rPr>
          <w:rStyle w:val="VerbatimChar"/>
        </w:rPr>
        <w:t xml:space="preserve">Transit rejimine ilişkin yukarıdaki ifadelerden hangileri doğrudur?</w:t>
      </w:r>
      <w:r>
        <w:br/>
      </w:r>
      <w:r>
        <w:rPr>
          <w:rStyle w:val="VerbatimChar"/>
        </w:rPr>
        <w:t xml:space="preserve">A) I ve II</w:t>
      </w:r>
      <w:r>
        <w:br/>
      </w:r>
      <w:r>
        <w:rPr>
          <w:rStyle w:val="VerbatimChar"/>
        </w:rPr>
        <w:t xml:space="preserve">B) I ve III</w:t>
      </w:r>
      <w:r>
        <w:br/>
      </w:r>
      <w:r>
        <w:rPr>
          <w:rStyle w:val="VerbatimChar"/>
        </w:rPr>
        <w:t xml:space="preserve">C) II ve IV</w:t>
      </w:r>
      <w:r>
        <w:br/>
      </w:r>
      <w:r>
        <w:rPr>
          <w:rStyle w:val="VerbatimChar"/>
        </w:rPr>
        <w:t xml:space="preserve">D) I, III ve IV</w:t>
      </w:r>
      <w:r>
        <w:br/>
      </w:r>
      <w:r>
        <w:rPr>
          <w:rStyle w:val="VerbatimChar"/>
        </w:rPr>
        <w:t xml:space="preserve">E) I, II, III ve IV</w:t>
      </w:r>
      <w:r>
        <w:br/>
      </w:r>
      <w:r>
        <w:br/>
      </w:r>
      <w:r>
        <w:rPr>
          <w:rStyle w:val="VerbatimChar"/>
        </w:rPr>
        <w:t xml:space="preserve">Doğru Cevap: B</w:t>
      </w:r>
      <w:r>
        <w:br/>
      </w:r>
      <w:r>
        <w:rPr>
          <w:rStyle w:val="VerbatimChar"/>
        </w:rPr>
        <w:t xml:space="preserve">Gerekçe: I ve III mevzuatın kendisidir. Kefil, rejim hak sahibinden farklı bir kişidir; kefalet üçüncü kişi güvencesidir (II yanlış). Alternatif kanıt idarenin verdiği MRN'yi taşıyan belgedir; beyan sahibinin yerel referansı (LRN) kanıt sayılmaz (IV yanlış). (Transit Tebliği ilgili maddeler)</w:t>
      </w:r>
      <w:r>
        <w:br/>
      </w:r>
      <w:r>
        <w:rPr>
          <w:rStyle w:val="VerbatimChar"/>
        </w:rPr>
        <w:t xml:space="preserve">Tuzak: LRN ile MRN'yi karıştırmak; kefili "rejim hak sahibinin kendi teminatı" sanmak.</w:t>
      </w:r>
      <w:r>
        <w:br/>
      </w:r>
      <w:r>
        <w:rPr>
          <w:rStyle w:val="VerbatimChar"/>
        </w:rPr>
        <w:t xml:space="preserve">Kalıp/Teknik: Ö1 (4 öncül) – usul – etiket kaydırma (LRN/MRN) + kapsam genişletme (kefil)</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1"/>
    </w:rPr>
  </w:style>
  <w:style w:styleId="BodyText" w:type="paragraph">
    <w:name w:val="Body Text"/>
    <w:basedOn w:val="Normal"/>
    <w:link w:val="BodyTextChar"/>
    <w:pPr>
      <w:spacing w:after="180" w:before="180"/>
    </w:pPr>
    <w:qFormat/>
    <w:rPr>
      <w:rFonts w:ascii="Arial" w:cs="Arial" w:eastAsia="Arial" w:hAnsi="Arial"/>
      <w:sz w:val="21"/>
    </w:rPr>
  </w:style>
  <w:style w:customStyle="1" w:styleId="FirstParagraph" w:type="paragraph">
    <w:name w:val="First Paragraph"/>
    <w:basedOn w:val="BodyText"/>
    <w:next w:val="BodyText"/>
    <w:qFormat/>
    <w:rPr>
      <w:rFonts w:ascii="Arial" w:cs="Arial" w:eastAsia="Arial" w:hAnsi="Arial"/>
      <w:sz w:val="21"/>
    </w:rPr>
  </w:style>
  <w:style w:customStyle="1" w:styleId="Compact" w:type="paragraph">
    <w:name w:val="Compact"/>
    <w:basedOn w:val="BodyText"/>
    <w:qFormat/>
    <w:pPr>
      <w:spacing w:after="36" w:before="36"/>
    </w:pPr>
    <w:rPr>
      <w:rFonts w:ascii="Arial" w:cs="Arial" w:eastAsia="Arial" w:hAnsi="Arial"/>
      <w:sz w:val="21"/>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val="1B3A5C"/>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2026-10-08T09:14:27Z</dcterms:created>
  <dcterms:modified xsi:type="dcterms:W3CDTF">2026-10-08T09:14:27Z</dcterms:modified>
</cp:coreProperties>
</file>

<file path=docProps/custom.xml><?xml version="1.0" encoding="utf-8"?>
<Properties xmlns="http://schemas.openxmlformats.org/officeDocument/2006/custom-properties" xmlns:vt="http://schemas.openxmlformats.org/officeDocument/2006/docPropsVTypes"/>
</file>