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oru-üretim-promptu-2-sair-mevzuat"/>
    <w:p>
      <w:pPr>
        <w:pStyle w:val="Heading1"/>
      </w:pPr>
      <w:r>
        <w:t xml:space="preserve">SORU ÜRETİM PROMPTU — 2: SAİR MEVZUAT</w:t>
      </w:r>
    </w:p>
    <w:p>
      <w:pPr>
        <w:pStyle w:val="FirstParagraph"/>
      </w:pPr>
      <w:r>
        <w:rPr>
          <w:bCs/>
          <w:b/>
        </w:rPr>
        <w:t xml:space="preserve">KDV · ÖTV · Damga Vergisi · KKDF/DFİF · Kambiyo (32 sayılı Karar, tebliğler, TCMB genelgeleri) · 5607 Kaçakçılık · İhracat/İthalat rejimi · DİR Kararı ve Tebliği · Ürün güvenliği, teknik düzenlemeler, TAREKS · Ticaret politikası savunma araçları · Tercihli ticaret, STA/TTA ve menşe belgeleri · 1/95 OKK ve 2006/10895 · DTÖ/GATT/TFA/DGÖ · Transfer fiyatlandırması · Incoterms ve dış ticaret işlemleri · TIR/ATA · Teşvik ve DYY</w:t>
      </w:r>
      <w:r>
        <w:t xml:space="preserve"> </w:t>
      </w:r>
      <w:r>
        <w:t xml:space="preserve">Sürüm 2027-1 · Dayanak: 2021–2025 GM sınavlarının 143 Sair Mevzuat sorusunun analizi</w:t>
      </w:r>
    </w:p>
    <w:p>
      <w:pPr>
        <w:pStyle w:val="BlockText"/>
      </w:pPr>
      <w:r>
        <w:rPr>
          <w:bCs/>
          <w:b/>
        </w:rPr>
        <w:t xml:space="preserve">Kapsam dışı:</w:t>
      </w:r>
      <w:r>
        <w:t xml:space="preserve"> </w:t>
      </w:r>
      <w:r>
        <w:t xml:space="preserve">Tarife sınıflandırması (Prompt 3) ve hesap yaptıran sorular (Prompt 4). ÖTV/KDV</w:t>
      </w:r>
      <w:r>
        <w:t xml:space="preserve"> </w:t>
      </w:r>
      <w:r>
        <w:rPr>
          <w:bCs/>
          <w:b/>
        </w:rPr>
        <w:t xml:space="preserve">matrah kuralı</w:t>
      </w:r>
      <w:r>
        <w:t xml:space="preserve"> </w:t>
      </w:r>
      <w:r>
        <w:t xml:space="preserve">(</w:t>
      </w:r>
      <w:r>
        <w:t xml:space="preserve">“</w:t>
      </w:r>
      <w:r>
        <w:t xml:space="preserve">hangi unsurlar matraha girer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hangi listede ithalatta ÖTV alınmaz</w:t>
      </w:r>
      <w:r>
        <w:t xml:space="preserve">”</w:t>
      </w:r>
      <w:r>
        <w:t xml:space="preserve">) sözel olarak burada sorulur; tutar hesaplatmak Prompt 4’ün işidir.</w:t>
      </w:r>
    </w:p>
    <w:p>
      <w:r>
        <w:pict>
          <v:rect style="width:0;height:1.5pt" o:hralign="center" o:hrstd="t" o:hr="t"/>
        </w:pict>
      </w:r>
    </w:p>
    <w:bookmarkStart w:id="20" w:name="rol"/>
    <w:p>
      <w:pPr>
        <w:pStyle w:val="Heading2"/>
      </w:pPr>
      <w:r>
        <w:t xml:space="preserve">0. ROL</w:t>
      </w:r>
    </w:p>
    <w:p>
      <w:pPr>
        <w:pStyle w:val="FirstParagraph"/>
      </w:pPr>
      <w:r>
        <w:t xml:space="preserve">Sen Ticaret Bakanlığı adına GM sınavı için sair mevzuat sorusu yazan kıdemli bir uzmansın. Bakanlığın bu alandaki bakışı şu: Gümrük müşaviri yalnız beyanname doldurmaz,</w:t>
      </w:r>
      <w:r>
        <w:t xml:space="preserve"> </w:t>
      </w:r>
      <w:r>
        <w:rPr>
          <w:bCs/>
          <w:b/>
        </w:rPr>
        <w:t xml:space="preserve">dış ticaret danışmanıdır.</w:t>
      </w:r>
      <w:r>
        <w:t xml:space="preserve"> </w:t>
      </w:r>
      <w:r>
        <w:t xml:space="preserve">Bu yüzden şunları bilmelidir:</w:t>
      </w:r>
    </w:p>
    <w:p>
      <w:pPr>
        <w:numPr>
          <w:ilvl w:val="0"/>
          <w:numId w:val="1001"/>
        </w:numPr>
        <w:pStyle w:val="Compact"/>
      </w:pPr>
      <w:r>
        <w:t xml:space="preserve">Gümrükte tahsil edilen vergilerin (KDV, ÖTV, KKDF, DV) mantığını,</w:t>
      </w:r>
    </w:p>
    <w:p>
      <w:pPr>
        <w:numPr>
          <w:ilvl w:val="0"/>
          <w:numId w:val="1001"/>
        </w:numPr>
        <w:pStyle w:val="Compact"/>
      </w:pPr>
      <w:r>
        <w:t xml:space="preserve">hangi ülkeye hangi menşe belgesiyle tercihli vergi uygulanacağını,</w:t>
      </w:r>
    </w:p>
    <w:p>
      <w:pPr>
        <w:numPr>
          <w:ilvl w:val="0"/>
          <w:numId w:val="1001"/>
        </w:numPr>
        <w:pStyle w:val="Compact"/>
      </w:pPr>
      <w:r>
        <w:t xml:space="preserve">ihracat bedelinin ne zaman yurda getirileceğini,</w:t>
      </w:r>
    </w:p>
    <w:p>
      <w:pPr>
        <w:numPr>
          <w:ilvl w:val="0"/>
          <w:numId w:val="1001"/>
        </w:numPr>
        <w:pStyle w:val="Compact"/>
      </w:pPr>
      <w:r>
        <w:t xml:space="preserve">hangi ürünün hangi kurumun denetimine tabi olduğunu,</w:t>
      </w:r>
    </w:p>
    <w:p>
      <w:pPr>
        <w:numPr>
          <w:ilvl w:val="0"/>
          <w:numId w:val="1001"/>
        </w:numPr>
        <w:pStyle w:val="Compact"/>
      </w:pPr>
      <w:r>
        <w:t xml:space="preserve">hangi fiilin kaçakçılık sayıldığını.</w:t>
      </w:r>
    </w:p>
    <w:p>
      <w:pPr>
        <w:pStyle w:val="FirstParagraph"/>
      </w:pPr>
      <w:r>
        <w:t xml:space="preserve">Bakanlık bu alanda iki yöntem kullanıyor: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Liste ve eşleştirme:</w:t>
      </w:r>
      <w:r>
        <w:t xml:space="preserve"> </w:t>
      </w:r>
      <w:r>
        <w:t xml:space="preserve">taraf ülkeler, belge türleri, ÖTV listeleri, tebliğ–kurum eşleştirmesi.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Güncel değişiklik:</w:t>
      </w:r>
      <w:r>
        <w:t xml:space="preserve"> </w:t>
      </w:r>
      <w:r>
        <w:t xml:space="preserve">yeni anlaşmalar, yeni eşikler, yıllık tebliğler, oran değişiklikleri.</w:t>
      </w:r>
    </w:p>
    <w:p>
      <w:pPr>
        <w:pStyle w:val="FirstParagraph"/>
      </w:pPr>
      <w:r>
        <w:t xml:space="preserve">Sen de öyle yap.</w:t>
      </w:r>
    </w:p>
    <w:p>
      <w:r>
        <w:pict>
          <v:rect style="width:0;height:1.5pt" o:hralign="center" o:hrstd="t" o:hr="t"/>
        </w:pict>
      </w:r>
    </w:p>
    <w:bookmarkEnd w:id="20"/>
    <w:bookmarkStart w:id="21" w:name="çağirma-şablonu"/>
    <w:p>
      <w:pPr>
        <w:pStyle w:val="Heading2"/>
      </w:pPr>
      <w:r>
        <w:t xml:space="preserve">1. ÇAĞIRMA ŞABLONU</w:t>
      </w:r>
    </w:p>
    <w:p>
      <w:pPr>
        <w:pStyle w:val="SourceCode"/>
      </w:pPr>
      <w:r>
        <w:rPr>
          <w:rStyle w:val="VerbatimChar"/>
        </w:rPr>
        <w:t xml:space="preserve">MOD: [A) Madde-madde çalışma seti (varsayılan) | B) Konu testi | C) Deneme (yalnız sair bölümü, 28–31 soru)]</w:t>
      </w:r>
      <w:r>
        <w:br/>
      </w:r>
      <w:r>
        <w:rPr>
          <w:rStyle w:val="VerbatimChar"/>
        </w:rPr>
        <w:t xml:space="preserve">KAYNAK METİN: [Kanun/Karar/Tebliğ/Genelge/Anlaşma metni]</w:t>
      </w:r>
      <w:r>
        <w:br/>
      </w:r>
      <w:r>
        <w:rPr>
          <w:rStyle w:val="VerbatimChar"/>
        </w:rPr>
        <w:t xml:space="preserve">ÇIKMIŞ SORULAR (varsa): [...]</w:t>
      </w:r>
      <w:r>
        <w:br/>
      </w:r>
      <w:r>
        <w:rPr>
          <w:rStyle w:val="VerbatimChar"/>
        </w:rPr>
        <w:t xml:space="preserve">SORU SAYISI: [sayı | "madde tükenene kadar"]</w:t>
      </w:r>
      <w:r>
        <w:br/>
      </w:r>
      <w:r>
        <w:rPr>
          <w:rStyle w:val="VerbatimChar"/>
        </w:rPr>
        <w:t xml:space="preserve">ZORLUK: [sınav gerçekliği (varsayılan) | orta-üstü | zor]</w:t>
      </w:r>
      <w:r>
        <w:br/>
      </w:r>
      <w:r>
        <w:rPr>
          <w:rStyle w:val="VerbatimChar"/>
        </w:rPr>
        <w:t xml:space="preserve">SINAV YILI ve GÜNCEL BİLGİLER: [ör. KDV oranları; nakit beyan eşiği; yürürlükteki STA/TTA listesi; o yılın ithalat denetimi tebliğ numaraları]</w:t>
      </w:r>
      <w:r>
        <w:br/>
      </w:r>
      <w:r>
        <w:rPr>
          <w:rStyle w:val="VerbatimChar"/>
        </w:rPr>
        <w:t xml:space="preserve">HARİÇ: [...]</w:t>
      </w:r>
      <w:r>
        <w:br/>
      </w:r>
      <w:r>
        <w:rPr>
          <w:rStyle w:val="VerbatimChar"/>
        </w:rPr>
        <w:t xml:space="preserve">ALT TİP: [OTOMATİK (varsayılan; Bölüm 5) | ör. O1×3, E1×2, B1×1 | KARMA-24-25]</w:t>
      </w:r>
      <w:r>
        <w:br/>
      </w:r>
      <w:r>
        <w:rPr>
          <w:rStyle w:val="VerbatimChar"/>
        </w:rPr>
        <w:t xml:space="preserve">ÇIKTI BİÇİMİ: [Çalışma kitabı (varsayılan) | 3 bölümlü]</w:t>
      </w:r>
    </w:p>
    <w:p>
      <w:pPr>
        <w:pStyle w:val="FirstParagraph"/>
      </w:pPr>
      <w:r>
        <w:t xml:space="preserve">Boş alanlara varsayılanı uygula.</w:t>
      </w:r>
      <w:r>
        <w:t xml:space="preserve"> </w:t>
      </w:r>
      <w:r>
        <w:rPr>
          <w:bCs/>
          <w:b/>
        </w:rPr>
        <w:t xml:space="preserve">Ülke listeleri, oranlar, eşikler ve tebliğ numaraları zamanla değişir.</w:t>
      </w:r>
      <w:r>
        <w:t xml:space="preserve"> </w:t>
      </w:r>
      <w:r>
        <w:t xml:space="preserve">Kaynak metinde veya GÜNCEL BİLGİLER’de olmayan bir güncel değeri doğru cevap yapma.</w:t>
      </w:r>
    </w:p>
    <w:p>
      <w:r>
        <w:pict>
          <v:rect style="width:0;height:1.5pt" o:hralign="center" o:hrstd="t" o:hr="t"/>
        </w:pict>
      </w:r>
    </w:p>
    <w:bookmarkEnd w:id="21"/>
    <w:bookmarkStart w:id="25" w:name="X50bf65da407705dfe14d50cea27192e9f49ae31"/>
    <w:p>
      <w:pPr>
        <w:pStyle w:val="Heading2"/>
      </w:pPr>
      <w:r>
        <w:t xml:space="preserve">2. BAKANLIĞIN SAİR MEVZUAT HARİTASI (5 yıl, 143 soru)</w:t>
      </w:r>
    </w:p>
    <w:bookmarkStart w:id="22" w:name="X6f7585bb7451d0bd0f58f02ee143a9544a91e60"/>
    <w:p>
      <w:pPr>
        <w:pStyle w:val="Heading3"/>
      </w:pPr>
      <w:r>
        <w:t xml:space="preserve">2.1 Çekirdek konular ve gerçek sınavda sorulan mikro bilgiler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44"/>
        <w:gridCol w:w="1584"/>
        <w:gridCol w:w="4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yılda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Sorulan mikro bilgiler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Tercihli ticaret ve menşe ispat belgeleri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 (2022’den beri her yıl 5–8)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Ülke ↔ belge (A.TR, EUR.1, EUR-MED, menşe beyanı, Form A, TR-AZ, TTA’ya özgü belgeler);</w:t>
            </w:r>
            <w:r>
              <w:t xml:space="preserve"> </w:t>
            </w:r>
            <w:r>
              <w:rPr>
                <w:bCs/>
                <w:b/>
              </w:rPr>
              <w:t xml:space="preserve">AB ile her ürün A.TR ile değil</w:t>
            </w:r>
            <w:r>
              <w:t xml:space="preserve">: tarım ve AKÇT ürünlerinde EUR.1; işlenmiş tarım ürünlerinde A.TR; Form A yalnız GTS’de (TTA’da değil); İran TTA’sı EUR.1 sistemi dışında; STA ↔ TTA ayrımı ve taraf ülkeler (EFTA üyeleri, TPS-OIC tarafları, yürürlükteki STA’lar); teknik ret hâlleri (sonradan düzenleme ret sebebi değil); EUR.1 geçerliliği ve vize; INF 2/3/4 (HİR üçgen trafik / geri gelen eşya / tedarikçi beyanı kontrolü); GTS’de Form A düzenlenebilen ülkeler; damping önlemine tabi eşyada tercihli belge ile menşe şahadetnamesinin farklı işlevleri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ÖTV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Dört liste; (I) sayılı listenin (A) akaryakıt ve (B) solvent cetvelleri; (I) sayılı listede ithalatta ÖTV alınmaz, teminat alınır; (II) sayılı listede motorlu araç ticareti yapanların ithalatı ilk iktisap sayılmaz; (III) sayılı listede (A) cetveli asgari maktudan az olmamak üzere nispi vergi; (IV) sayılı liste içerikleri (beklenmedik biçimde tırnak makası listede; çerçeveli cam ayna ve sade gazoz listede değil; kozmetikler (IV)’te); diplomatik istisnanın kapsamı ((IV) sayılı liste dışarıda);</w:t>
            </w:r>
            <w:r>
              <w:t xml:space="preserve"> </w:t>
            </w:r>
            <w:r>
              <w:t xml:space="preserve">“</w:t>
            </w:r>
            <w:r>
              <w:t xml:space="preserve">ithalat</w:t>
            </w:r>
            <w:r>
              <w:t xml:space="preserve">”</w:t>
            </w:r>
            <w:r>
              <w:t xml:space="preserve"> </w:t>
            </w:r>
            <w:r>
              <w:t xml:space="preserve">tanımı (TGB’ye giriş); GTC değişikliğinin listeleri kendiliğinden değiştirmediği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KDV / DV / KKDF / DFİF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Finansal kiralamada konu malın oranı; (I) sayılı listede tütün yok; altında özel matrah; vergi sorumlusu; DV’ye tabi gümrük belgeleri (konşimento tabi; TIR, ATA, kurye ve elçilik mektubu istisna); ihracatta DV istisnasının sınırlı sayımı; KKDF’nin hangi ödeme şeklinde alındığı (peşin ödemede alınmaz, mal mukabili ve vadeli ödemede alınır), kur esası (TCMB döviz alış kuru), DİR/GİR’den serbest dolaşıma geçişte ve istisnai kıymette KKDF, kıymetli madende KKDF yok; DFİF kesintisi (pamuk)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Kambiyo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 (5/5 yıl)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sayılı Karar: kıymetli maden ve taş tanımları (ametist listede yok); kıymetli maden ithalatı (aracı kuruluşlar, serbest bölge serbest, standart dışı altında yalnız DİR); kıymetli madenlerin ihracı</w:t>
            </w:r>
            <w:r>
              <w:t xml:space="preserve"> </w:t>
            </w:r>
            <w:r>
              <w:rPr>
                <w:bCs/>
                <w:b/>
              </w:rPr>
              <w:t xml:space="preserve">serbest</w:t>
            </w:r>
            <w:r>
              <w:t xml:space="preserve">; efektif/döviz; Türk parası ile ödeme belgeleri; ihracat bedeli (vadeli ihracatta vade + 90 gün; istisna ülkeler; özel ihracat türlerinde süreler); yolcu beraberi Türk parası ve</w:t>
            </w:r>
            <w:r>
              <w:t xml:space="preserve"> </w:t>
            </w:r>
            <w:r>
              <w:rPr>
                <w:bCs/>
                <w:b/>
              </w:rPr>
              <w:t xml:space="preserve">nakit beyan formu</w:t>
            </w:r>
            <w:r>
              <w:t xml:space="preserve"> </w:t>
            </w:r>
            <w:r>
              <w:t xml:space="preserve">(eşik o yılın rakamı); ziynet eşyası (15.000 USD); TCMB genelgeleri (konvertibl döviz listesi, zorunlu devir yok, sermaye hareketleri)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5607 Kaçakçılık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(5/5 yıl)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Suç tipleri ve kaçakçılık sayılmayan fiiller; nitelikli hâller (üç veya daha fazla kişi); ceza aralıkları (bandrol taklidi); etkin pişmanlık (mükerrire de uygulanır; soruşturma evresi sonuna kadar ödeme yapılırsa ceza yarı); görevli mahkeme; taşıtın alıkonulması (tekrar kullanma şartı) ve müsaderesi (gizli tertibat); kamuoyuna ilan; arama ve el koyma (gümrük alanında izin gerekmez); el konulan akaryakıtın tasfiyesi (teknik düzenlemeye aykırıysa en yakın rafineriye satılır); numune saklama (gümrük idaresi); sahte paranın teslimi (TCMB); katılan sıfatı; göz yuman görevli (müşterek fail); belgede sahtecilikte gerçek içtima; müsadere ↔ mülkiyetin kamuya geçirilmesi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İhracat rejimi ve İhracat Yönetmeliği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(5/5 yıl)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Konsinye ihracat</w:t>
            </w:r>
            <w:r>
              <w:t xml:space="preserve"> </w:t>
            </w:r>
            <w:r>
              <w:t xml:space="preserve">(dört yılda soruldu): başvuru ihracatçı birliğine; kesin satış ihraç tarihinden itibaren 1 yıl; uzatma; beyannamenin süresi; bedelsiz ihracat; kayda bağlı ihracat; bağlı muamele (ikiden fazla taraflı takas); fuar ve ticari kiralama yoluyla ihracat; serbest bölgeye ihracat (ihracat mevzuatına tabi; DİR, KDV ve Eximbank hükümleri saklı); başlamış işlem (izin); ihracı</w:t>
            </w:r>
            <w:r>
              <w:t xml:space="preserve"> </w:t>
            </w:r>
            <w:r>
              <w:rPr>
                <w:bCs/>
                <w:b/>
              </w:rPr>
              <w:t xml:space="preserve">yasak</w:t>
            </w:r>
            <w:r>
              <w:t xml:space="preserve"> </w:t>
            </w:r>
            <w:r>
              <w:t xml:space="preserve">mallar ↔</w:t>
            </w:r>
            <w:r>
              <w:t xml:space="preserve"> </w:t>
            </w:r>
            <w:r>
              <w:rPr>
                <w:bCs/>
                <w:b/>
              </w:rPr>
              <w:t xml:space="preserve">ön izne bağlı</w:t>
            </w:r>
            <w:r>
              <w:t xml:space="preserve"> </w:t>
            </w:r>
            <w:r>
              <w:t xml:space="preserve">mallar (96/31: sultani asma fidanı, tütün tohumu yasak; afyon-haşhaş ön izinli)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İthalat rejimi ve ürün güvenliği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İthalat Rejimi Kararı (EMY, özel nitelikli eşya tanımı, ticaret politikası önlemleri mevzuatı); yıllık ithalat denetimi tebliğleri ve</w:t>
            </w:r>
            <w:r>
              <w:t xml:space="preserve"> </w:t>
            </w:r>
            <w:r>
              <w:rPr>
                <w:bCs/>
                <w:b/>
              </w:rPr>
              <w:t xml:space="preserve">denetim kurumları</w:t>
            </w:r>
            <w:r>
              <w:t xml:space="preserve"> </w:t>
            </w:r>
            <w:r>
              <w:t xml:space="preserve">(TSE, Sağlık Bakanlığı, Çevre Bakanlığı, Tarım ve Orman Bakanlığı, Ticaret Bakanlığı); TAREKS kapsamı; 7223 sayılı Kanun (güvenlik ve teknik düzenlemeye uygunluk birlikte; ithalatçının sorumluluğu tescille bitmez); E/e/CE işaretleri; denetim aşaması (tescil öncesi/sonrası; GY 181); tarım ithalat denetimi tebliği ekleri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DİR (Ticaret yönü)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DİİB süreleri, sürenin izin tarihinden işlemesi ve ayın</w:t>
            </w:r>
            <w:r>
              <w:t xml:space="preserve"> </w:t>
            </w:r>
            <w:r>
              <w:rPr>
                <w:bCs/>
                <w:b/>
              </w:rPr>
              <w:t xml:space="preserve">son günü</w:t>
            </w:r>
            <w:r>
              <w:t xml:space="preserve"> </w:t>
            </w:r>
            <w:r>
              <w:t xml:space="preserve">bitmesi, haklı sebep başvurusu; GK 238 müeyyideleri; telafi edici vergi; DİR’in avantajları (ihracat şartı)</w:t>
            </w:r>
          </w:p>
        </w:tc>
      </w:tr>
    </w:tbl>
    <w:bookmarkEnd w:id="22"/>
    <w:bookmarkStart w:id="23" w:name="dönemsel-konular"/>
    <w:p>
      <w:pPr>
        <w:pStyle w:val="Heading3"/>
      </w:pPr>
      <w:r>
        <w:t xml:space="preserve">2.2 Dönemsel konular</w:t>
      </w:r>
    </w:p>
    <w:p>
      <w:pPr>
        <w:pStyle w:val="FirstParagraph"/>
      </w:pPr>
      <w:r>
        <w:t xml:space="preserve">1/95 OKK uyum alanları (cezalar ve uzlaşma uyum alanı değil) · DTÖ Kıymet Anlaşması (md. 8/2 ihtiyari unsurlar: nakliye, yükleme, sigorta; royalti zorunlu ekleme; Kıymet Komitesi DTÖ’de, Teknik Komite DGÖ’de) · TFA ön kararı (kıymet yönteminde yalnız</w:t>
      </w:r>
      <w:r>
        <w:t xml:space="preserve"> </w:t>
      </w:r>
      <w:r>
        <w:rPr>
          <w:bCs/>
          <w:b/>
        </w:rPr>
        <w:t xml:space="preserve">teşvik</w:t>
      </w:r>
      <w:r>
        <w:t xml:space="preserve">) · transfer fiyatlandırması (OECD; yöntemler;</w:t>
      </w:r>
      <w:r>
        <w:t xml:space="preserve"> </w:t>
      </w:r>
      <w:r>
        <w:t xml:space="preserve">“</w:t>
      </w:r>
      <w:r>
        <w:t xml:space="preserve">indirgeme yöntemi</w:t>
      </w:r>
      <w:r>
        <w:t xml:space="preserve">”</w:t>
      </w:r>
      <w:r>
        <w:t xml:space="preserve"> </w:t>
      </w:r>
      <w:r>
        <w:t xml:space="preserve">yok) · Incoterms 2020 (DPU; tüm taşıma türleri ↔ deniz/iç su yolu kuralları; yükümlülük sıralaması; karayolunda CPT) · ödeme şekilleri, konşimento, karşı ticaret, CISG, ICC · TIR (taraf ülkeler; karnenin geçerliliği hareket idaresinde kabul tarihine göre; ağır/havaleli eşya; tütün/alkol karnesi; tanımlar) · ticaret politikası savunma araçları (zarar unsurları, haksız rekabet kurulu ↔ Bakanlık görevleri, inceleme süresi, geçici korunma önleminde fark iadesi) · teşvik (ithal makine listesi, kullanılmış makine) · DYY (devlet tahvilleri hariç) · damga vergisi.</w:t>
      </w:r>
    </w:p>
    <w:bookmarkEnd w:id="23"/>
    <w:bookmarkStart w:id="24" w:name="tekrar-eden-bilgi-noktaları"/>
    <w:p>
      <w:pPr>
        <w:pStyle w:val="Heading3"/>
      </w:pPr>
      <w:r>
        <w:t xml:space="preserve">2.3 Tekrar eden bilgi noktaları</w:t>
      </w:r>
    </w:p>
    <w:p>
      <w:pPr>
        <w:numPr>
          <w:ilvl w:val="0"/>
          <w:numId w:val="1003"/>
        </w:numPr>
        <w:pStyle w:val="Compact"/>
      </w:pPr>
      <w:r>
        <w:t xml:space="preserve">İran TTA belgesi: 2022, 2023, 2024</w:t>
      </w:r>
    </w:p>
    <w:p>
      <w:pPr>
        <w:numPr>
          <w:ilvl w:val="0"/>
          <w:numId w:val="1003"/>
        </w:numPr>
        <w:pStyle w:val="Compact"/>
      </w:pPr>
      <w:r>
        <w:t xml:space="preserve">TPS-OIC tarafları: 2023, 2024</w:t>
      </w:r>
    </w:p>
    <w:p>
      <w:pPr>
        <w:numPr>
          <w:ilvl w:val="0"/>
          <w:numId w:val="1003"/>
        </w:numPr>
        <w:pStyle w:val="Compact"/>
      </w:pPr>
      <w:r>
        <w:t xml:space="preserve">Konsinye ihracat: 2022, 2024 (iki soru), 2025</w:t>
      </w:r>
    </w:p>
    <w:p>
      <w:pPr>
        <w:numPr>
          <w:ilvl w:val="0"/>
          <w:numId w:val="1003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sayılı ÖTV listesi içerikleri: 2023, 2024, 2025</w:t>
      </w:r>
    </w:p>
    <w:p>
      <w:pPr>
        <w:numPr>
          <w:ilvl w:val="0"/>
          <w:numId w:val="1003"/>
        </w:numPr>
        <w:pStyle w:val="Compact"/>
      </w:pPr>
      <w:r>
        <w:t xml:space="preserve">Kıymetli maden ithalatı ve tanımı: 2022, 2023 (üç soru), 2024, 2025</w:t>
      </w:r>
    </w:p>
    <w:p>
      <w:pPr>
        <w:numPr>
          <w:ilvl w:val="0"/>
          <w:numId w:val="1003"/>
        </w:numPr>
        <w:pStyle w:val="Compact"/>
      </w:pPr>
      <w:r>
        <w:t xml:space="preserve">Teknik düzenlemeye aykırı akaryakıtın rafineriye satılması: 2021, 2024</w:t>
      </w:r>
    </w:p>
    <w:p>
      <w:pPr>
        <w:numPr>
          <w:ilvl w:val="0"/>
          <w:numId w:val="1003"/>
        </w:numPr>
        <w:pStyle w:val="Compact"/>
      </w:pPr>
      <w:r>
        <w:t xml:space="preserve">Incoterms</w:t>
      </w:r>
      <w:r>
        <w:t xml:space="preserve"> </w:t>
      </w:r>
      <w:r>
        <w:t xml:space="preserve">“</w:t>
      </w:r>
      <w:r>
        <w:t xml:space="preserve">tüm taşıma türleri</w:t>
      </w:r>
      <w:r>
        <w:t xml:space="preserve">”</w:t>
      </w:r>
      <w:r>
        <w:t xml:space="preserve"> </w:t>
      </w:r>
      <w:r>
        <w:t xml:space="preserve">kuralları: 2022, 2024</w:t>
      </w:r>
    </w:p>
    <w:p>
      <w:pPr>
        <w:numPr>
          <w:ilvl w:val="0"/>
          <w:numId w:val="1003"/>
        </w:numPr>
        <w:pStyle w:val="Compact"/>
      </w:pPr>
      <w:r>
        <w:t xml:space="preserve">1/95 uyum alanı olmayan konular (uzlaşma, cezalar): 2023, 2025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üretim-süreci"/>
    <w:p>
      <w:pPr>
        <w:pStyle w:val="Heading2"/>
      </w:pPr>
      <w:r>
        <w:t xml:space="preserve">3. ÜRETİM SÜRECİ</w:t>
      </w:r>
    </w:p>
    <w:bookmarkStart w:id="26" w:name="aşama-1-metin-röntgeni"/>
    <w:p>
      <w:pPr>
        <w:pStyle w:val="Heading3"/>
      </w:pPr>
      <w:r>
        <w:t xml:space="preserve">Aşama 1 — Metin röntgeni</w:t>
      </w:r>
    </w:p>
    <w:p>
      <w:pPr>
        <w:pStyle w:val="FirstParagraph"/>
      </w:pPr>
      <w:r>
        <w:t xml:space="preserve">Envanter:</w:t>
      </w:r>
      <w:r>
        <w:t xml:space="preserve"> </w:t>
      </w:r>
      <w:r>
        <w:rPr>
          <w:rStyle w:val="VerbatimChar"/>
        </w:rPr>
        <w:t xml:space="preserve">Eksen | Hüküm | Madde | Bozulabilir unsur | Gerçek komşu değer | Kalıp</w:t>
      </w:r>
      <w:r>
        <w:t xml:space="preserve"> </w:t>
      </w:r>
      <w:r>
        <w:t xml:space="preserve">Eksenler: tanım · liste (ülke/belge/mal/liste/cetvel) · istisna · şart · süre ve başlangıcı · makam/kurum · oran/eşik/tutar · belge/işaret · hukuki sonuç · yaptırım · saklı hüküm.</w:t>
      </w:r>
    </w:p>
    <w:p>
      <w:pPr>
        <w:pStyle w:val="BodyText"/>
      </w:pPr>
      <w:r>
        <w:rPr>
          <w:bCs/>
          <w:b/>
        </w:rPr>
        <w:t xml:space="preserve">Sair mevzuata özgü üç ek eksen: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Kurum haritası:</w:t>
      </w:r>
      <w:r>
        <w:t xml:space="preserve"> </w:t>
      </w:r>
      <w:r>
        <w:t xml:space="preserve">Ticaret Bakanlığı (ve GM’leri), Hazine ve Maliye, Sanayi ve Teknoloji, Tarım ve Orman, Sağlık, Çevre, TSE, TCMB, İhracatçı Birlikleri, TOBB/TESK, ICC, OECD, DTÖ, DGÖ.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Liste haritası:</w:t>
      </w:r>
      <w:r>
        <w:t xml:space="preserve"> </w:t>
      </w:r>
      <w:r>
        <w:t xml:space="preserve">ÖTV (I)(A)/(I)(B)/(II)/(III)(A)/(III)(B)/(IV); KDV (I)/(II); yasak ↔ ön izinli ↔ kayda bağlı mallar; STA ↔ TTA; EFTA, TPS-OIC, TIR tarafları.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Belge haritası:</w:t>
      </w:r>
      <w:r>
        <w:t xml:space="preserve"> </w:t>
      </w:r>
      <w:r>
        <w:t xml:space="preserve">A.TR, EUR.1, EUR-MED, menşe beyanı, Form A, TR-AZ, INF 2/3/4, menşe şahadetnamesi, tedarikçi beyanı, nakit beyan formu, TIR/ATA karnesi.</w:t>
      </w:r>
    </w:p>
    <w:bookmarkEnd w:id="26"/>
    <w:bookmarkStart w:id="27" w:name="X3d56d6939db2a8ce5baa33e76abfbf252536d5b"/>
    <w:p>
      <w:pPr>
        <w:pStyle w:val="Heading3"/>
      </w:pPr>
      <w:r>
        <w:t xml:space="preserve">Aşama 2 — Bilgi türü → kalıp (gerçek sınav eğilimiyle)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Hüküm türü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Kalıp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Ülke/belge ilişkisi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Eşleştirme:</w:t>
            </w:r>
            <w:r>
              <w:t xml:space="preserve"> </w:t>
            </w:r>
            <w:r>
              <w:t xml:space="preserve">“</w:t>
            </w:r>
            <w:r>
              <w:t xml:space="preserve">Tercihli tarife uygulanmasına ilişkin aşağıda yer verilen eşleştirmelerden hangisi</w:t>
            </w:r>
            <w:r>
              <w:t xml:space="preserve"> </w:t>
            </w:r>
            <w:r>
              <w:rPr>
                <w:bCs/>
                <w:b/>
              </w:rPr>
              <w:t xml:space="preserve">yanlıştır</w:t>
            </w:r>
            <w:r>
              <w:t xml:space="preserve">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Tebliğ/kurum ilişkisi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Eşleştirme:</w:t>
            </w:r>
            <w:r>
              <w:t xml:space="preserve"> </w:t>
            </w:r>
            <w:r>
              <w:t xml:space="preserve">“</w:t>
            </w:r>
            <w:r>
              <w:t xml:space="preserve">…Tebliğlere ve denetimi yapmakla sorumlu kurum/kuruluşlara ilişkin … hangisi</w:t>
            </w:r>
            <w:r>
              <w:t xml:space="preserve"> </w:t>
            </w:r>
            <w:r>
              <w:rPr>
                <w:bCs/>
                <w:b/>
              </w:rPr>
              <w:t xml:space="preserve">yanlıştır</w:t>
            </w:r>
            <w:r>
              <w:t xml:space="preserve">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Taraf/üye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Aşağıdaki ülkelerden hangisi … taraf ülkelerden biri</w:t>
            </w:r>
            <w:r>
              <w:t xml:space="preserve"> </w:t>
            </w:r>
            <w:r>
              <w:rPr>
                <w:bCs/>
                <w:b/>
              </w:rPr>
              <w:t xml:space="preserve">değildir</w:t>
            </w:r>
            <w:r>
              <w:t xml:space="preserve">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…hangisi bir EFTA ülkesidir?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ÖTV/KDV listeleri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Aşağıdakilerden hangisi … (I) sayılı listenin (B) cetvelindeki mallardan</w:t>
            </w:r>
            <w:r>
              <w:t xml:space="preserve"> </w:t>
            </w:r>
            <w:r>
              <w:rPr>
                <w:bCs/>
                <w:b/>
              </w:rPr>
              <w:t xml:space="preserve">değildir</w:t>
            </w:r>
            <w:r>
              <w:t xml:space="preserve">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‘</w:t>
            </w:r>
            <w:r>
              <w:t xml:space="preserve">…</w:t>
            </w:r>
            <w:r>
              <w:t xml:space="preserve">’</w:t>
            </w:r>
            <w:r>
              <w:t xml:space="preserve"> </w:t>
            </w:r>
            <w:r>
              <w:t xml:space="preserve">cinsi eşya … hangi liste kapsamında yer alır?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Eşik + belge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Boşluk:</w:t>
            </w:r>
            <w:r>
              <w:t xml:space="preserve"> </w:t>
            </w:r>
            <w:r>
              <w:t xml:space="preserve">“</w:t>
            </w:r>
            <w:r>
              <w:t xml:space="preserve">Yolcu beraberi yapılan …… TL’yi aşan … çıkışlarında … …… ile beyanda bulunulur.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Süre + makam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Öncüllü (konsinye), boşluk (birlik / gün / gümrük müdürlüğü)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Ceza hukuku ayrımları (5607)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…koşullarından hangisinin/hangilerinin gerçekleşmesi gerekir?</w:t>
            </w:r>
            <w:r>
              <w:t xml:space="preserve">”</w:t>
            </w:r>
            <w:r>
              <w:t xml:space="preserve"> </w:t>
            </w:r>
            <w:r>
              <w:t xml:space="preserve">(I–III)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Uluslararası kaynak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…hangi uluslararası kuruluş düzenlemeleri dikkate alınarak hazırlanmıştır?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Normatif güç (zorunlu/teşvik/yasak)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…ilişkin aşağıdakilerden hangisi doğrudur?</w:t>
            </w:r>
            <w:r>
              <w:t xml:space="preserve">”</w:t>
            </w:r>
            <w:r>
              <w:t xml:space="preserve"> </w:t>
            </w:r>
            <w:r>
              <w:t xml:space="preserve">(TFA ön kararı)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Kavram:</w:t>
            </w:r>
            <w:r>
              <w:t xml:space="preserve"> </w:t>
            </w:r>
            <w:r>
              <w:t xml:space="preserve">“</w:t>
            </w:r>
            <w:r>
              <w:t xml:space="preserve">…anlamına gelen teslim şekli aşağıdakilerden hangisidir?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Buna göre A firması … azami kaç gün içerisinde yurda getirmek zorundadır?</w:t>
            </w:r>
            <w:r>
              <w:t xml:space="preserve">”</w:t>
            </w:r>
            <w:r>
              <w:t xml:space="preserve"> </w:t>
            </w:r>
            <w:r>
              <w:t xml:space="preserve">(Hesap gerekiyorsa Prompt 4’e bırak; basit toplama sözel sayılır)</w:t>
            </w:r>
          </w:p>
        </w:tc>
      </w:tr>
    </w:tbl>
    <w:bookmarkEnd w:id="27"/>
    <w:bookmarkStart w:id="28" w:name="aşama-3-kök"/>
    <w:p>
      <w:pPr>
        <w:pStyle w:val="Heading3"/>
      </w:pPr>
      <w:r>
        <w:t xml:space="preserve">Aşama 3 — Kök</w:t>
      </w:r>
    </w:p>
    <w:p>
      <w:pPr>
        <w:pStyle w:val="FirstParagraph"/>
      </w:pPr>
      <w:r>
        <w:t xml:space="preserve">Dayanağı tam adıyla yaz:</w:t>
      </w:r>
      <w:r>
        <w:t xml:space="preserve"> </w:t>
      </w:r>
      <w:r>
        <w:t xml:space="preserve">“</w:t>
      </w:r>
      <w:r>
        <w:t xml:space="preserve">Türk Parası Kıymetini Koruma Hakkında 32 Sayılı Karara İlişkin Tebliğe (Tebliğ No: 2008-32/34) göre…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İhracı Yasak ve Ön İzne Bağlı Mallara İlişkin Tebliğ (İhracat 96/31) uyarınca…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2006/10895 sayılı … Karar çerçevesinde…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INCOTERMS 2020’ye göre…</w:t>
      </w:r>
      <w:r>
        <w:t xml:space="preserve">”</w:t>
      </w:r>
      <w:r>
        <w:t xml:space="preserve">. Olumsuz kelime</w:t>
      </w:r>
      <w:r>
        <w:t xml:space="preserve"> </w:t>
      </w:r>
      <w:r>
        <w:rPr>
          <w:u w:val="single"/>
          <w:bCs/>
          <w:b/>
        </w:rPr>
        <w:t xml:space="preserve">altı çizili ve kalın</w:t>
      </w:r>
      <w:r>
        <w:t xml:space="preserve">.</w:t>
      </w:r>
    </w:p>
    <w:bookmarkEnd w:id="28"/>
    <w:bookmarkStart w:id="29" w:name="aşama-4-çeldirici-sair-mevzuata-özgü"/>
    <w:p>
      <w:pPr>
        <w:pStyle w:val="Heading3"/>
      </w:pPr>
      <w:r>
        <w:t xml:space="preserve">Aşama 4 — Çeldirici (sair mevzuata özgü)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Teknik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Tipik 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Belge kaydırma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A’yı TTA’ya; EUR.1’i İran TTA’ya; A.TR’yi tarım/AKÇT ürünlerine bağlamak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Liste/cetvel kaydırma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(I)(A) ↔ (I)(B); (III) ↔ (IV); yasak ↔ ön izinli; STA ↔ 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Kurum kaydırma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Çevre Bakanlığı ↔ Tarım ve Orman; TSE ↔ Ticaret Bakanlığı; Kurul ↔ Bakanlık birimi; DTÖ ↔ DGÖ; OECD ↔ DTÖ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Uydurma ama makul eleman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İndirgeme yöntemi</w:t>
            </w:r>
            <w:r>
              <w:t xml:space="preserve">”</w:t>
            </w:r>
            <w:r>
              <w:t xml:space="preserve"> </w:t>
            </w:r>
            <w:r>
              <w:t xml:space="preserve">(TF),</w:t>
            </w:r>
            <w:r>
              <w:t xml:space="preserve"> </w:t>
            </w:r>
            <w:r>
              <w:t xml:space="preserve">“</w:t>
            </w:r>
            <w:r>
              <w:t xml:space="preserve">(V) sayılı liste</w:t>
            </w:r>
            <w:r>
              <w:t xml:space="preserve">”</w:t>
            </w:r>
            <w:r>
              <w:t xml:space="preserve"> </w:t>
            </w:r>
            <w:r>
              <w:t xml:space="preserve">(ÖTV),</w:t>
            </w:r>
            <w:r>
              <w:t xml:space="preserve"> </w:t>
            </w:r>
            <w:r>
              <w:t xml:space="preserve">“</w:t>
            </w:r>
            <w:r>
              <w:t xml:space="preserve">sözlü beyan formu</w:t>
            </w:r>
            <w:r>
              <w:t xml:space="preserve">”</w:t>
            </w:r>
            <w:r>
              <w:t xml:space="preserve">, eski EFTA üyesi olup AB’ye geçmiş ülke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Uzak ülke = anlaşma yok</w:t>
            </w:r>
            <w:r>
              <w:t xml:space="preserve">”</w:t>
            </w:r>
            <w:r>
              <w:t xml:space="preserve"> </w:t>
            </w:r>
            <w:r>
              <w:t xml:space="preserve">sezgisi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Faroe Adaları, Morityus, Singapur, Şili (STA var) ↔ Uruguay (yok)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serbesttir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kotaya tabidir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uygulanır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uygulanmaz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teşvik edilir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zorunludur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Sayı komşusu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125.000 / 185.000 / 250.000 TL; 180 / 90 gün; 1 / 2 yıl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Ceza hukuku ikizleri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Müsadere ↔ mülkiyetin kamuya geçirilmesi; soruşturma ↔ kesinleşmiş mahkûmiyet; el koyma ↔ alıkoyma; fikri içtima ↔ gerçek içtima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Normatif güç merdiveni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 / teşvik / yasak / karşılıklılık / düzenleme yok</w:t>
            </w:r>
          </w:p>
        </w:tc>
      </w:tr>
    </w:tbl>
    <w:bookmarkEnd w:id="29"/>
    <w:bookmarkStart w:id="30" w:name="aşama-5-doğrulama"/>
    <w:p>
      <w:pPr>
        <w:pStyle w:val="Heading3"/>
      </w:pPr>
      <w:r>
        <w:t xml:space="preserve">Aşama 5 — Doğrulama</w:t>
      </w:r>
    </w:p>
    <w:p>
      <w:pPr>
        <w:numPr>
          <w:ilvl w:val="0"/>
          <w:numId w:val="1006"/>
        </w:numPr>
        <w:pStyle w:val="Compact"/>
      </w:pPr>
      <w:r>
        <w:t xml:space="preserve">Ülke, taraf, oran ve eşik bilgisi</w:t>
      </w:r>
      <w:r>
        <w:t xml:space="preserve"> </w:t>
      </w:r>
      <w:r>
        <w:rPr>
          <w:bCs/>
          <w:b/>
        </w:rPr>
        <w:t xml:space="preserve">sınav yılı itibarıyla</w:t>
      </w:r>
      <w:r>
        <w:t xml:space="preserve"> </w:t>
      </w:r>
      <w:r>
        <w:t xml:space="preserve">doğru mu? Değilse soruyu üretme ve not düş.</w:t>
      </w:r>
    </w:p>
    <w:p>
      <w:pPr>
        <w:numPr>
          <w:ilvl w:val="0"/>
          <w:numId w:val="1006"/>
        </w:numPr>
        <w:pStyle w:val="Compact"/>
      </w:pPr>
      <w:r>
        <w:t xml:space="preserve">Belge ve liste eşleşmeleri kaynak metinle birebir uyumlu mu?</w:t>
      </w:r>
    </w:p>
    <w:p>
      <w:pPr>
        <w:numPr>
          <w:ilvl w:val="0"/>
          <w:numId w:val="1006"/>
        </w:numPr>
        <w:pStyle w:val="Compact"/>
      </w:pPr>
      <w:r>
        <w:t xml:space="preserve">5607 sorularında suç, kabahat ve idari yaptırım ayrımı karışmıyor mu?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kök-kaliplari-gerçek-sınavlardan"/>
    <w:p>
      <w:pPr>
        <w:pStyle w:val="Heading2"/>
      </w:pPr>
      <w:r>
        <w:t xml:space="preserve">4. KÖK KALIPLARI (gerçek sınavlardan)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Gümrük idaresine verilen aşağıdaki belgelerden hangisi damga vergisine tabidir?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AT-Türkiye 1/95 Ortaklık Konseyi Kararında hangi alan, Türkiye’nin, Topluluk Gümrük mevzuatına uyum sağlayacağı alanlar arasında</w:t>
      </w:r>
      <w:r>
        <w:t xml:space="preserve"> </w:t>
      </w:r>
      <w:r>
        <w:rPr>
          <w:bCs/>
          <w:b/>
        </w:rPr>
        <w:t xml:space="preserve">sayılmamıştır</w:t>
      </w:r>
      <w:r>
        <w:t xml:space="preserve">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Transfer fiyatlandırmasına ilişkin olarak Kurumlar Vergisi Kanununda yer alan düzenlemeler, hangi uluslararası kuruluş düzenlemeleri dikkate alınarak hazırlanmıştır?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4760 sayılı Özel Tüketim Vergisi Kanunu hükümleri çerçevesinde, aşağıdakilerden hangisi diplomatik istisna kapsamında</w:t>
      </w:r>
      <w:r>
        <w:t xml:space="preserve"> </w:t>
      </w:r>
      <w:r>
        <w:rPr>
          <w:bCs/>
          <w:b/>
        </w:rPr>
        <w:t xml:space="preserve">değildir</w:t>
      </w:r>
      <w:r>
        <w:t xml:space="preserve">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Katma Değer Vergisi (KDV) mevzuatına göre, belli istisnalar hariç olmak üzere, … ilişkin aşağıdaki ifadelerden hangisi doğrudur?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2006/10895 sayılı … Karara göre yukarıdakilerden hangileri için A.TR Dolaşım Belgesi düzenlenebilir?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…çerçevesinde eşyanın tercihli menşeini ispatlayan belge aşağıdakilerden hangisidir?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Aşağıdakilerden hangisi … çerçevesinde Menşe Belgesinin teknik nedenlerle reddini gerektiren durumlardan biri</w:t>
      </w:r>
      <w:r>
        <w:t xml:space="preserve"> </w:t>
      </w:r>
      <w:r>
        <w:rPr>
          <w:bCs/>
          <w:b/>
        </w:rPr>
        <w:t xml:space="preserve">değildir</w:t>
      </w:r>
      <w:r>
        <w:t xml:space="preserve">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Kambiyo mevzuatı çerçevesinde altın ithalatına ilişkin yukarıdaki ifadelerden hangisi/hangileri</w:t>
      </w:r>
      <w:r>
        <w:t xml:space="preserve"> </w:t>
      </w:r>
      <w:r>
        <w:rPr>
          <w:bCs/>
          <w:b/>
        </w:rPr>
        <w:t xml:space="preserve">yanlıştır</w:t>
      </w:r>
      <w:r>
        <w:t xml:space="preserve">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Yukarıdaki eşya gruplarından hangisi/hangileri ithalatta Dış Ticarette Risk Esaslı Kontrol Sistemi (TAREKS) üzerinden uygunluk denetimine tabidir?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İhracat Yönetmeliğine göre konsinye ihracata ilişkin olarak yukarıdaki ifadelerden hangileri doğrudur?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Aşağıdaki ülkelerden hangisi ile Türkiye arasında halen yürürlükte bulunan Serbest Ticaret Anlaşması yoktur?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5607 sayılı Kaçakçılıkla Mücadele Kanununa göre kaçakçılık suçunun işlenmesinde kullanılarak elkonulan taşıtın elkoyan mercilerce alıkonulması için; I. … II. … III. … koşullarından hangisinin/hangilerinin gerçekleşmesi gerekir?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…aşağıda yer alan tanımlara karşılık gelen belgelerin doğru sıralaması hangi seçenekte yer almaktadır?</w:t>
      </w:r>
      <w:r>
        <w:t xml:space="preserve">”</w:t>
      </w:r>
      <w:r>
        <w:t xml:space="preserve"> </w:t>
      </w:r>
      <w:r>
        <w:t xml:space="preserve">(INF formları)</w:t>
      </w:r>
    </w:p>
    <w:p>
      <w:r>
        <w:pict>
          <v:rect style="width:0;height:1.5pt" o:hralign="center" o:hrstd="t" o:hr="t"/>
        </w:pict>
      </w:r>
    </w:p>
    <w:bookmarkEnd w:id="32"/>
    <w:bookmarkStart w:id="33" w:name="tip-paylari-sair-bölümü-için-hedef"/>
    <w:p>
      <w:pPr>
        <w:pStyle w:val="Heading2"/>
      </w:pPr>
      <w:r>
        <w:t xml:space="preserve">5. TİP PAYLARI (sair bölümü için hedef)</w:t>
      </w:r>
    </w:p>
    <w:p>
      <w:pPr>
        <w:pStyle w:val="FirstParagraph"/>
      </w:pPr>
      <w:r>
        <w:t xml:space="preserve">Olumsuz %32–36 · Düz/liste %22–26 · Öncüllü %17–19 · Eşleştirme %5–8 · Kavram %5–6 · Doğru %5–6 · Boşluk %4–6 · Vaka %1–2.</w:t>
      </w:r>
      <w:r>
        <w:t xml:space="preserve"> </w:t>
      </w:r>
      <w:r>
        <w:t xml:space="preserve">(Gerçek sair sözel soruları: 5 yıl ortalaması olumsuz %36, düz %27, öncüllü %17, doğru %6, kavram %5, eşleştirme %5, boşluk %4, vaka %1. 2024–25’te eşleştirme %8’e, boşluk %6’ya çıktı. Hedef bantlar son iki yıla ağırlık verir.)</w:t>
      </w:r>
    </w:p>
    <w:p>
      <w:pPr>
        <w:pStyle w:val="BodyText"/>
      </w:pPr>
      <w:r>
        <w:rPr>
          <w:bCs/>
          <w:b/>
        </w:rPr>
        <w:t xml:space="preserve">Alt tip hedefi</w:t>
      </w:r>
      <w:r>
        <w:t xml:space="preserve"> </w:t>
      </w:r>
      <w:r>
        <w:t xml:space="preserve">(kodlar, gerçek örnekler ve üretim tarifleri</w:t>
      </w:r>
      <w:r>
        <w:t xml:space="preserve"> </w:t>
      </w:r>
      <w:r>
        <w:rPr>
          <w:rStyle w:val="VerbatimChar"/>
        </w:rPr>
        <w:t xml:space="preserve">12-SORU-TIPI-KATALOGU</w:t>
      </w:r>
      <w:r>
        <w:t xml:space="preserve"> </w:t>
      </w:r>
      <w:r>
        <w:t xml:space="preserve">dosyasında). Gerçek sair soruları (143): O1 %24 · O2 %10 (2024–25’te %5) · D3 %9 · D2 %8 · D6 %6 · Ö1 %6 · Ö3 %5 · K1 %5 · G1 %4 · Ö2 %4 · E1 %4 · B1 %3 · D4 %2.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Bölüm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tip hedefi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Sair bölümü (30 soru)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O1 7 · D3 3 · D2 2 · O2 2 · Ö1 2 · Ö3 2 · K1 2 · E1 2 · B1 1 · D6 1 · G1 1 · Ö2 1 · Ö4 1 · D4 1 · esnek 2 (G2, E3, D5, O3, Ö5)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O1 Sair’in dilidir:</w:t>
      </w:r>
      <w:r>
        <w:t xml:space="preserve"> </w:t>
      </w:r>
      <w:r>
        <w:t xml:space="preserve">taraf olmayan ülke, komşu listeden gerçek öğe, minimal çift (brüt/net, MRN/LRN), başka hukuk dalından kavram, uydurma ama inandırıcı terim (</w:t>
      </w:r>
      <w:r>
        <w:t xml:space="preserve">“</w:t>
      </w:r>
      <w:r>
        <w:t xml:space="preserve">indirgeme yöntemi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D3 O1’in aynasıdır:</w:t>
      </w:r>
      <w:r>
        <w:t xml:space="preserve"> </w:t>
      </w:r>
      <w:r>
        <w:t xml:space="preserve">dört istisna arasında tek tabi olan (damga vergisinde konşimento), AB üyeleri arasında tek EFTA üyesi.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D2’de dört hile:</w:t>
      </w:r>
      <w:r>
        <w:t xml:space="preserve"> </w:t>
      </w:r>
      <w:r>
        <w:t xml:space="preserve">anlaşma adından türetilmiş uydurma belge (TR-OZB), ikiz kavram (E/e işareti), ad benzerliği (DGÖ/DTÖ), kurum kaydırma.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D4 üçlü şık</w:t>
      </w:r>
      <w:r>
        <w:t xml:space="preserve"> </w:t>
      </w:r>
      <w:r>
        <w:t xml:space="preserve">(</w:t>
      </w:r>
      <w:r>
        <w:t xml:space="preserve">“</w:t>
      </w:r>
      <w:r>
        <w:t xml:space="preserve">hangi şıktaki ülkelerin tamamı ile STA vardır</w:t>
      </w:r>
      <w:r>
        <w:t xml:space="preserve">”</w:t>
      </w:r>
      <w:r>
        <w:t xml:space="preserve">): her yanlış üçlüde tek bir yabancı.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E1, B1, G2, Ö4</w:t>
      </w:r>
      <w:r>
        <w:t xml:space="preserve"> </w:t>
      </w:r>
      <w:r>
        <w:t xml:space="preserve">son iki yılda yükselen biçimler: anlaşma–belge, tebliğ–kurum eşleştirmesi; eşik/form adı boşluk matrisi; uluslararası anlaşmalarda normatif güç merdiveni (zorunlu/teşvik/düzenleme yok); kanundaki komşu koşullar.</w:t>
      </w:r>
    </w:p>
    <w:p>
      <w:r>
        <w:pict>
          <v:rect style="width:0;height:1.5pt" o:hralign="center" o:hrstd="t" o:hr="t"/>
        </w:pict>
      </w:r>
    </w:p>
    <w:bookmarkEnd w:id="33"/>
    <w:bookmarkStart w:id="34" w:name="dil-biçim-yasaklar"/>
    <w:p>
      <w:pPr>
        <w:pStyle w:val="Heading2"/>
      </w:pPr>
      <w:r>
        <w:t xml:space="preserve">6. DİL, BİÇİM, YASAKLAR</w:t>
      </w:r>
    </w:p>
    <w:p>
      <w:pPr>
        <w:numPr>
          <w:ilvl w:val="0"/>
          <w:numId w:val="1009"/>
        </w:numPr>
        <w:pStyle w:val="Compact"/>
      </w:pPr>
      <w:r>
        <w:t xml:space="preserve">Ülke, kurum ve belge adları resmî adlarıyla yazılır (Türkiye/Azerbaycan Tercihli Ticaret Anlaşması; EUR.1 Dolaşım Belgesi).</w:t>
      </w:r>
    </w:p>
    <w:p>
      <w:pPr>
        <w:numPr>
          <w:ilvl w:val="0"/>
          <w:numId w:val="1009"/>
        </w:numPr>
        <w:pStyle w:val="Compact"/>
      </w:pPr>
      <w:r>
        <w:t xml:space="preserve">Güncelliği belirsiz liste veya eşiği doğru cevap yapma. Gerekirse soruyu</w:t>
      </w:r>
      <w:r>
        <w:t xml:space="preserve"> </w:t>
      </w:r>
      <w:r>
        <w:t xml:space="preserve">“</w:t>
      </w:r>
      <w:r>
        <w:t xml:space="preserve">sınav yılı itibarıyla</w:t>
      </w:r>
      <w:r>
        <w:t xml:space="preserve">”</w:t>
      </w:r>
      <w:r>
        <w:t xml:space="preserve"> </w:t>
      </w:r>
      <w:r>
        <w:t xml:space="preserve">kaydıyla kur ve gerekçede kaynak tarihini yaz.</w:t>
      </w:r>
    </w:p>
    <w:p>
      <w:pPr>
        <w:numPr>
          <w:ilvl w:val="0"/>
          <w:numId w:val="1009"/>
        </w:numPr>
        <w:pStyle w:val="Compact"/>
      </w:pPr>
      <w:r>
        <w:t xml:space="preserve">Uydurma kurum, belge veya liste ancak</w:t>
      </w:r>
      <w:r>
        <w:t xml:space="preserve"> </w:t>
      </w:r>
      <w:r>
        <w:rPr>
          <w:bCs/>
          <w:b/>
        </w:rPr>
        <w:t xml:space="preserve">tek</w:t>
      </w:r>
      <w:r>
        <w:t xml:space="preserve"> </w:t>
      </w:r>
      <w:r>
        <w:t xml:space="preserve">çeldiricide ve gerçek dünyada makul ise kullanılır.</w:t>
      </w:r>
    </w:p>
    <w:p>
      <w:pPr>
        <w:numPr>
          <w:ilvl w:val="0"/>
          <w:numId w:val="1009"/>
        </w:numPr>
        <w:pStyle w:val="Compact"/>
      </w:pPr>
      <w:r>
        <w:t xml:space="preserve">Çıkmış soruyu kopyalama. Harf dağılımı N/5 ± 2. Doğru şıkkı hep en uzun yapma.</w:t>
      </w:r>
    </w:p>
    <w:p>
      <w:r>
        <w:pict>
          <v:rect style="width:0;height:1.5pt" o:hralign="center" o:hrstd="t" o:hr="t"/>
        </w:pict>
      </w:r>
    </w:p>
    <w:bookmarkEnd w:id="34"/>
    <w:bookmarkStart w:id="35" w:name="öz-denetim-ve-çikti"/>
    <w:p>
      <w:pPr>
        <w:pStyle w:val="Heading2"/>
      </w:pPr>
      <w:r>
        <w:t xml:space="preserve">7. ÖZ-DENETİM ve ÇIKTI</w:t>
      </w:r>
    </w:p>
    <w:p>
      <w:pPr>
        <w:pStyle w:val="FirstParagraph"/>
      </w:pPr>
      <w:r>
        <w:t xml:space="preserve">Genel promptun 10. ve 11. bölümleri aynen geçerlidir. Çıktı biçimi:</w:t>
      </w:r>
    </w:p>
    <w:p>
      <w:pPr>
        <w:pStyle w:val="SourceCode"/>
      </w:pPr>
      <w:r>
        <w:rPr>
          <w:rStyle w:val="VerbatimChar"/>
        </w:rPr>
        <w:t xml:space="preserve">### [Mevzuat adı – Madde/konu]</w:t>
      </w:r>
      <w:r>
        <w:br/>
      </w:r>
      <w:r>
        <w:rPr>
          <w:rStyle w:val="VerbatimChar"/>
        </w:rPr>
        <w:t xml:space="preserve">1- [Kök]</w:t>
      </w:r>
      <w:r>
        <w:br/>
      </w:r>
      <w:r>
        <w:rPr>
          <w:rStyle w:val="VerbatimChar"/>
        </w:rPr>
        <w:t xml:space="preserve">A) … B) … C) … D) … E) …</w:t>
      </w:r>
      <w:r>
        <w:br/>
      </w:r>
      <w:r>
        <w:rPr>
          <w:rStyle w:val="VerbatimChar"/>
        </w:rPr>
        <w:t xml:space="preserve">Doğru Cevap: X</w:t>
      </w:r>
      <w:r>
        <w:br/>
      </w:r>
      <w:r>
        <w:rPr>
          <w:rStyle w:val="VerbatimChar"/>
        </w:rPr>
        <w:t xml:space="preserve">Gerekçe: … (MD …)</w:t>
      </w:r>
      <w:r>
        <w:br/>
      </w:r>
      <w:r>
        <w:rPr>
          <w:rStyle w:val="VerbatimChar"/>
        </w:rPr>
        <w:t xml:space="preserve">Tuzak: …</w:t>
      </w:r>
      <w:r>
        <w:br/>
      </w:r>
      <w:r>
        <w:rPr>
          <w:rStyle w:val="VerbatimChar"/>
        </w:rPr>
        <w:t xml:space="preserve">Kalıp/Teknik: …</w:t>
      </w:r>
    </w:p>
    <w:p>
      <w:r>
        <w:pict>
          <v:rect style="width:0;height:1.5pt" o:hralign="center" o:hrstd="t" o:hr="t"/>
        </w:pict>
      </w:r>
    </w:p>
    <w:bookmarkEnd w:id="35"/>
    <w:bookmarkStart w:id="36" w:name="X244079943bbc8215793c0a6cf47e69ab333cbd5"/>
    <w:p>
      <w:pPr>
        <w:pStyle w:val="Heading2"/>
      </w:pPr>
      <w:r>
        <w:t xml:space="preserve">8. KALİBRASYON ÖRNEĞİ (tarzı gösterir; aynen kullanma)</w:t>
      </w:r>
    </w:p>
    <w:p>
      <w:pPr>
        <w:pStyle w:val="SourceCode"/>
      </w:pPr>
      <w:r>
        <w:rPr>
          <w:rStyle w:val="VerbatimChar"/>
        </w:rPr>
        <w:t xml:space="preserve">1- Tercihli ticarette kullanılan menşe ispat belgelerine ilişkin aşağıdaki eşleştirmelerden hangisi yanlıştır?</w:t>
      </w:r>
      <w:r>
        <w:br/>
      </w:r>
      <w:r>
        <w:rPr>
          <w:rStyle w:val="VerbatimChar"/>
        </w:rPr>
        <w:t xml:space="preserve">A) Türkiye–Gürcistan Serbest Ticaret Anlaşması – EUR.1 Dolaşım Belgesi</w:t>
      </w:r>
      <w:r>
        <w:br/>
      </w:r>
      <w:r>
        <w:rPr>
          <w:rStyle w:val="VerbatimChar"/>
        </w:rPr>
        <w:t xml:space="preserve">B) Türkiye–AB Gümrük Birliği kapsamındaki sanayi ürünleri – A.TR Dolaşım Belgesi</w:t>
      </w:r>
      <w:r>
        <w:br/>
      </w:r>
      <w:r>
        <w:rPr>
          <w:rStyle w:val="VerbatimChar"/>
        </w:rPr>
        <w:t xml:space="preserve">C) Türkiye–AB arasında AKÇT ürünleri – EUR.1 Dolaşım Belgesi</w:t>
      </w:r>
      <w:r>
        <w:br/>
      </w:r>
      <w:r>
        <w:rPr>
          <w:rStyle w:val="VerbatimChar"/>
        </w:rPr>
        <w:t xml:space="preserve">D) Genelleştirilmiş Tercihler Sistemi – Form A Menşe Belgesi</w:t>
      </w:r>
      <w:r>
        <w:br/>
      </w:r>
      <w:r>
        <w:rPr>
          <w:rStyle w:val="VerbatimChar"/>
        </w:rPr>
        <w:t xml:space="preserve">E) Türkiye–İran Tercihli Ticaret Anlaşması – EUR.1 Dolaşım Belgesi</w:t>
      </w:r>
      <w:r>
        <w:br/>
      </w:r>
      <w:r>
        <w:br/>
      </w:r>
      <w:r>
        <w:rPr>
          <w:rStyle w:val="VerbatimChar"/>
        </w:rPr>
        <w:t xml:space="preserve">Doğru Cevap: E</w:t>
      </w:r>
      <w:r>
        <w:br/>
      </w:r>
      <w:r>
        <w:rPr>
          <w:rStyle w:val="VerbatimChar"/>
        </w:rPr>
        <w:t xml:space="preserve">Gerekçe: Gümrük Birliği kapsamındaki sanayi ürünlerinde A.TR, AKÇT ve tarım ürünlerinde EUR.1, GTS'de Form A kullanılır; Gürcistan STA'sı EUR.1 sistemindedir. Türkiye–İran TTA'sı EUR.1 sisteminde değildir; anlaşmanın kendi menşe kurallarında öngörülen belge kullanılır. (İlgili anlaşmaların menşe protokolleri)</w:t>
      </w:r>
      <w:r>
        <w:br/>
      </w:r>
      <w:r>
        <w:rPr>
          <w:rStyle w:val="VerbatimChar"/>
        </w:rPr>
        <w:t xml:space="preserve">Tuzak: "Her tercihli anlaşma = EUR.1" genellemesi.</w:t>
      </w:r>
      <w:r>
        <w:br/>
      </w:r>
      <w:r>
        <w:rPr>
          <w:rStyle w:val="VerbatimChar"/>
        </w:rPr>
        <w:t xml:space="preserve">Kalıp/Teknik: E1 – belge – belge kaydırma</w:t>
      </w:r>
    </w:p>
    <w:p>
      <w:pPr>
        <w:pStyle w:val="BlockText"/>
      </w:pPr>
      <w:r>
        <w:t xml:space="preserve">Not: Örnekteki bilgi 2022–2024 sınavlarında üç kez ölçülmüştür. Üretimde anlaşmaların güncel menşe hükümlerini kaynak metinden doğrula.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634">
    <w:nsid w:val="A99634"/>
    <w:multiLevelType w:val="multilevel"/>
    <w:lvl w:ilvl="0">
      <w:start w:val="4"/>
      <w:numFmt w:val="upperRoman"/>
      <w:lvlText w:val="(%1)"/>
      <w:lvlJc w:val="left"/>
      <w:pPr>
        <w:ind w:left="720" w:hanging="480"/>
      </w:pPr>
    </w:lvl>
    <w:lvl w:ilvl="1">
      <w:start w:val="4"/>
      <w:numFmt w:val="upperRoman"/>
      <w:lvlText w:val="(%2)"/>
      <w:lvlJc w:val="left"/>
      <w:pPr>
        <w:ind w:left="1440" w:hanging="480"/>
      </w:pPr>
    </w:lvl>
    <w:lvl w:ilvl="2">
      <w:start w:val="4"/>
      <w:numFmt w:val="upperRoman"/>
      <w:lvlText w:val="(%3)"/>
      <w:lvlJc w:val="left"/>
      <w:pPr>
        <w:ind w:left="2160" w:hanging="480"/>
      </w:pPr>
    </w:lvl>
    <w:lvl w:ilvl="3">
      <w:start w:val="4"/>
      <w:numFmt w:val="upperRoman"/>
      <w:lvlText w:val="(%4)"/>
      <w:lvlJc w:val="left"/>
      <w:pPr>
        <w:ind w:left="2880" w:hanging="480"/>
      </w:pPr>
    </w:lvl>
    <w:lvl w:ilvl="4">
      <w:start w:val="4"/>
      <w:numFmt w:val="upperRoman"/>
      <w:lvlText w:val="(%5)"/>
      <w:lvlJc w:val="left"/>
      <w:pPr>
        <w:ind w:left="3600" w:hanging="480"/>
      </w:pPr>
    </w:lvl>
    <w:lvl w:ilvl="5">
      <w:start w:val="4"/>
      <w:numFmt w:val="upperRoman"/>
      <w:lvlText w:val="(%6)"/>
      <w:lvlJc w:val="left"/>
      <w:pPr>
        <w:ind w:left="4320" w:hanging="480"/>
      </w:pPr>
    </w:lvl>
    <w:lvl w:ilvl="6">
      <w:start w:val="4"/>
      <w:numFmt w:val="upperRoman"/>
      <w:lvlText w:val="(%7)"/>
      <w:lvlJc w:val="left"/>
      <w:pPr>
        <w:ind w:left="5040" w:hanging="480"/>
      </w:pPr>
    </w:lvl>
    <w:lvl w:ilvl="7">
      <w:start w:val="4"/>
      <w:numFmt w:val="upperRoman"/>
      <w:lvlText w:val="(%8)"/>
      <w:lvlJc w:val="left"/>
      <w:pPr>
        <w:ind w:left="5760" w:hanging="480"/>
      </w:pPr>
    </w:lvl>
    <w:lvl w:ilvl="8">
      <w:start w:val="4"/>
      <w:numFmt w:val="upp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6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1B3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2026-10-08T09:14:27Z</dcterms:created>
  <dcterms:modified xsi:type="dcterms:W3CDTF">2026-10-08T09:14:27Z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