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akanlik-soru-yazarinin-zihni"/>
    <w:p>
      <w:pPr>
        <w:pStyle w:val="Heading1"/>
      </w:pPr>
      <w:r>
        <w:t xml:space="preserve">BAKANLIK SORU YAZARININ ZİHNİ</w:t>
      </w:r>
    </w:p>
    <w:bookmarkStart w:id="20" w:name="X2c3549c5fcda7bb15c8d5a679b9bd0b9d3bce39"/>
    <w:p>
      <w:pPr>
        <w:pStyle w:val="Heading2"/>
      </w:pPr>
      <w:r>
        <w:t xml:space="preserve">Gümrük Müşavirliği Sınavı 2021–2025: 500 sorunun soru-soru analizi</w:t>
      </w:r>
    </w:p>
    <w:p>
      <w:pPr>
        <w:pStyle w:val="BlockText"/>
      </w:pPr>
      <w:r>
        <w:rPr>
          <w:bCs/>
          <w:b/>
        </w:rPr>
        <w:t xml:space="preserve">Kaynak:</w:t>
      </w:r>
      <w:r>
        <w:t xml:space="preserve"> </w:t>
      </w:r>
      <w:r>
        <w:rPr>
          <w:rStyle w:val="VerbatimChar"/>
        </w:rPr>
        <w:t xml:space="preserve">gmcikmislar</w:t>
      </w:r>
      <w:r>
        <w:t xml:space="preserve"> </w:t>
      </w:r>
      <w:r>
        <w:t xml:space="preserve">deposundaki 2021, 2022, 2023, 2024 ve 2025 GM sınavı kitapçıkları (kırmızı işaretli doğru cevaplarla). 500 sorunun her biri tek tek etiketlendi: alan, alt konu, dayanak, kök tipi, ölçülen bilgi türü, doğru cevap, çeldirici mantığı, soru yazarının hedefi, zorluk. Yıl yıl ayrıntılı tablolar</w:t>
      </w:r>
      <w:r>
        <w:t xml:space="preserve"> </w:t>
      </w:r>
      <w:r>
        <w:rPr>
          <w:rStyle w:val="VerbatimChar"/>
        </w:rPr>
        <w:t xml:space="preserve">gmcikmislar/analiz/</w:t>
      </w:r>
      <w:r>
        <w:t xml:space="preserve"> </w:t>
      </w:r>
      <w:r>
        <w:t xml:space="preserve">klasöründedir.</w:t>
      </w:r>
    </w:p>
    <w:p>
      <w:pPr>
        <w:pStyle w:val="BlockText"/>
      </w:pPr>
      <w:r>
        <w:rPr>
          <w:bCs/>
          <w:b/>
        </w:rPr>
        <w:t xml:space="preserve">Bu belgenin amacı:</w:t>
      </w:r>
      <w:r>
        <w:t xml:space="preserve"> </w:t>
      </w:r>
      <w:r>
        <w:t xml:space="preserve">“</w:t>
      </w:r>
      <w:r>
        <w:t xml:space="preserve">Bakanlıkta soruyu hazırlayan kişi neyi düşündü, neden böyle sordu, neyi hedefledi?</w:t>
      </w:r>
      <w:r>
        <w:t xml:space="preserve">”</w:t>
      </w:r>
      <w:r>
        <w:t xml:space="preserve"> </w:t>
      </w:r>
      <w:r>
        <w:t xml:space="preserve">sorusuna veriyle cevap vermek ve bu cevabı soru/ders notu promptlarının temeli yapmak.</w:t>
      </w:r>
    </w:p>
    <w:p>
      <w:r>
        <w:pict>
          <v:rect style="width:0;height:1.5pt" o:hralign="center" o:hrstd="t" o:hr="t"/>
        </w:pict>
      </w:r>
    </w:p>
    <w:bookmarkEnd w:id="20"/>
    <w:bookmarkStart w:id="21" w:name="kisa-cevap-bakanlık-5-yıldır-ne-yapıyor"/>
    <w:p>
      <w:pPr>
        <w:pStyle w:val="Heading2"/>
      </w:pPr>
      <w:r>
        <w:t xml:space="preserve">0. KISA CEVAP — Bakanlık 5 yıldır ne yapıyor?</w:t>
      </w:r>
    </w:p>
    <w:p>
      <w:pPr>
        <w:numPr>
          <w:ilvl w:val="0"/>
          <w:numId w:val="1001"/>
        </w:numPr>
        <w:pStyle w:val="Compact"/>
      </w:pPr>
      <w:r>
        <w:rPr>
          <w:bCs/>
          <w:b/>
        </w:rPr>
        <w:t xml:space="preserve">Mevzuat cümlesini masaya koyuyor, tek unsurunu bozuyor.</w:t>
      </w:r>
      <w:r>
        <w:t xml:space="preserve"> </w:t>
      </w:r>
      <w:r>
        <w:t xml:space="preserve">Sözel soruların büyük çoğunluğunda dört şık mevzuat metninden neredeyse kelimesi kelimesine alınmış; tek şıkta</w:t>
      </w:r>
      <w:r>
        <w:t xml:space="preserve"> </w:t>
      </w:r>
      <w:r>
        <w:rPr>
          <w:iCs/>
          <w:i/>
        </w:rPr>
        <w:t xml:space="preserve">bir</w:t>
      </w:r>
      <w:r>
        <w:t xml:space="preserve"> </w:t>
      </w:r>
      <w:r>
        <w:t xml:space="preserve">unsur (süre, makam, oran,</w:t>
      </w:r>
      <w:r>
        <w:t xml:space="preserve"> </w:t>
      </w:r>
      <w:r>
        <w:t xml:space="preserve">“</w:t>
      </w:r>
      <w:r>
        <w:t xml:space="preserve">yalnızca</w:t>
      </w:r>
      <w:r>
        <w:t xml:space="preserve">”</w:t>
      </w:r>
      <w:r>
        <w:t xml:space="preserve">,</w:t>
      </w:r>
      <w:r>
        <w:t xml:space="preserve"> </w:t>
      </w:r>
      <w:r>
        <w:t xml:space="preserve">“</w:t>
      </w:r>
      <w:r>
        <w:t xml:space="preserve">aranır/aranmaz</w:t>
      </w:r>
      <w:r>
        <w:t xml:space="preserve">”</w:t>
      </w:r>
      <w:r>
        <w:t xml:space="preserve">, rejim adı, belge adı) değiştirilmiş. Bu, itiraz edilemeyecek tek doğru cevabı üretmenin en güvenli yoludur. Olumsuz köklerin bu kadar baskın olmasının asıl sebebi budur.</w:t>
      </w:r>
    </w:p>
    <w:p>
      <w:pPr>
        <w:numPr>
          <w:ilvl w:val="0"/>
          <w:numId w:val="1001"/>
        </w:numPr>
        <w:pStyle w:val="Compact"/>
      </w:pPr>
      <w:r>
        <w:rPr>
          <w:bCs/>
          <w:b/>
        </w:rPr>
        <w:t xml:space="preserve">“</w:t>
      </w:r>
      <w:r>
        <w:rPr>
          <w:bCs/>
          <w:b/>
        </w:rPr>
        <w:t xml:space="preserve">Ezberleyeni</w:t>
      </w:r>
      <w:r>
        <w:rPr>
          <w:bCs/>
          <w:b/>
        </w:rPr>
        <w:t xml:space="preserve">”</w:t>
      </w:r>
      <w:r>
        <w:rPr>
          <w:bCs/>
          <w:b/>
        </w:rPr>
        <w:t xml:space="preserve"> </w:t>
      </w:r>
      <w:r>
        <w:rPr>
          <w:bCs/>
          <w:b/>
        </w:rPr>
        <w:t xml:space="preserve">değil</w:t>
      </w:r>
      <w:r>
        <w:rPr>
          <w:bCs/>
          <w:b/>
        </w:rPr>
        <w:t xml:space="preserve"> </w:t>
      </w:r>
      <w:r>
        <w:rPr>
          <w:bCs/>
          <w:b/>
        </w:rPr>
        <w:t xml:space="preserve">“</w:t>
      </w:r>
      <w:r>
        <w:rPr>
          <w:bCs/>
          <w:b/>
        </w:rPr>
        <w:t xml:space="preserve">ayırt edeni</w:t>
      </w:r>
      <w:r>
        <w:rPr>
          <w:bCs/>
          <w:b/>
        </w:rPr>
        <w:t xml:space="preserve">”</w:t>
      </w:r>
      <w:r>
        <w:rPr>
          <w:bCs/>
          <w:b/>
        </w:rPr>
        <w:t xml:space="preserve"> </w:t>
      </w:r>
      <w:r>
        <w:rPr>
          <w:bCs/>
          <w:b/>
        </w:rPr>
        <w:t xml:space="preserve">seçmek istiyor.</w:t>
      </w:r>
      <w:r>
        <w:t xml:space="preserve"> </w:t>
      </w:r>
      <w:r>
        <w:t xml:space="preserve">Soruların büyük kısmı birbirine çok benzeyen iki kuralın farkına dayanıyor: tam/kısmi muafiyet, askıya alma/iptal, satış/alım komisyonu, genel/özel antrepo, ithalat/ihracat beyannamesi tarihi, BTB/BMB, LRN/MRN/GRN, STA/TTA, A.TR/EUR.1, gecikme faizi/zammı, müsadere/mülkiyetin kamuya geçirilmesi.</w:t>
      </w:r>
    </w:p>
    <w:p>
      <w:pPr>
        <w:numPr>
          <w:ilvl w:val="0"/>
          <w:numId w:val="1001"/>
        </w:numPr>
        <w:pStyle w:val="Compact"/>
      </w:pPr>
      <w:r>
        <w:rPr>
          <w:bCs/>
          <w:b/>
        </w:rPr>
        <w:t xml:space="preserve">Müşavirin cebinden çıkacak parayı ölçüyor.</w:t>
      </w:r>
      <w:r>
        <w:t xml:space="preserve"> </w:t>
      </w:r>
      <w:r>
        <w:t xml:space="preserve">Gümrük kıymeti ve KDV matrahı 2021–2024’te her yıl 11–14 soru, 2025’te 6–8 soru; 5 yılın en çok sorulan tek konusu. Müşavir dolaylı temsilci olarak müteselsil sorumlu olduğu için en pahalı hata kıymet ve GTİP hatasıdır. Bakanlık bu yüzden kıymeti tanımla değil</w:t>
      </w:r>
      <w:r>
        <w:t xml:space="preserve"> </w:t>
      </w:r>
      <w:r>
        <w:t xml:space="preserve">“</w:t>
      </w:r>
      <w:r>
        <w:rPr>
          <w:bCs/>
          <w:b/>
        </w:rPr>
        <w:t xml:space="preserve">hangi kalem girer, hangisi girmez</w:t>
      </w:r>
      <w:r>
        <w:t xml:space="preserve">”</w:t>
      </w:r>
      <w:r>
        <w:t xml:space="preserve"> </w:t>
      </w:r>
      <w:r>
        <w:t xml:space="preserve">eleğiyle soruyor.</w:t>
      </w:r>
    </w:p>
    <w:p>
      <w:pPr>
        <w:numPr>
          <w:ilvl w:val="0"/>
          <w:numId w:val="1001"/>
        </w:numPr>
        <w:pStyle w:val="Compact"/>
      </w:pPr>
      <w:r>
        <w:rPr>
          <w:bCs/>
          <w:b/>
        </w:rPr>
        <w:t xml:space="preserve">Tarifede sezgiyi cezalandırıyor.</w:t>
      </w:r>
      <w:r>
        <w:t xml:space="preserve"> </w:t>
      </w:r>
      <w:r>
        <w:t xml:space="preserve">“</w:t>
      </w:r>
      <w:r>
        <w:t xml:space="preserve">Adında</w:t>
      </w:r>
      <w:r>
        <w:t xml:space="preserve"> </w:t>
      </w:r>
      <w:r>
        <w:rPr>
          <w:iCs/>
          <w:i/>
        </w:rPr>
        <w:t xml:space="preserve">saat</w:t>
      </w:r>
      <w:r>
        <w:t xml:space="preserve"> </w:t>
      </w:r>
      <w:r>
        <w:t xml:space="preserve">geçen eşya 91’dedir</w:t>
      </w:r>
      <w:r>
        <w:t xml:space="preserve">”</w:t>
      </w:r>
      <w:r>
        <w:t xml:space="preserve">,</w:t>
      </w:r>
      <w:r>
        <w:t xml:space="preserve"> </w:t>
      </w:r>
      <w:r>
        <w:t xml:space="preserve">“</w:t>
      </w:r>
      <w:r>
        <w:t xml:space="preserve">kauçuktan olan 40’tadır</w:t>
      </w:r>
      <w:r>
        <w:t xml:space="preserve">”</w:t>
      </w:r>
      <w:r>
        <w:t xml:space="preserve">,</w:t>
      </w:r>
      <w:r>
        <w:t xml:space="preserve"> </w:t>
      </w:r>
      <w:r>
        <w:t xml:space="preserve">“</w:t>
      </w:r>
      <w:r>
        <w:t xml:space="preserve">araba parçası 87’dedir</w:t>
      </w:r>
      <w:r>
        <w:t xml:space="preserve">”</w:t>
      </w:r>
      <w:r>
        <w:t xml:space="preserve"> </w:t>
      </w:r>
      <w:r>
        <w:t xml:space="preserve">diyen aday kaybediyor. Ölçülen şey pozisyon ezberi değil;</w:t>
      </w:r>
      <w:r>
        <w:t xml:space="preserve"> </w:t>
      </w:r>
      <w:r>
        <w:rPr>
          <w:bCs/>
          <w:b/>
        </w:rPr>
        <w:t xml:space="preserve">fasıl/bölüm notlarındaki hariçler, izahname ve GYKK</w:t>
      </w:r>
      <w:r>
        <w:t xml:space="preserve">.</w:t>
      </w:r>
    </w:p>
    <w:p>
      <w:pPr>
        <w:numPr>
          <w:ilvl w:val="0"/>
          <w:numId w:val="1001"/>
        </w:numPr>
        <w:pStyle w:val="Compact"/>
      </w:pPr>
      <w:r>
        <w:rPr>
          <w:bCs/>
          <w:b/>
        </w:rPr>
        <w:t xml:space="preserve">Hesapta formülü değil hukuki kuralı ölçüyor.</w:t>
      </w:r>
      <w:r>
        <w:t xml:space="preserve"> </w:t>
      </w:r>
      <w:r>
        <w:t xml:space="preserve">Yanlış şıkların neredeyse hepsi tek bir kalemin yanlış tarafa konmasıyla üretilmiş (</w:t>
      </w:r>
      <w:r>
        <w:t xml:space="preserve">“</w:t>
      </w:r>
      <w:r>
        <w:t xml:space="preserve">merdiven</w:t>
      </w:r>
      <w:r>
        <w:t xml:space="preserve">”</w:t>
      </w:r>
      <w:r>
        <w:t xml:space="preserve"> </w:t>
      </w:r>
      <w:r>
        <w:t xml:space="preserve">şıklar). Soruda kullanılmaması gereken tuzak veri var. Bazı sorular hesap gibi görünüp hesap gerektirmiyor.</w:t>
      </w:r>
    </w:p>
    <w:p>
      <w:pPr>
        <w:numPr>
          <w:ilvl w:val="0"/>
          <w:numId w:val="1001"/>
        </w:numPr>
        <w:pStyle w:val="Compact"/>
      </w:pPr>
      <w:r>
        <w:rPr>
          <w:bCs/>
          <w:b/>
        </w:rPr>
        <w:t xml:space="preserve">Güncel değişikliği takip edip etmediğine bakıyor.</w:t>
      </w:r>
      <w:r>
        <w:t xml:space="preserve"> </w:t>
      </w:r>
      <w:r>
        <w:t xml:space="preserve">Her yıl yaklaşık 8–12 soru o yıl veya bir önceki yıl yürürlüğe giren düzenlemeye dayanıyor. Örnekler: HS 2022, KDV %20, yeni STA/TTA’lar, posta/hızlı kargo eşikleri, nakit beyan eşiği, asgari ücret tarifesi (her yıl!), yeniden değerlenen teminat tutarları, yıllık ithalat denetimi tebliğleri.</w:t>
      </w:r>
    </w:p>
    <w:p>
      <w:pPr>
        <w:numPr>
          <w:ilvl w:val="0"/>
          <w:numId w:val="1001"/>
        </w:numPr>
        <w:pStyle w:val="Compact"/>
      </w:pPr>
      <w:r>
        <w:rPr>
          <w:bCs/>
          <w:b/>
        </w:rPr>
        <w:t xml:space="preserve">Kanundan çok yönetmelik ve tebliğ soruyor.</w:t>
      </w:r>
      <w:r>
        <w:t xml:space="preserve"> </w:t>
      </w:r>
      <w:r>
        <w:t xml:space="preserve">Son üç yılda ağırlık Gümrük Kanunu’ndan Gümrük Yönetmeliği’ne, genel tebliğlere (Transit Seri 4-5, Nihai Kullanım, Serbest Dolaşım Seri 16) ve 2009/15481 sayılı Karar’a kaydı. Kenar köşeler de soruluyor: BS kodu, YGM tespit kodları, ücret tarifesi, gümrüksüz satış mağazası, statü belgesi.</w:t>
      </w:r>
    </w:p>
    <w:p>
      <w:pPr>
        <w:numPr>
          <w:ilvl w:val="0"/>
          <w:numId w:val="1001"/>
        </w:numPr>
        <w:pStyle w:val="Compact"/>
      </w:pPr>
      <w:r>
        <w:rPr>
          <w:bCs/>
          <w:b/>
        </w:rPr>
        <w:t xml:space="preserve">Soru tiplerini çeşitlendiriyor.</w:t>
      </w:r>
      <w:r>
        <w:t xml:space="preserve"> </w:t>
      </w:r>
      <w:r>
        <w:t xml:space="preserve">2021’de soruların %55’i düz olumsuz kökle sorulurken 2025’te bu oran %30’a indi. Öncüllü (4 → 17), boşluk (0 → 5) ve eşleştirme (1 → 5) soruları arttı. Amaç eleme stratejisini kırmak ve bir soruda birden çok bilgiyi ölçmek.</w:t>
      </w:r>
    </w:p>
    <w:p>
      <w:pPr>
        <w:numPr>
          <w:ilvl w:val="0"/>
          <w:numId w:val="1001"/>
        </w:numPr>
        <w:pStyle w:val="Compact"/>
      </w:pPr>
      <w:r>
        <w:rPr>
          <w:bCs/>
          <w:b/>
        </w:rPr>
        <w:t xml:space="preserve">Aynı paragraftan seri soru çıkarıyor.</w:t>
      </w:r>
      <w:r>
        <w:t xml:space="preserve"> </w:t>
      </w:r>
      <w:r>
        <w:t xml:space="preserve">Bir hükmü açınca 2–6 soru arka arkaya geliyor; ilk soruda kural, ikincide vaka. Örnekler: 2025’te transit 65–70, antrepo 78–83, geçici ithalat 87→88; 2023’te kıymet 72→73 ve 81→82.</w:t>
      </w:r>
    </w:p>
    <w:p>
      <w:pPr>
        <w:numPr>
          <w:ilvl w:val="0"/>
          <w:numId w:val="1001"/>
        </w:numPr>
        <w:pStyle w:val="Compact"/>
      </w:pPr>
      <w:r>
        <w:rPr>
          <w:bCs/>
          <w:b/>
        </w:rPr>
        <w:t xml:space="preserve">Hata da yapıyor.</w:t>
      </w:r>
      <w:r>
        <w:t xml:space="preserve"> </w:t>
      </w:r>
      <w:r>
        <w:t xml:space="preserve">5 yılda en az 5–6 soruda anahtar tartışmalı ya da basım hatalı: 2021/89-90, 2022/94, 2023/72-73 (10 kat ölçek), 2024/46, 2025/12 ve 16. Soru bankası hazırlarken bu hatalar</w:t>
      </w:r>
      <w:r>
        <w:t xml:space="preserve"> </w:t>
      </w:r>
      <w:r>
        <w:rPr>
          <w:bCs/>
          <w:b/>
        </w:rPr>
        <w:t xml:space="preserve">taklit edilmeyecek</w:t>
      </w:r>
      <w:r>
        <w:t xml:space="preserve">, ders olarak alınacak.</w:t>
      </w:r>
    </w:p>
    <w:p>
      <w:r>
        <w:pict>
          <v:rect style="width:0;height:1.5pt" o:hralign="center" o:hrstd="t" o:hr="t"/>
        </w:pict>
      </w:r>
    </w:p>
    <w:bookmarkEnd w:id="21"/>
    <w:bookmarkStart w:id="28" w:name="sinavin-mimarisi-5-yılın-sayıları"/>
    <w:p>
      <w:pPr>
        <w:pStyle w:val="Heading2"/>
      </w:pPr>
      <w:r>
        <w:t xml:space="preserve">1. SINAVIN MİMARİSİ (5 yılın sayıları)</w:t>
      </w:r>
    </w:p>
    <w:p>
      <w:pPr>
        <w:pStyle w:val="FirstParagraph"/>
      </w:pPr>
      <w:r>
        <w:rPr>
          <w:bCs/>
          <w:b/>
        </w:rPr>
        <w:t xml:space="preserve">Sabitler:</w:t>
      </w:r>
      <w:r>
        <w:t xml:space="preserve"> </w:t>
      </w:r>
      <w:r>
        <w:t xml:space="preserve">100 soru, 5 şık, 150 dakika. Yanlış doğruyu götürmüyor (2025 kapağı:</w:t>
      </w:r>
      <w:r>
        <w:t xml:space="preserve"> </w:t>
      </w:r>
      <w:r>
        <w:t xml:space="preserve">“</w:t>
      </w:r>
      <w:r>
        <w:t xml:space="preserve">değerlendirme sadece doğru cevap sayısı üzerinden</w:t>
      </w:r>
      <w:r>
        <w:t xml:space="preserve">”</w:t>
      </w:r>
      <w:r>
        <w:t xml:space="preserve">). Kitapçıklar 2022’den itibaren Hacettepe Üniversitesi YBM tarafından basılıp uygulanıyor.</w:t>
      </w:r>
    </w:p>
    <w:bookmarkStart w:id="22" w:name="alan-dağılımı"/>
    <w:p>
      <w:pPr>
        <w:pStyle w:val="Heading3"/>
      </w:pPr>
      <w:r>
        <w:t xml:space="preserve">1.1 Alan dağılımı</w:t>
      </w:r>
    </w:p>
    <w:tbl>
      <w:tblPr>
        <w:tblStyle w:val="Table"/>
        <w:tblW w:type="pct" w:w="5000"/>
        <w:tblLook w:firstRow="1" w:lastRow="0" w:firstColumn="0" w:lastColumn="0" w:noHBand="0" w:noVBand="0" w:val="0020"/>
        <w:jc w:val="start"/>
      </w:tblPr>
      <w:tblGrid>
        <w:gridCol w:w="1980"/>
        <w:gridCol w:w="729"/>
        <w:gridCol w:w="729"/>
        <w:gridCol w:w="729"/>
        <w:gridCol w:w="729"/>
        <w:gridCol w:w="729"/>
        <w:gridCol w:w="937"/>
        <w:gridCol w:w="1354"/>
      </w:tblGrid>
      <w:tr>
        <w:trPr>
          <w:tblHeader w:val="true"/>
        </w:trPr>
        <w:tc>
          <w:tcPr/>
          <w:p>
            <w:pPr>
              <w:pStyle w:val="Compact"/>
              <w:jc w:val="left"/>
            </w:pPr>
            <w:r>
              <w:t xml:space="preserve">Alan</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5 yıl ort.</w:t>
            </w:r>
          </w:p>
        </w:tc>
        <w:tc>
          <w:tcPr/>
          <w:p>
            <w:pPr>
              <w:pStyle w:val="Compact"/>
              <w:jc w:val="left"/>
            </w:pPr>
            <w:r>
              <w:t xml:space="preserve">Son 3 yıl ort.</w:t>
            </w:r>
          </w:p>
        </w:tc>
      </w:tr>
      <w:tr>
        <w:tc>
          <w:tcPr/>
          <w:p>
            <w:pPr>
              <w:pStyle w:val="Compact"/>
              <w:jc w:val="left"/>
            </w:pPr>
            <w:r>
              <w:t xml:space="preserve">Gümrük Mevzuatı (GM)</w:t>
            </w:r>
          </w:p>
        </w:tc>
        <w:tc>
          <w:tcPr/>
          <w:p>
            <w:pPr>
              <w:pStyle w:val="Compact"/>
              <w:jc w:val="left"/>
            </w:pPr>
            <w:r>
              <w:t xml:space="preserve">55</w:t>
            </w:r>
          </w:p>
        </w:tc>
        <w:tc>
          <w:tcPr/>
          <w:p>
            <w:pPr>
              <w:pStyle w:val="Compact"/>
              <w:jc w:val="left"/>
            </w:pPr>
            <w:r>
              <w:t xml:space="preserve">44</w:t>
            </w:r>
          </w:p>
        </w:tc>
        <w:tc>
          <w:tcPr/>
          <w:p>
            <w:pPr>
              <w:pStyle w:val="Compact"/>
              <w:jc w:val="left"/>
            </w:pPr>
            <w:r>
              <w:t xml:space="preserve">41</w:t>
            </w:r>
          </w:p>
        </w:tc>
        <w:tc>
          <w:tcPr/>
          <w:p>
            <w:pPr>
              <w:pStyle w:val="Compact"/>
              <w:jc w:val="left"/>
            </w:pPr>
            <w:r>
              <w:t xml:space="preserve">40</w:t>
            </w:r>
          </w:p>
        </w:tc>
        <w:tc>
          <w:tcPr/>
          <w:p>
            <w:pPr>
              <w:pStyle w:val="Compact"/>
              <w:jc w:val="left"/>
            </w:pPr>
            <w:r>
              <w:t xml:space="preserve">42</w:t>
            </w:r>
          </w:p>
        </w:tc>
        <w:tc>
          <w:tcPr/>
          <w:p>
            <w:pPr>
              <w:pStyle w:val="Compact"/>
              <w:jc w:val="left"/>
            </w:pPr>
            <w:r>
              <w:rPr>
                <w:bCs/>
                <w:b/>
              </w:rPr>
              <w:t xml:space="preserve">44</w:t>
            </w:r>
          </w:p>
        </w:tc>
        <w:tc>
          <w:tcPr/>
          <w:p>
            <w:pPr>
              <w:pStyle w:val="Compact"/>
              <w:jc w:val="left"/>
            </w:pPr>
            <w:r>
              <w:rPr>
                <w:bCs/>
                <w:b/>
              </w:rPr>
              <w:t xml:space="preserve">41</w:t>
            </w:r>
          </w:p>
        </w:tc>
      </w:tr>
      <w:tr>
        <w:tc>
          <w:tcPr/>
          <w:p>
            <w:pPr>
              <w:pStyle w:val="Compact"/>
              <w:jc w:val="left"/>
            </w:pPr>
            <w:r>
              <w:t xml:space="preserve">Sair Mevzuat</w:t>
            </w:r>
          </w:p>
        </w:tc>
        <w:tc>
          <w:tcPr/>
          <w:p>
            <w:pPr>
              <w:pStyle w:val="Compact"/>
              <w:jc w:val="left"/>
            </w:pPr>
            <w:r>
              <w:t xml:space="preserve">25</w:t>
            </w:r>
          </w:p>
        </w:tc>
        <w:tc>
          <w:tcPr/>
          <w:p>
            <w:pPr>
              <w:pStyle w:val="Compact"/>
              <w:jc w:val="left"/>
            </w:pPr>
            <w:r>
              <w:t xml:space="preserve">30</w:t>
            </w:r>
          </w:p>
        </w:tc>
        <w:tc>
          <w:tcPr/>
          <w:p>
            <w:pPr>
              <w:pStyle w:val="Compact"/>
              <w:jc w:val="left"/>
            </w:pPr>
            <w:r>
              <w:t xml:space="preserve">25</w:t>
            </w:r>
          </w:p>
        </w:tc>
        <w:tc>
          <w:tcPr/>
          <w:p>
            <w:pPr>
              <w:pStyle w:val="Compact"/>
              <w:jc w:val="left"/>
            </w:pPr>
            <w:r>
              <w:t xml:space="preserve">31</w:t>
            </w:r>
          </w:p>
        </w:tc>
        <w:tc>
          <w:tcPr/>
          <w:p>
            <w:pPr>
              <w:pStyle w:val="Compact"/>
              <w:jc w:val="left"/>
            </w:pPr>
            <w:r>
              <w:t xml:space="preserve">32</w:t>
            </w:r>
          </w:p>
        </w:tc>
        <w:tc>
          <w:tcPr/>
          <w:p>
            <w:pPr>
              <w:pStyle w:val="Compact"/>
              <w:jc w:val="left"/>
            </w:pPr>
            <w:r>
              <w:rPr>
                <w:bCs/>
                <w:b/>
              </w:rPr>
              <w:t xml:space="preserve">29</w:t>
            </w:r>
          </w:p>
        </w:tc>
        <w:tc>
          <w:tcPr/>
          <w:p>
            <w:pPr>
              <w:pStyle w:val="Compact"/>
              <w:jc w:val="left"/>
            </w:pPr>
            <w:r>
              <w:rPr>
                <w:bCs/>
                <w:b/>
              </w:rPr>
              <w:t xml:space="preserve">29</w:t>
            </w:r>
          </w:p>
        </w:tc>
      </w:tr>
      <w:tr>
        <w:tc>
          <w:tcPr/>
          <w:p>
            <w:pPr>
              <w:pStyle w:val="Compact"/>
              <w:jc w:val="left"/>
            </w:pPr>
            <w:r>
              <w:t xml:space="preserve">Tarife</w:t>
            </w:r>
          </w:p>
        </w:tc>
        <w:tc>
          <w:tcPr/>
          <w:p>
            <w:pPr>
              <w:pStyle w:val="Compact"/>
              <w:jc w:val="left"/>
            </w:pPr>
            <w:r>
              <w:t xml:space="preserve">10</w:t>
            </w:r>
          </w:p>
        </w:tc>
        <w:tc>
          <w:tcPr/>
          <w:p>
            <w:pPr>
              <w:pStyle w:val="Compact"/>
              <w:jc w:val="left"/>
            </w:pPr>
            <w:r>
              <w:t xml:space="preserve">13</w:t>
            </w:r>
          </w:p>
        </w:tc>
        <w:tc>
          <w:tcPr/>
          <w:p>
            <w:pPr>
              <w:pStyle w:val="Compact"/>
              <w:jc w:val="left"/>
            </w:pPr>
            <w:r>
              <w:t xml:space="preserve">18</w:t>
            </w:r>
          </w:p>
        </w:tc>
        <w:tc>
          <w:tcPr/>
          <w:p>
            <w:pPr>
              <w:pStyle w:val="Compact"/>
              <w:jc w:val="left"/>
            </w:pPr>
            <w:r>
              <w:t xml:space="preserve">18</w:t>
            </w:r>
          </w:p>
        </w:tc>
        <w:tc>
          <w:tcPr/>
          <w:p>
            <w:pPr>
              <w:pStyle w:val="Compact"/>
              <w:jc w:val="left"/>
            </w:pPr>
            <w:r>
              <w:t xml:space="preserve">17</w:t>
            </w:r>
          </w:p>
        </w:tc>
        <w:tc>
          <w:tcPr/>
          <w:p>
            <w:pPr>
              <w:pStyle w:val="Compact"/>
              <w:jc w:val="left"/>
            </w:pPr>
            <w:r>
              <w:rPr>
                <w:bCs/>
                <w:b/>
              </w:rPr>
              <w:t xml:space="preserve">15</w:t>
            </w:r>
          </w:p>
        </w:tc>
        <w:tc>
          <w:tcPr/>
          <w:p>
            <w:pPr>
              <w:pStyle w:val="Compact"/>
              <w:jc w:val="left"/>
            </w:pPr>
            <w:r>
              <w:rPr>
                <w:bCs/>
                <w:b/>
              </w:rPr>
              <w:t xml:space="preserve">18</w:t>
            </w:r>
          </w:p>
        </w:tc>
      </w:tr>
      <w:tr>
        <w:tc>
          <w:tcPr/>
          <w:p>
            <w:pPr>
              <w:pStyle w:val="Compact"/>
              <w:jc w:val="left"/>
            </w:pPr>
            <w:r>
              <w:t xml:space="preserve">Hesaplama</w:t>
            </w:r>
          </w:p>
        </w:tc>
        <w:tc>
          <w:tcPr/>
          <w:p>
            <w:pPr>
              <w:pStyle w:val="Compact"/>
              <w:jc w:val="left"/>
            </w:pPr>
            <w:r>
              <w:t xml:space="preserve">10</w:t>
            </w:r>
          </w:p>
        </w:tc>
        <w:tc>
          <w:tcPr/>
          <w:p>
            <w:pPr>
              <w:pStyle w:val="Compact"/>
              <w:jc w:val="left"/>
            </w:pPr>
            <w:r>
              <w:t xml:space="preserve">13</w:t>
            </w:r>
          </w:p>
        </w:tc>
        <w:tc>
          <w:tcPr/>
          <w:p>
            <w:pPr>
              <w:pStyle w:val="Compact"/>
              <w:jc w:val="left"/>
            </w:pPr>
            <w:r>
              <w:t xml:space="preserve">16</w:t>
            </w:r>
          </w:p>
        </w:tc>
        <w:tc>
          <w:tcPr/>
          <w:p>
            <w:pPr>
              <w:pStyle w:val="Compact"/>
              <w:jc w:val="left"/>
            </w:pPr>
            <w:r>
              <w:t xml:space="preserve">11</w:t>
            </w:r>
          </w:p>
        </w:tc>
        <w:tc>
          <w:tcPr/>
          <w:p>
            <w:pPr>
              <w:pStyle w:val="Compact"/>
              <w:jc w:val="left"/>
            </w:pPr>
            <w:r>
              <w:t xml:space="preserve">9</w:t>
            </w:r>
          </w:p>
        </w:tc>
        <w:tc>
          <w:tcPr/>
          <w:p>
            <w:pPr>
              <w:pStyle w:val="Compact"/>
              <w:jc w:val="left"/>
            </w:pPr>
            <w:r>
              <w:rPr>
                <w:bCs/>
                <w:b/>
              </w:rPr>
              <w:t xml:space="preserve">12</w:t>
            </w:r>
          </w:p>
        </w:tc>
        <w:tc>
          <w:tcPr/>
          <w:p>
            <w:pPr>
              <w:pStyle w:val="Compact"/>
              <w:jc w:val="left"/>
            </w:pPr>
            <w:r>
              <w:rPr>
                <w:bCs/>
                <w:b/>
              </w:rPr>
              <w:t xml:space="preserve">12</w:t>
            </w:r>
          </w:p>
        </w:tc>
      </w:tr>
    </w:tbl>
    <w:p>
      <w:pPr>
        <w:pStyle w:val="BodyText"/>
      </w:pPr>
      <w:r>
        <w:rPr>
          <w:bCs/>
          <w:b/>
        </w:rPr>
        <w:t xml:space="preserve">Okuma:</w:t>
      </w:r>
    </w:p>
    <w:p>
      <w:pPr>
        <w:numPr>
          <w:ilvl w:val="0"/>
          <w:numId w:val="1002"/>
        </w:numPr>
        <w:pStyle w:val="Compact"/>
      </w:pPr>
      <w:r>
        <w:t xml:space="preserve">Tarife 10’dan 17–18’e çıktı ve orada sabitlendi. Tarife artık sınavın yaklaşık beşte biri.</w:t>
      </w:r>
    </w:p>
    <w:p>
      <w:pPr>
        <w:numPr>
          <w:ilvl w:val="0"/>
          <w:numId w:val="1002"/>
        </w:numPr>
        <w:pStyle w:val="Compact"/>
      </w:pPr>
      <w:r>
        <w:t xml:space="preserve">Gümrük mevzuatı 55’ten 40–42’ye indi; kalan pay sair mevzuat ve tarifeye geçti.</w:t>
      </w:r>
    </w:p>
    <w:p>
      <w:pPr>
        <w:numPr>
          <w:ilvl w:val="0"/>
          <w:numId w:val="1002"/>
        </w:numPr>
        <w:pStyle w:val="Compact"/>
      </w:pPr>
      <w:r>
        <w:t xml:space="preserve">Hesap soruları 9–16 arasında oynuyor. Hesap sorularının 32’si kıymet, 9’u KDV matrahı. Sözel sorular da eklenince</w:t>
      </w:r>
      <w:r>
        <w:t xml:space="preserve"> </w:t>
      </w:r>
      <w:r>
        <w:rPr>
          <w:bCs/>
          <w:b/>
        </w:rPr>
        <w:t xml:space="preserve">kıymet + KDV matrahı 2021–2024’te her yıl 11–14 soru</w:t>
      </w:r>
      <w:r>
        <w:t xml:space="preserve"> </w:t>
      </w:r>
      <w:r>
        <w:t xml:space="preserve">ediyor (2025’te 6–8). Sınavın en büyük tek konusu bu.</w:t>
      </w:r>
    </w:p>
    <w:bookmarkEnd w:id="22"/>
    <w:bookmarkStart w:id="23" w:name="blok-yerleşimi"/>
    <w:p>
      <w:pPr>
        <w:pStyle w:val="Heading3"/>
      </w:pPr>
      <w:r>
        <w:t xml:space="preserve">1.2 Blok yerleşimi</w:t>
      </w:r>
    </w:p>
    <w:tbl>
      <w:tblPr>
        <w:tblStyle w:val="Table"/>
        <w:tblW w:type="pct" w:w="5000"/>
        <w:tblLook w:firstRow="1" w:lastRow="0" w:firstColumn="0" w:lastColumn="0" w:noHBand="0" w:noVBand="0" w:val="0020"/>
        <w:jc w:val="start"/>
      </w:tblPr>
      <w:tblGrid>
        <w:gridCol w:w="866"/>
        <w:gridCol w:w="7053"/>
      </w:tblGrid>
      <w:tr>
        <w:trPr>
          <w:tblHeader w:val="true"/>
        </w:trPr>
        <w:tc>
          <w:tcPr/>
          <w:p>
            <w:pPr>
              <w:pStyle w:val="Compact"/>
              <w:jc w:val="left"/>
            </w:pPr>
            <w:r>
              <w:t xml:space="preserve">Yıl</w:t>
            </w:r>
          </w:p>
        </w:tc>
        <w:tc>
          <w:tcPr/>
          <w:p>
            <w:pPr>
              <w:pStyle w:val="Compact"/>
              <w:jc w:val="left"/>
            </w:pPr>
            <w:r>
              <w:t xml:space="preserve">Yerleşim</w:t>
            </w:r>
          </w:p>
        </w:tc>
      </w:tr>
      <w:tr>
        <w:tc>
          <w:tcPr/>
          <w:p>
            <w:pPr>
              <w:pStyle w:val="Compact"/>
              <w:jc w:val="left"/>
            </w:pPr>
            <w:r>
              <w:t xml:space="preserve">2021</w:t>
            </w:r>
          </w:p>
        </w:tc>
        <w:tc>
          <w:tcPr/>
          <w:p>
            <w:pPr>
              <w:pStyle w:val="Compact"/>
              <w:jc w:val="left"/>
            </w:pPr>
            <w:r>
              <w:t xml:space="preserve">1–40 GM · 41–50 Kaçakçılık (5607) · 52–68 Sair · 69–80 GM ·</w:t>
            </w:r>
            <w:r>
              <w:t xml:space="preserve"> </w:t>
            </w:r>
            <w:r>
              <w:rPr>
                <w:bCs/>
                <w:b/>
              </w:rPr>
              <w:t xml:space="preserve">81–90 Hesap</w:t>
            </w:r>
            <w:r>
              <w:t xml:space="preserve"> </w:t>
            </w:r>
            <w:r>
              <w:t xml:space="preserve">·</w:t>
            </w:r>
            <w:r>
              <w:t xml:space="preserve"> </w:t>
            </w:r>
            <w:r>
              <w:rPr>
                <w:bCs/>
                <w:b/>
              </w:rPr>
              <w:t xml:space="preserve">91–100 Tarife</w:t>
            </w:r>
          </w:p>
        </w:tc>
      </w:tr>
      <w:tr>
        <w:tc>
          <w:tcPr/>
          <w:p>
            <w:pPr>
              <w:pStyle w:val="Compact"/>
              <w:jc w:val="left"/>
            </w:pPr>
            <w:r>
              <w:t xml:space="preserve">2022</w:t>
            </w:r>
          </w:p>
        </w:tc>
        <w:tc>
          <w:tcPr/>
          <w:p>
            <w:pPr>
              <w:pStyle w:val="Compact"/>
              <w:jc w:val="left"/>
            </w:pPr>
            <w:r>
              <w:t xml:space="preserve">1–74 sözel (GM+Sair karışık) ·</w:t>
            </w:r>
            <w:r>
              <w:t xml:space="preserve"> </w:t>
            </w:r>
            <w:r>
              <w:rPr>
                <w:bCs/>
                <w:b/>
              </w:rPr>
              <w:t xml:space="preserve">75–88 Tarife</w:t>
            </w:r>
            <w:r>
              <w:t xml:space="preserve"> </w:t>
            </w:r>
            <w:r>
              <w:t xml:space="preserve">·</w:t>
            </w:r>
            <w:r>
              <w:t xml:space="preserve"> </w:t>
            </w:r>
            <w:r>
              <w:rPr>
                <w:bCs/>
                <w:b/>
              </w:rPr>
              <w:t xml:space="preserve">89–100 Hesap</w:t>
            </w:r>
          </w:p>
        </w:tc>
      </w:tr>
      <w:tr>
        <w:tc>
          <w:tcPr/>
          <w:p>
            <w:pPr>
              <w:pStyle w:val="Compact"/>
              <w:jc w:val="left"/>
            </w:pPr>
            <w:r>
              <w:t xml:space="preserve">2023</w:t>
            </w:r>
          </w:p>
        </w:tc>
        <w:tc>
          <w:tcPr/>
          <w:p>
            <w:pPr>
              <w:pStyle w:val="Compact"/>
              <w:jc w:val="left"/>
            </w:pPr>
            <w:r>
              <w:t xml:space="preserve">1–3 5607 ·</w:t>
            </w:r>
            <w:r>
              <w:t xml:space="preserve"> </w:t>
            </w:r>
            <w:r>
              <w:rPr>
                <w:bCs/>
                <w:b/>
              </w:rPr>
              <w:t xml:space="preserve">4–21 Tarife</w:t>
            </w:r>
            <w:r>
              <w:t xml:space="preserve"> </w:t>
            </w:r>
            <w:r>
              <w:t xml:space="preserve">· 22–67 sözel ·</w:t>
            </w:r>
            <w:r>
              <w:t xml:space="preserve"> </w:t>
            </w:r>
            <w:r>
              <w:rPr>
                <w:bCs/>
                <w:b/>
              </w:rPr>
              <w:t xml:space="preserve">68–84 Hesap</w:t>
            </w:r>
            <w:r>
              <w:t xml:space="preserve"> </w:t>
            </w:r>
            <w:r>
              <w:t xml:space="preserve">· 85–100 sözel</w:t>
            </w:r>
          </w:p>
        </w:tc>
      </w:tr>
      <w:tr>
        <w:tc>
          <w:tcPr/>
          <w:p>
            <w:pPr>
              <w:pStyle w:val="Compact"/>
              <w:jc w:val="left"/>
            </w:pPr>
            <w:r>
              <w:t xml:space="preserve">2024</w:t>
            </w:r>
          </w:p>
        </w:tc>
        <w:tc>
          <w:tcPr/>
          <w:p>
            <w:pPr>
              <w:pStyle w:val="Compact"/>
              <w:jc w:val="left"/>
            </w:pPr>
            <w:r>
              <w:t xml:space="preserve">1–8 Sair ·</w:t>
            </w:r>
            <w:r>
              <w:t xml:space="preserve"> </w:t>
            </w:r>
            <w:r>
              <w:rPr>
                <w:bCs/>
                <w:b/>
              </w:rPr>
              <w:t xml:space="preserve">9–29 Hesap ağırlıklı</w:t>
            </w:r>
            <w:r>
              <w:t xml:space="preserve"> </w:t>
            </w:r>
            <w:r>
              <w:t xml:space="preserve">· 30–43 karışık ·</w:t>
            </w:r>
            <w:r>
              <w:t xml:space="preserve"> </w:t>
            </w:r>
            <w:r>
              <w:rPr>
                <w:bCs/>
                <w:b/>
              </w:rPr>
              <w:t xml:space="preserve">44–60 Tarife</w:t>
            </w:r>
            <w:r>
              <w:t xml:space="preserve"> </w:t>
            </w:r>
            <w:r>
              <w:t xml:space="preserve">· 61–100 GM/Sair</w:t>
            </w:r>
          </w:p>
        </w:tc>
      </w:tr>
      <w:tr>
        <w:tc>
          <w:tcPr/>
          <w:p>
            <w:pPr>
              <w:pStyle w:val="Compact"/>
              <w:jc w:val="left"/>
            </w:pPr>
            <w:r>
              <w:t xml:space="preserve">2025</w:t>
            </w:r>
          </w:p>
        </w:tc>
        <w:tc>
          <w:tcPr/>
          <w:p>
            <w:pPr>
              <w:pStyle w:val="Compact"/>
              <w:jc w:val="left"/>
            </w:pPr>
            <w:r>
              <w:t xml:space="preserve">1–11 Sair ·</w:t>
            </w:r>
            <w:r>
              <w:t xml:space="preserve"> </w:t>
            </w:r>
            <w:r>
              <w:rPr>
                <w:bCs/>
                <w:b/>
              </w:rPr>
              <w:t xml:space="preserve">12–20 Hesap</w:t>
            </w:r>
            <w:r>
              <w:t xml:space="preserve"> </w:t>
            </w:r>
            <w:r>
              <w:t xml:space="preserve">· 21–38 karışık ·</w:t>
            </w:r>
            <w:r>
              <w:t xml:space="preserve"> </w:t>
            </w:r>
            <w:r>
              <w:rPr>
                <w:bCs/>
                <w:b/>
              </w:rPr>
              <w:t xml:space="preserve">39–55 Tarife</w:t>
            </w:r>
            <w:r>
              <w:t xml:space="preserve"> </w:t>
            </w:r>
            <w:r>
              <w:t xml:space="preserve">· 56–100 GM ağırlıklı</w:t>
            </w:r>
          </w:p>
        </w:tc>
      </w:tr>
    </w:tbl>
    <w:p>
      <w:pPr>
        <w:pStyle w:val="BodyText"/>
      </w:pPr>
      <w:r>
        <w:rPr>
          <w:bCs/>
          <w:b/>
        </w:rPr>
        <w:t xml:space="preserve">Kural:</w:t>
      </w:r>
      <w:r>
        <w:t xml:space="preserve"> </w:t>
      </w:r>
      <w:r>
        <w:t xml:space="preserve">Tarife her yıl</w:t>
      </w:r>
      <w:r>
        <w:t xml:space="preserve"> </w:t>
      </w:r>
      <w:r>
        <w:rPr>
          <w:bCs/>
          <w:b/>
        </w:rPr>
        <w:t xml:space="preserve">kesintisiz bir blok</w:t>
      </w:r>
      <w:r>
        <w:t xml:space="preserve"> </w:t>
      </w:r>
      <w:r>
        <w:t xml:space="preserve">hâlinde. Hesap da çoğunlukla blok hâlinde ve çoğu zaman ortak veri setli bağlı sorularla geliyor. Blokların yeri her yıl değişiyor.</w:t>
      </w:r>
    </w:p>
    <w:bookmarkEnd w:id="23"/>
    <w:bookmarkStart w:id="24" w:name="kök-tipi-dağılımı"/>
    <w:p>
      <w:pPr>
        <w:pStyle w:val="Heading3"/>
      </w:pPr>
      <w:r>
        <w:t xml:space="preserve">1.3 Kök tipi dağılımı</w:t>
      </w:r>
    </w:p>
    <w:tbl>
      <w:tblPr>
        <w:tblStyle w:val="Table"/>
        <w:tblW w:type="pct" w:w="5000"/>
        <w:tblLook w:firstRow="1" w:lastRow="0" w:firstColumn="0" w:lastColumn="0" w:noHBand="0" w:noVBand="0" w:val="0020"/>
        <w:jc w:val="start"/>
      </w:tblPr>
      <w:tblGrid>
        <w:gridCol w:w="4006"/>
        <w:gridCol w:w="652"/>
        <w:gridCol w:w="652"/>
        <w:gridCol w:w="652"/>
        <w:gridCol w:w="652"/>
        <w:gridCol w:w="652"/>
        <w:gridCol w:w="652"/>
      </w:tblGrid>
      <w:tr>
        <w:trPr>
          <w:tblHeader w:val="true"/>
        </w:trPr>
        <w:tc>
          <w:tcPr/>
          <w:p>
            <w:pPr>
              <w:pStyle w:val="Compact"/>
              <w:jc w:val="left"/>
            </w:pPr>
            <w:r>
              <w:t xml:space="preserve">Kök tipi</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5 yıl ort.</w:t>
            </w:r>
          </w:p>
        </w:tc>
      </w:tr>
      <w:tr>
        <w:tc>
          <w:tcPr/>
          <w:p>
            <w:pPr>
              <w:pStyle w:val="Compact"/>
              <w:jc w:val="left"/>
            </w:pPr>
            <w:r>
              <w:t xml:space="preserve">Olumsuz kök (değildir / yanlıştır / söylenemez / aranmaz / sayılmamıştır)</w:t>
            </w:r>
          </w:p>
        </w:tc>
        <w:tc>
          <w:tcPr/>
          <w:p>
            <w:pPr>
              <w:pStyle w:val="Compact"/>
              <w:jc w:val="left"/>
            </w:pPr>
            <w:r>
              <w:t xml:space="preserve">55</w:t>
            </w:r>
          </w:p>
        </w:tc>
        <w:tc>
          <w:tcPr/>
          <w:p>
            <w:pPr>
              <w:pStyle w:val="Compact"/>
              <w:jc w:val="left"/>
            </w:pPr>
            <w:r>
              <w:t xml:space="preserve">34</w:t>
            </w:r>
          </w:p>
        </w:tc>
        <w:tc>
          <w:tcPr/>
          <w:p>
            <w:pPr>
              <w:pStyle w:val="Compact"/>
              <w:jc w:val="left"/>
            </w:pPr>
            <w:r>
              <w:t xml:space="preserve">27</w:t>
            </w:r>
          </w:p>
        </w:tc>
        <w:tc>
          <w:tcPr/>
          <w:p>
            <w:pPr>
              <w:pStyle w:val="Compact"/>
              <w:jc w:val="left"/>
            </w:pPr>
            <w:r>
              <w:t xml:space="preserve">35</w:t>
            </w:r>
          </w:p>
        </w:tc>
        <w:tc>
          <w:tcPr/>
          <w:p>
            <w:pPr>
              <w:pStyle w:val="Compact"/>
              <w:jc w:val="left"/>
            </w:pPr>
            <w:r>
              <w:t xml:space="preserve">30</w:t>
            </w:r>
          </w:p>
        </w:tc>
        <w:tc>
          <w:tcPr/>
          <w:p>
            <w:pPr>
              <w:pStyle w:val="Compact"/>
              <w:jc w:val="left"/>
            </w:pPr>
            <w:r>
              <w:rPr>
                <w:bCs/>
                <w:b/>
              </w:rPr>
              <w:t xml:space="preserve">36</w:t>
            </w:r>
          </w:p>
        </w:tc>
      </w:tr>
      <w:tr>
        <w:tc>
          <w:tcPr/>
          <w:p>
            <w:pPr>
              <w:pStyle w:val="Compact"/>
              <w:jc w:val="left"/>
            </w:pPr>
            <w:r>
              <w:t xml:space="preserve">Düz bilgi (kimdir / kaçtır / hangisidir / farklı olanı bul)</w:t>
            </w:r>
          </w:p>
        </w:tc>
        <w:tc>
          <w:tcPr/>
          <w:p>
            <w:pPr>
              <w:pStyle w:val="Compact"/>
              <w:jc w:val="left"/>
            </w:pPr>
            <w:r>
              <w:t xml:space="preserve">20</w:t>
            </w:r>
          </w:p>
        </w:tc>
        <w:tc>
          <w:tcPr/>
          <w:p>
            <w:pPr>
              <w:pStyle w:val="Compact"/>
              <w:jc w:val="left"/>
            </w:pPr>
            <w:r>
              <w:t xml:space="preserve">22</w:t>
            </w:r>
          </w:p>
        </w:tc>
        <w:tc>
          <w:tcPr/>
          <w:p>
            <w:pPr>
              <w:pStyle w:val="Compact"/>
              <w:jc w:val="left"/>
            </w:pPr>
            <w:r>
              <w:t xml:space="preserve">22</w:t>
            </w:r>
          </w:p>
        </w:tc>
        <w:tc>
          <w:tcPr/>
          <w:p>
            <w:pPr>
              <w:pStyle w:val="Compact"/>
              <w:jc w:val="left"/>
            </w:pPr>
            <w:r>
              <w:t xml:space="preserve">23</w:t>
            </w:r>
          </w:p>
        </w:tc>
        <w:tc>
          <w:tcPr/>
          <w:p>
            <w:pPr>
              <w:pStyle w:val="Compact"/>
              <w:jc w:val="left"/>
            </w:pPr>
            <w:r>
              <w:t xml:space="preserve">17</w:t>
            </w:r>
          </w:p>
        </w:tc>
        <w:tc>
          <w:tcPr/>
          <w:p>
            <w:pPr>
              <w:pStyle w:val="Compact"/>
              <w:jc w:val="left"/>
            </w:pPr>
            <w:r>
              <w:rPr>
                <w:bCs/>
                <w:b/>
              </w:rPr>
              <w:t xml:space="preserve">21</w:t>
            </w:r>
          </w:p>
        </w:tc>
      </w:tr>
      <w:tr>
        <w:tc>
          <w:tcPr/>
          <w:p>
            <w:pPr>
              <w:pStyle w:val="Compact"/>
              <w:jc w:val="left"/>
            </w:pPr>
            <w:r>
              <w:t xml:space="preserve">Öncüllü (I-II-III…)</w:t>
            </w:r>
          </w:p>
        </w:tc>
        <w:tc>
          <w:tcPr/>
          <w:p>
            <w:pPr>
              <w:pStyle w:val="Compact"/>
              <w:jc w:val="left"/>
            </w:pPr>
            <w:r>
              <w:t xml:space="preserve">4</w:t>
            </w:r>
          </w:p>
        </w:tc>
        <w:tc>
          <w:tcPr/>
          <w:p>
            <w:pPr>
              <w:pStyle w:val="Compact"/>
              <w:jc w:val="left"/>
            </w:pPr>
            <w:r>
              <w:t xml:space="preserve">15</w:t>
            </w:r>
          </w:p>
        </w:tc>
        <w:tc>
          <w:tcPr/>
          <w:p>
            <w:pPr>
              <w:pStyle w:val="Compact"/>
              <w:jc w:val="left"/>
            </w:pPr>
            <w:r>
              <w:t xml:space="preserve">16</w:t>
            </w:r>
          </w:p>
        </w:tc>
        <w:tc>
          <w:tcPr/>
          <w:p>
            <w:pPr>
              <w:pStyle w:val="Compact"/>
              <w:jc w:val="left"/>
            </w:pPr>
            <w:r>
              <w:t xml:space="preserve">14</w:t>
            </w:r>
          </w:p>
        </w:tc>
        <w:tc>
          <w:tcPr/>
          <w:p>
            <w:pPr>
              <w:pStyle w:val="Compact"/>
              <w:jc w:val="left"/>
            </w:pPr>
            <w:r>
              <w:t xml:space="preserve">17</w:t>
            </w:r>
          </w:p>
        </w:tc>
        <w:tc>
          <w:tcPr/>
          <w:p>
            <w:pPr>
              <w:pStyle w:val="Compact"/>
              <w:jc w:val="left"/>
            </w:pPr>
            <w:r>
              <w:rPr>
                <w:bCs/>
                <w:b/>
              </w:rPr>
              <w:t xml:space="preserve">13</w:t>
            </w:r>
          </w:p>
        </w:tc>
      </w:tr>
      <w:tr>
        <w:tc>
          <w:tcPr/>
          <w:p>
            <w:pPr>
              <w:pStyle w:val="Compact"/>
              <w:jc w:val="left"/>
            </w:pPr>
            <w:r>
              <w:t xml:space="preserve">Hesap</w:t>
            </w:r>
          </w:p>
        </w:tc>
        <w:tc>
          <w:tcPr/>
          <w:p>
            <w:pPr>
              <w:pStyle w:val="Compact"/>
              <w:jc w:val="left"/>
            </w:pPr>
            <w:r>
              <w:t xml:space="preserve">10</w:t>
            </w:r>
          </w:p>
        </w:tc>
        <w:tc>
          <w:tcPr/>
          <w:p>
            <w:pPr>
              <w:pStyle w:val="Compact"/>
              <w:jc w:val="left"/>
            </w:pPr>
            <w:r>
              <w:t xml:space="preserve">13</w:t>
            </w:r>
          </w:p>
        </w:tc>
        <w:tc>
          <w:tcPr/>
          <w:p>
            <w:pPr>
              <w:pStyle w:val="Compact"/>
              <w:jc w:val="left"/>
            </w:pPr>
            <w:r>
              <w:t xml:space="preserve">16</w:t>
            </w:r>
          </w:p>
        </w:tc>
        <w:tc>
          <w:tcPr/>
          <w:p>
            <w:pPr>
              <w:pStyle w:val="Compact"/>
              <w:jc w:val="left"/>
            </w:pPr>
            <w:r>
              <w:t xml:space="preserve">11</w:t>
            </w:r>
          </w:p>
        </w:tc>
        <w:tc>
          <w:tcPr/>
          <w:p>
            <w:pPr>
              <w:pStyle w:val="Compact"/>
              <w:jc w:val="left"/>
            </w:pPr>
            <w:r>
              <w:t xml:space="preserve">9</w:t>
            </w:r>
          </w:p>
        </w:tc>
        <w:tc>
          <w:tcPr/>
          <w:p>
            <w:pPr>
              <w:pStyle w:val="Compact"/>
              <w:jc w:val="left"/>
            </w:pPr>
            <w:r>
              <w:rPr>
                <w:bCs/>
                <w:b/>
              </w:rPr>
              <w:t xml:space="preserve">12</w:t>
            </w:r>
          </w:p>
        </w:tc>
      </w:tr>
      <w:tr>
        <w:tc>
          <w:tcPr/>
          <w:p>
            <w:pPr>
              <w:pStyle w:val="Compact"/>
              <w:jc w:val="left"/>
            </w:pPr>
            <w:r>
              <w:t xml:space="preserve">“</w:t>
            </w:r>
            <w:r>
              <w:t xml:space="preserve">Hangisi doğrudur</w:t>
            </w:r>
            <w:r>
              <w:t xml:space="preserve">”</w:t>
            </w:r>
          </w:p>
        </w:tc>
        <w:tc>
          <w:tcPr/>
          <w:p>
            <w:pPr>
              <w:pStyle w:val="Compact"/>
              <w:jc w:val="left"/>
            </w:pPr>
            <w:r>
              <w:t xml:space="preserve">6</w:t>
            </w:r>
          </w:p>
        </w:tc>
        <w:tc>
          <w:tcPr/>
          <w:p>
            <w:pPr>
              <w:pStyle w:val="Compact"/>
              <w:jc w:val="left"/>
            </w:pPr>
            <w:r>
              <w:t xml:space="preserve">11</w:t>
            </w:r>
          </w:p>
        </w:tc>
        <w:tc>
          <w:tcPr/>
          <w:p>
            <w:pPr>
              <w:pStyle w:val="Compact"/>
              <w:jc w:val="left"/>
            </w:pPr>
            <w:r>
              <w:t xml:space="preserve">4</w:t>
            </w:r>
          </w:p>
        </w:tc>
        <w:tc>
          <w:tcPr/>
          <w:p>
            <w:pPr>
              <w:pStyle w:val="Compact"/>
              <w:jc w:val="left"/>
            </w:pPr>
            <w:r>
              <w:t xml:space="preserve">4</w:t>
            </w:r>
          </w:p>
        </w:tc>
        <w:tc>
          <w:tcPr/>
          <w:p>
            <w:pPr>
              <w:pStyle w:val="Compact"/>
              <w:jc w:val="left"/>
            </w:pPr>
            <w:r>
              <w:t xml:space="preserve">9</w:t>
            </w:r>
          </w:p>
        </w:tc>
        <w:tc>
          <w:tcPr/>
          <w:p>
            <w:pPr>
              <w:pStyle w:val="Compact"/>
              <w:jc w:val="left"/>
            </w:pPr>
            <w:r>
              <w:rPr>
                <w:bCs/>
                <w:b/>
              </w:rPr>
              <w:t xml:space="preserve">7</w:t>
            </w:r>
          </w:p>
        </w:tc>
      </w:tr>
      <w:tr>
        <w:tc>
          <w:tcPr/>
          <w:p>
            <w:pPr>
              <w:pStyle w:val="Compact"/>
              <w:jc w:val="left"/>
            </w:pPr>
            <w:r>
              <w:t xml:space="preserve">Vaka / mizansen (hesapsız)</w:t>
            </w:r>
          </w:p>
        </w:tc>
        <w:tc>
          <w:tcPr/>
          <w:p>
            <w:pPr>
              <w:pStyle w:val="Compact"/>
              <w:jc w:val="left"/>
            </w:pPr>
            <w:r>
              <w:t xml:space="preserve">1</w:t>
            </w:r>
          </w:p>
        </w:tc>
        <w:tc>
          <w:tcPr/>
          <w:p>
            <w:pPr>
              <w:pStyle w:val="Compact"/>
              <w:jc w:val="left"/>
            </w:pPr>
            <w:r>
              <w:t xml:space="preserve">1</w:t>
            </w:r>
          </w:p>
        </w:tc>
        <w:tc>
          <w:tcPr/>
          <w:p>
            <w:pPr>
              <w:pStyle w:val="Compact"/>
              <w:jc w:val="left"/>
            </w:pPr>
            <w:r>
              <w:t xml:space="preserve">7</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3</w:t>
            </w:r>
          </w:p>
        </w:tc>
      </w:tr>
      <w:tr>
        <w:tc>
          <w:tcPr/>
          <w:p>
            <w:pPr>
              <w:pStyle w:val="Compact"/>
              <w:jc w:val="left"/>
            </w:pPr>
            <w:r>
              <w:t xml:space="preserve">Kavram (tanım verilip adı sorulur)</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5</w:t>
            </w:r>
          </w:p>
        </w:tc>
        <w:tc>
          <w:tcPr/>
          <w:p>
            <w:pPr>
              <w:pStyle w:val="Compact"/>
              <w:jc w:val="left"/>
            </w:pPr>
            <w:r>
              <w:t xml:space="preserve">4</w:t>
            </w:r>
          </w:p>
        </w:tc>
        <w:tc>
          <w:tcPr/>
          <w:p>
            <w:pPr>
              <w:pStyle w:val="Compact"/>
              <w:jc w:val="left"/>
            </w:pPr>
            <w:r>
              <w:rPr>
                <w:bCs/>
                <w:b/>
              </w:rPr>
              <w:t xml:space="preserve">3</w:t>
            </w:r>
          </w:p>
        </w:tc>
      </w:tr>
      <w:tr>
        <w:tc>
          <w:tcPr/>
          <w:p>
            <w:pPr>
              <w:pStyle w:val="Compact"/>
              <w:jc w:val="left"/>
            </w:pPr>
            <w:r>
              <w:t xml:space="preserve">Boşluk doldurma</w:t>
            </w:r>
          </w:p>
        </w:tc>
        <w:tc>
          <w:tcPr/>
          <w:p>
            <w:pPr>
              <w:pStyle w:val="Compact"/>
              <w:jc w:val="left"/>
            </w:pPr>
            <w:r>
              <w:t xml:space="preserve">0</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5</w:t>
            </w:r>
          </w:p>
        </w:tc>
        <w:tc>
          <w:tcPr/>
          <w:p>
            <w:pPr>
              <w:pStyle w:val="Compact"/>
              <w:jc w:val="left"/>
            </w:pPr>
            <w:r>
              <w:rPr>
                <w:bCs/>
                <w:b/>
              </w:rPr>
              <w:t xml:space="preserve">2,4</w:t>
            </w:r>
          </w:p>
        </w:tc>
      </w:tr>
      <w:tr>
        <w:tc>
          <w:tcPr/>
          <w:p>
            <w:pPr>
              <w:pStyle w:val="Compact"/>
              <w:jc w:val="left"/>
            </w:pPr>
            <w:r>
              <w:t xml:space="preserve">Eşleştirme</w:t>
            </w:r>
          </w:p>
        </w:tc>
        <w:tc>
          <w:tcPr/>
          <w:p>
            <w:pPr>
              <w:pStyle w:val="Compact"/>
              <w:jc w:val="left"/>
            </w:pPr>
            <w:r>
              <w:t xml:space="preserve">1</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rPr>
                <w:bCs/>
                <w:b/>
              </w:rPr>
              <w:t xml:space="preserve">2,4</w:t>
            </w:r>
          </w:p>
        </w:tc>
      </w:tr>
      <w:tr>
        <w:tc>
          <w:tcPr/>
          <w:p>
            <w:pPr>
              <w:pStyle w:val="Compact"/>
              <w:jc w:val="left"/>
            </w:pPr>
            <w:r>
              <w:t xml:space="preserve">Sıralama</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rPr>
                <w:bCs/>
                <w:b/>
              </w:rPr>
              <w:t xml:space="preserve">0,6</w:t>
            </w:r>
          </w:p>
        </w:tc>
      </w:tr>
    </w:tbl>
    <w:p>
      <w:pPr>
        <w:numPr>
          <w:ilvl w:val="0"/>
          <w:numId w:val="1003"/>
        </w:numPr>
        <w:pStyle w:val="Compact"/>
      </w:pPr>
      <w:r>
        <w:rPr>
          <w:bCs/>
          <w:b/>
        </w:rPr>
        <w:t xml:space="preserve">Olumsuz kutuplu toplam</w:t>
      </w:r>
      <w:r>
        <w:t xml:space="preserve"> </w:t>
      </w:r>
      <w:r>
        <w:t xml:space="preserve">(olumsuz yönlü öncüllü ve eşleştirmeler dahil): 2022’de 40, 2023’te yaklaşık 40, 2024’te 43, 2025’te 37.</w:t>
      </w:r>
      <w:r>
        <w:t xml:space="preserve"> </w:t>
      </w:r>
      <w:r>
        <w:rPr>
          <w:bCs/>
          <w:b/>
        </w:rPr>
        <w:t xml:space="preserve">Yani soruların ~%40’ı</w:t>
      </w:r>
      <w:r>
        <w:rPr>
          <w:bCs/>
          <w:b/>
        </w:rPr>
        <w:t xml:space="preserve"> </w:t>
      </w:r>
      <w:r>
        <w:rPr>
          <w:bCs/>
          <w:b/>
        </w:rPr>
        <w:t xml:space="preserve">“</w:t>
      </w:r>
      <w:r>
        <w:rPr>
          <w:bCs/>
          <w:b/>
        </w:rPr>
        <w:t xml:space="preserve">yanlış olanı bul</w:t>
      </w:r>
      <w:r>
        <w:rPr>
          <w:bCs/>
          <w:b/>
        </w:rPr>
        <w:t xml:space="preserve">”</w:t>
      </w:r>
      <w:r>
        <w:rPr>
          <w:bCs/>
          <w:b/>
        </w:rPr>
        <w:t xml:space="preserve">.</w:t>
      </w:r>
    </w:p>
    <w:p>
      <w:pPr>
        <w:numPr>
          <w:ilvl w:val="0"/>
          <w:numId w:val="1003"/>
        </w:numPr>
        <w:pStyle w:val="Compact"/>
      </w:pPr>
      <w:r>
        <w:t xml:space="preserve">Öncüllü soruların öncül sayısı 3–5 arasında; en sık 4. 5 öncüllü sorular arttı (2025: 6 adet).</w:t>
      </w:r>
    </w:p>
    <w:p>
      <w:pPr>
        <w:numPr>
          <w:ilvl w:val="0"/>
          <w:numId w:val="1003"/>
        </w:numPr>
        <w:pStyle w:val="Compact"/>
      </w:pPr>
      <w:r>
        <w:t xml:space="preserve">Öncüllü sorularda uç cevaplar küçümsenmeyecek kadar sık: 5 yılın 68 öncüllü sorusunda %18</w:t>
      </w:r>
      <w:r>
        <w:t xml:space="preserve"> </w:t>
      </w:r>
      <w:r>
        <w:t xml:space="preserve">“</w:t>
      </w:r>
      <w:r>
        <w:t xml:space="preserve">Yalnız X</w:t>
      </w:r>
      <w:r>
        <w:t xml:space="preserve">”</w:t>
      </w:r>
      <w:r>
        <w:t xml:space="preserve">, %19 tüm öncüller, %63 ara kombinasyon. 2024’te bu eğilim en uçtaydı (15 sorunun 9’u uçta). 2023’te iki soruda</w:t>
      </w:r>
      <w:r>
        <w:t xml:space="preserve"> </w:t>
      </w:r>
      <w:r>
        <w:t xml:space="preserve">“</w:t>
      </w:r>
      <w:r>
        <w:t xml:space="preserve">hepsi doğru</w:t>
      </w:r>
      <w:r>
        <w:t xml:space="preserve">”</w:t>
      </w:r>
      <w:r>
        <w:t xml:space="preserve"> </w:t>
      </w:r>
      <w:r>
        <w:t xml:space="preserve">ve</w:t>
      </w:r>
      <w:r>
        <w:t xml:space="preserve"> </w:t>
      </w:r>
      <w:r>
        <w:t xml:space="preserve">“</w:t>
      </w:r>
      <w:r>
        <w:t xml:space="preserve">hepsi yanlış</w:t>
      </w:r>
      <w:r>
        <w:t xml:space="preserve">”</w:t>
      </w:r>
      <w:r>
        <w:t xml:space="preserve"> </w:t>
      </w:r>
      <w:r>
        <w:t xml:space="preserve">cevap.</w:t>
      </w:r>
      <w:r>
        <w:t xml:space="preserve"> </w:t>
      </w:r>
      <w:r>
        <w:rPr>
          <w:bCs/>
          <w:b/>
        </w:rPr>
        <w:t xml:space="preserve">“</w:t>
      </w:r>
      <w:r>
        <w:rPr>
          <w:bCs/>
          <w:b/>
        </w:rPr>
        <w:t xml:space="preserve">Hepsi olamaz</w:t>
      </w:r>
      <w:r>
        <w:rPr>
          <w:bCs/>
          <w:b/>
        </w:rPr>
        <w:t xml:space="preserve">”</w:t>
      </w:r>
      <w:r>
        <w:rPr>
          <w:bCs/>
          <w:b/>
        </w:rPr>
        <w:t xml:space="preserve"> </w:t>
      </w:r>
      <w:r>
        <w:rPr>
          <w:bCs/>
          <w:b/>
        </w:rPr>
        <w:t xml:space="preserve">önyargısı bilinçli olarak cezalandırılıyor.</w:t>
      </w:r>
    </w:p>
    <w:bookmarkEnd w:id="24"/>
    <w:bookmarkStart w:id="25" w:name="b-soru-tipi-alana-göre-çok-farklı"/>
    <w:p>
      <w:pPr>
        <w:pStyle w:val="Heading3"/>
      </w:pPr>
      <w:r>
        <w:t xml:space="preserve">1.3b Soru tipi alana göre çok farklı</w:t>
      </w:r>
    </w:p>
    <w:p>
      <w:pPr>
        <w:pStyle w:val="FirstParagraph"/>
      </w:pPr>
      <w:r>
        <w:rPr>
          <w:bCs/>
          <w:b/>
        </w:rPr>
        <w:t xml:space="preserve">Alan × kök tipi (gerçek sınavlar; hesaplar hariç sözel sorular, %):</w:t>
      </w:r>
    </w:p>
    <w:tbl>
      <w:tblPr>
        <w:tblStyle w:val="Table"/>
        <w:tblW w:type="pct" w:w="5000"/>
        <w:tblLook w:firstRow="1" w:lastRow="0" w:firstColumn="0" w:lastColumn="0" w:noHBand="0" w:noVBand="0" w:val="0020"/>
        <w:jc w:val="start"/>
      </w:tblPr>
      <w:tblGrid>
        <w:gridCol w:w="2227"/>
        <w:gridCol w:w="866"/>
        <w:gridCol w:w="866"/>
        <w:gridCol w:w="866"/>
        <w:gridCol w:w="990"/>
        <w:gridCol w:w="990"/>
        <w:gridCol w:w="1113"/>
      </w:tblGrid>
      <w:tr>
        <w:trPr>
          <w:tblHeader w:val="true"/>
        </w:trPr>
        <w:tc>
          <w:tcPr/>
          <w:p>
            <w:pPr>
              <w:pStyle w:val="Compact"/>
              <w:jc w:val="left"/>
            </w:pPr>
            <w:r>
              <w:t xml:space="preserve">Kök tipi</w:t>
            </w:r>
          </w:p>
        </w:tc>
        <w:tc>
          <w:tcPr/>
          <w:p>
            <w:pPr>
              <w:pStyle w:val="Compact"/>
              <w:jc w:val="left"/>
            </w:pPr>
            <w:r>
              <w:t xml:space="preserve">GM 5 yıl</w:t>
            </w:r>
          </w:p>
        </w:tc>
        <w:tc>
          <w:tcPr/>
          <w:p>
            <w:pPr>
              <w:pStyle w:val="Compact"/>
              <w:jc w:val="left"/>
            </w:pPr>
            <w:r>
              <w:t xml:space="preserve">GM 2024–25</w:t>
            </w:r>
          </w:p>
        </w:tc>
        <w:tc>
          <w:tcPr/>
          <w:p>
            <w:pPr>
              <w:pStyle w:val="Compact"/>
              <w:jc w:val="left"/>
            </w:pPr>
            <w:r>
              <w:t xml:space="preserve">Sair 5 yıl</w:t>
            </w:r>
          </w:p>
        </w:tc>
        <w:tc>
          <w:tcPr/>
          <w:p>
            <w:pPr>
              <w:pStyle w:val="Compact"/>
              <w:jc w:val="left"/>
            </w:pPr>
            <w:r>
              <w:t xml:space="preserve">Sair 2024–25</w:t>
            </w:r>
          </w:p>
        </w:tc>
        <w:tc>
          <w:tcPr/>
          <w:p>
            <w:pPr>
              <w:pStyle w:val="Compact"/>
              <w:jc w:val="left"/>
            </w:pPr>
            <w:r>
              <w:t xml:space="preserve">Tarife 5 yıl</w:t>
            </w:r>
          </w:p>
        </w:tc>
        <w:tc>
          <w:tcPr/>
          <w:p>
            <w:pPr>
              <w:pStyle w:val="Compact"/>
              <w:jc w:val="left"/>
            </w:pPr>
            <w:r>
              <w:t xml:space="preserve">Tarife 2024–25</w:t>
            </w:r>
          </w:p>
        </w:tc>
      </w:tr>
      <w:tr>
        <w:tc>
          <w:tcPr/>
          <w:p>
            <w:pPr>
              <w:pStyle w:val="Compact"/>
              <w:jc w:val="left"/>
            </w:pPr>
            <w:r>
              <w:t xml:space="preserve">Olumsuz</w:t>
            </w:r>
          </w:p>
        </w:tc>
        <w:tc>
          <w:tcPr/>
          <w:p>
            <w:pPr>
              <w:pStyle w:val="Compact"/>
              <w:jc w:val="left"/>
            </w:pPr>
            <w:r>
              <w:t xml:space="preserve">44</w:t>
            </w:r>
          </w:p>
        </w:tc>
        <w:tc>
          <w:tcPr/>
          <w:p>
            <w:pPr>
              <w:pStyle w:val="Compact"/>
              <w:jc w:val="left"/>
            </w:pPr>
            <w:r>
              <w:t xml:space="preserve">39</w:t>
            </w:r>
          </w:p>
        </w:tc>
        <w:tc>
          <w:tcPr/>
          <w:p>
            <w:pPr>
              <w:pStyle w:val="Compact"/>
              <w:jc w:val="left"/>
            </w:pPr>
            <w:r>
              <w:t xml:space="preserve">36</w:t>
            </w:r>
          </w:p>
        </w:tc>
        <w:tc>
          <w:tcPr/>
          <w:p>
            <w:pPr>
              <w:pStyle w:val="Compact"/>
              <w:jc w:val="left"/>
            </w:pPr>
            <w:r>
              <w:t xml:space="preserve">32</w:t>
            </w:r>
          </w:p>
        </w:tc>
        <w:tc>
          <w:tcPr/>
          <w:p>
            <w:pPr>
              <w:pStyle w:val="Compact"/>
              <w:jc w:val="left"/>
            </w:pPr>
            <w:r>
              <w:t xml:space="preserve">42</w:t>
            </w:r>
          </w:p>
        </w:tc>
        <w:tc>
          <w:tcPr/>
          <w:p>
            <w:pPr>
              <w:pStyle w:val="Compact"/>
              <w:jc w:val="left"/>
            </w:pPr>
            <w:r>
              <w:t xml:space="preserve">37</w:t>
            </w:r>
          </w:p>
        </w:tc>
      </w:tr>
      <w:tr>
        <w:tc>
          <w:tcPr/>
          <w:p>
            <w:pPr>
              <w:pStyle w:val="Compact"/>
              <w:jc w:val="left"/>
            </w:pPr>
            <w:r>
              <w:t xml:space="preserve">Düz (farklı olanı bul dahil)</w:t>
            </w:r>
          </w:p>
        </w:tc>
        <w:tc>
          <w:tcPr/>
          <w:p>
            <w:pPr>
              <w:pStyle w:val="Compact"/>
              <w:jc w:val="left"/>
            </w:pPr>
            <w:r>
              <w:t xml:space="preserve">18</w:t>
            </w:r>
          </w:p>
        </w:tc>
        <w:tc>
          <w:tcPr/>
          <w:p>
            <w:pPr>
              <w:pStyle w:val="Compact"/>
              <w:jc w:val="left"/>
            </w:pPr>
            <w:r>
              <w:t xml:space="preserve">13</w:t>
            </w:r>
          </w:p>
        </w:tc>
        <w:tc>
          <w:tcPr/>
          <w:p>
            <w:pPr>
              <w:pStyle w:val="Compact"/>
              <w:jc w:val="left"/>
            </w:pPr>
            <w:r>
              <w:t xml:space="preserve">27</w:t>
            </w:r>
          </w:p>
        </w:tc>
        <w:tc>
          <w:tcPr/>
          <w:p>
            <w:pPr>
              <w:pStyle w:val="Compact"/>
              <w:jc w:val="left"/>
            </w:pPr>
            <w:r>
              <w:t xml:space="preserve">22</w:t>
            </w:r>
          </w:p>
        </w:tc>
        <w:tc>
          <w:tcPr/>
          <w:p>
            <w:pPr>
              <w:pStyle w:val="Compact"/>
              <w:jc w:val="left"/>
            </w:pPr>
            <w:r>
              <w:t xml:space="preserve">34</w:t>
            </w:r>
          </w:p>
        </w:tc>
        <w:tc>
          <w:tcPr/>
          <w:p>
            <w:pPr>
              <w:pStyle w:val="Compact"/>
              <w:jc w:val="left"/>
            </w:pPr>
            <w:r>
              <w:t xml:space="preserve">43</w:t>
            </w:r>
          </w:p>
        </w:tc>
      </w:tr>
      <w:tr>
        <w:tc>
          <w:tcPr/>
          <w:p>
            <w:pPr>
              <w:pStyle w:val="Compact"/>
              <w:jc w:val="left"/>
            </w:pPr>
            <w:r>
              <w:t xml:space="preserve">Öncüllü</w:t>
            </w:r>
          </w:p>
        </w:tc>
        <w:tc>
          <w:tcPr/>
          <w:p>
            <w:pPr>
              <w:pStyle w:val="Compact"/>
              <w:jc w:val="left"/>
            </w:pPr>
            <w:r>
              <w:t xml:space="preserve">19</w:t>
            </w:r>
          </w:p>
        </w:tc>
        <w:tc>
          <w:tcPr/>
          <w:p>
            <w:pPr>
              <w:pStyle w:val="Compact"/>
              <w:jc w:val="left"/>
            </w:pPr>
            <w:r>
              <w:t xml:space="preserve">23</w:t>
            </w:r>
          </w:p>
        </w:tc>
        <w:tc>
          <w:tcPr/>
          <w:p>
            <w:pPr>
              <w:pStyle w:val="Compact"/>
              <w:jc w:val="left"/>
            </w:pPr>
            <w:r>
              <w:t xml:space="preserve">17</w:t>
            </w:r>
          </w:p>
        </w:tc>
        <w:tc>
          <w:tcPr/>
          <w:p>
            <w:pPr>
              <w:pStyle w:val="Compact"/>
              <w:jc w:val="left"/>
            </w:pPr>
            <w:r>
              <w:t xml:space="preserve">19</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Doğru</w:t>
            </w:r>
          </w:p>
        </w:tc>
        <w:tc>
          <w:tcPr/>
          <w:p>
            <w:pPr>
              <w:pStyle w:val="Compact"/>
              <w:jc w:val="left"/>
            </w:pPr>
            <w:r>
              <w:t xml:space="preserve">9</w:t>
            </w:r>
          </w:p>
        </w:tc>
        <w:tc>
          <w:tcPr/>
          <w:p>
            <w:pPr>
              <w:pStyle w:val="Compact"/>
              <w:jc w:val="left"/>
            </w:pPr>
            <w:r>
              <w:t xml:space="preserve">10</w:t>
            </w:r>
          </w:p>
        </w:tc>
        <w:tc>
          <w:tcPr/>
          <w:p>
            <w:pPr>
              <w:pStyle w:val="Compact"/>
              <w:jc w:val="left"/>
            </w:pPr>
            <w:r>
              <w:t xml:space="preserve">6</w:t>
            </w:r>
          </w:p>
        </w:tc>
        <w:tc>
          <w:tcPr/>
          <w:p>
            <w:pPr>
              <w:pStyle w:val="Compact"/>
              <w:jc w:val="left"/>
            </w:pPr>
            <w:r>
              <w:t xml:space="preserve">5</w:t>
            </w:r>
          </w:p>
        </w:tc>
        <w:tc>
          <w:tcPr/>
          <w:p>
            <w:pPr>
              <w:pStyle w:val="Compact"/>
              <w:jc w:val="left"/>
            </w:pPr>
            <w:r>
              <w:t xml:space="preserve">9</w:t>
            </w:r>
          </w:p>
        </w:tc>
        <w:tc>
          <w:tcPr/>
          <w:p>
            <w:pPr>
              <w:pStyle w:val="Compact"/>
              <w:jc w:val="left"/>
            </w:pPr>
            <w:r>
              <w:t xml:space="preserve">6</w:t>
            </w:r>
          </w:p>
        </w:tc>
      </w:tr>
      <w:tr>
        <w:tc>
          <w:tcPr/>
          <w:p>
            <w:pPr>
              <w:pStyle w:val="Compact"/>
              <w:jc w:val="left"/>
            </w:pPr>
            <w:r>
              <w:t xml:space="preserve">Vaka</w:t>
            </w:r>
          </w:p>
        </w:tc>
        <w:tc>
          <w:tcPr/>
          <w:p>
            <w:pPr>
              <w:pStyle w:val="Compact"/>
              <w:jc w:val="left"/>
            </w:pPr>
            <w:r>
              <w:t xml:space="preserve">4</w:t>
            </w:r>
          </w:p>
        </w:tc>
        <w:tc>
          <w:tcPr/>
          <w:p>
            <w:pPr>
              <w:pStyle w:val="Compact"/>
              <w:jc w:val="left"/>
            </w:pPr>
            <w:r>
              <w:t xml:space="preserve">5</w:t>
            </w:r>
          </w:p>
        </w:tc>
        <w:tc>
          <w:tcPr/>
          <w:p>
            <w:pPr>
              <w:pStyle w:val="Compact"/>
              <w:jc w:val="left"/>
            </w:pPr>
            <w:r>
              <w:t xml:space="preserve">1</w:t>
            </w:r>
          </w:p>
        </w:tc>
        <w:tc>
          <w:tcPr/>
          <w:p>
            <w:pPr>
              <w:pStyle w:val="Compact"/>
              <w:jc w:val="left"/>
            </w:pPr>
            <w:r>
              <w:t xml:space="preserve">2</w:t>
            </w:r>
          </w:p>
        </w:tc>
        <w:tc>
          <w:tcPr/>
          <w:p>
            <w:pPr>
              <w:pStyle w:val="Compact"/>
              <w:jc w:val="left"/>
            </w:pPr>
            <w:r>
              <w:t xml:space="preserve">7</w:t>
            </w:r>
          </w:p>
        </w:tc>
        <w:tc>
          <w:tcPr/>
          <w:p>
            <w:pPr>
              <w:pStyle w:val="Compact"/>
              <w:jc w:val="left"/>
            </w:pPr>
            <w:r>
              <w:t xml:space="preserve">3</w:t>
            </w:r>
          </w:p>
        </w:tc>
      </w:tr>
      <w:tr>
        <w:tc>
          <w:tcPr/>
          <w:p>
            <w:pPr>
              <w:pStyle w:val="Compact"/>
              <w:jc w:val="left"/>
            </w:pPr>
            <w:r>
              <w:t xml:space="preserve">Kavram</w:t>
            </w:r>
          </w:p>
        </w:tc>
        <w:tc>
          <w:tcPr/>
          <w:p>
            <w:pPr>
              <w:pStyle w:val="Compact"/>
              <w:jc w:val="left"/>
            </w:pPr>
            <w:r>
              <w:t xml:space="preserve">2</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Boşluk</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6</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Eşleştirme</w:t>
            </w:r>
          </w:p>
        </w:tc>
        <w:tc>
          <w:tcPr/>
          <w:p>
            <w:pPr>
              <w:pStyle w:val="Compact"/>
              <w:jc w:val="left"/>
            </w:pPr>
            <w:r>
              <w:t xml:space="preserve">2</w:t>
            </w:r>
          </w:p>
        </w:tc>
        <w:tc>
          <w:tcPr/>
          <w:p>
            <w:pPr>
              <w:pStyle w:val="Compact"/>
              <w:jc w:val="left"/>
            </w:pPr>
            <w:r>
              <w:t xml:space="preserve">2</w:t>
            </w:r>
          </w:p>
        </w:tc>
        <w:tc>
          <w:tcPr/>
          <w:p>
            <w:pPr>
              <w:pStyle w:val="Compact"/>
              <w:jc w:val="left"/>
            </w:pPr>
            <w:r>
              <w:t xml:space="preserve">5</w:t>
            </w:r>
          </w:p>
        </w:tc>
        <w:tc>
          <w:tcPr/>
          <w:p>
            <w:pPr>
              <w:pStyle w:val="Compact"/>
              <w:jc w:val="left"/>
            </w:pPr>
            <w:r>
              <w:t xml:space="preserve">8</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Sıralama</w:t>
            </w:r>
          </w:p>
        </w:tc>
        <w:tc>
          <w:tcPr/>
          <w:p>
            <w:pPr>
              <w:pStyle w:val="Compact"/>
              <w:jc w:val="left"/>
            </w:pPr>
            <w:r>
              <w:t xml:space="preserve">0,5</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r>
    </w:tbl>
    <w:p>
      <w:pPr>
        <w:pStyle w:val="BodyText"/>
      </w:pPr>
      <w:r>
        <w:t xml:space="preserve">Öncüllü sorular (68 adet): öncül sayısı 4 → %54, 5 → %26, 3 → %19. Doğru cevap: ara kombinasyon %63, tek öncül (</w:t>
      </w:r>
      <w:r>
        <w:t xml:space="preserve">“</w:t>
      </w:r>
      <w:r>
        <w:t xml:space="preserve">Yalnız X</w:t>
      </w:r>
      <w:r>
        <w:t xml:space="preserve">”</w:t>
      </w:r>
      <w:r>
        <w:t xml:space="preserve">) %18, tüm öncüller %19. Tarifede öncüllü soru 5 yılda yalnız 1 kez kullanıldı.</w:t>
      </w:r>
    </w:p>
    <w:p>
      <w:pPr>
        <w:pStyle w:val="BodyText"/>
      </w:pPr>
      <w:r>
        <w:rPr>
          <w:bCs/>
          <w:b/>
        </w:rPr>
        <w:t xml:space="preserve">Okuma:</w:t>
      </w:r>
      <w:r>
        <w:t xml:space="preserve"> </w:t>
      </w:r>
      <w:r>
        <w:t xml:space="preserve">Tarifede öncüllü soru yok denecek kadar az; tarife</w:t>
      </w:r>
      <w:r>
        <w:t xml:space="preserve"> </w:t>
      </w:r>
      <w:r>
        <w:t xml:space="preserve">“</w:t>
      </w:r>
      <w:r>
        <w:t xml:space="preserve">farklı olanı bul / hangi fasılda</w:t>
      </w:r>
      <w:r>
        <w:t xml:space="preserve">”</w:t>
      </w:r>
      <w:r>
        <w:t xml:space="preserve"> </w:t>
      </w:r>
      <w:r>
        <w:t xml:space="preserve">ve olumsuz kökle soruluyor. Öncüllü soru gümrük mevzuatı ve sairin aracı. Eşleştirme ve boşluk en çok sairde (ülke–belge, tebliğ–kurum, eşik–belge). Gümrük mevzuatında olumsuz kök hâlâ en büyük pay, ama öncüllüye doğru kayıyor.</w:t>
      </w:r>
    </w:p>
    <w:bookmarkEnd w:id="25"/>
    <w:bookmarkStart w:id="26" w:name="ölçülen-bilgi-türü-5-yılın-en-sık-12si"/>
    <w:p>
      <w:pPr>
        <w:pStyle w:val="Heading3"/>
      </w:pPr>
      <w:r>
        <w:t xml:space="preserve">1.4 Ölçülen bilgi türü (5 yılın en sık 12’si)</w:t>
      </w:r>
    </w:p>
    <w:p>
      <w:pPr>
        <w:pStyle w:val="FirstParagraph"/>
      </w:pPr>
      <w:r>
        <w:t xml:space="preserve">Kapsam (kim/ne dahil-hariç) › Sınıflandırma kuralı › Matrah/kıymet unsuru › Usul/prosedür › Şart › Süre (+ süre başlangıcı) › Belge › Makam/yetki › Tanım › Oran/tutar/eşik › Hukuki sonuç › Yaptırım/ceza.</w:t>
      </w:r>
    </w:p>
    <w:p>
      <w:pPr>
        <w:pStyle w:val="BodyText"/>
      </w:pPr>
      <w:r>
        <w:rPr>
          <w:bCs/>
          <w:b/>
        </w:rPr>
        <w:t xml:space="preserve">Okuma:</w:t>
      </w:r>
      <w:r>
        <w:t xml:space="preserve"> </w:t>
      </w:r>
      <w:r>
        <w:t xml:space="preserve">En çok sorulan bilgi</w:t>
      </w:r>
      <w:r>
        <w:t xml:space="preserve"> </w:t>
      </w:r>
      <w:r>
        <w:t xml:space="preserve">“</w:t>
      </w:r>
      <w:r>
        <w:rPr>
          <w:bCs/>
          <w:b/>
        </w:rPr>
        <w:t xml:space="preserve">neyin kapsamda olup neyin olmadığı</w:t>
      </w:r>
      <w:r>
        <w:t xml:space="preserve">”</w:t>
      </w:r>
      <w:r>
        <w:t xml:space="preserve">. Ardından gelen</w:t>
      </w:r>
      <w:r>
        <w:t xml:space="preserve"> </w:t>
      </w:r>
      <w:r>
        <w:t xml:space="preserve">“</w:t>
      </w:r>
      <w:r>
        <w:t xml:space="preserve">süre, makam, oran, belge</w:t>
      </w:r>
      <w:r>
        <w:t xml:space="preserve">”</w:t>
      </w:r>
      <w:r>
        <w:t xml:space="preserve"> </w:t>
      </w:r>
      <w:r>
        <w:t xml:space="preserve">dörtlüsü sözel soruların omurgası. Bunların hepsi çeldirici üretmeye çok elverişli (komşu sayı, komşu makam, komşu belge).</w:t>
      </w:r>
    </w:p>
    <w:bookmarkEnd w:id="26"/>
    <w:bookmarkStart w:id="27" w:name="biçimsel-izler"/>
    <w:p>
      <w:pPr>
        <w:pStyle w:val="Heading3"/>
      </w:pPr>
      <w:r>
        <w:t xml:space="preserve">1.5 Biçimsel izler</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Gösterge</w:t>
            </w:r>
          </w:p>
        </w:tc>
        <w:tc>
          <w:tcPr/>
          <w:p>
            <w:pPr>
              <w:pStyle w:val="Compact"/>
              <w:jc w:val="left"/>
            </w:pPr>
            <w:r>
              <w:t xml:space="preserve">Bulgu</w:t>
            </w:r>
          </w:p>
        </w:tc>
      </w:tr>
      <w:tr>
        <w:tc>
          <w:tcPr/>
          <w:p>
            <w:pPr>
              <w:pStyle w:val="Compact"/>
              <w:jc w:val="left"/>
            </w:pPr>
            <w:r>
              <w:t xml:space="preserve">Doğru cevap harfi (500 soru)</w:t>
            </w:r>
          </w:p>
        </w:tc>
        <w:tc>
          <w:tcPr/>
          <w:p>
            <w:pPr>
              <w:pStyle w:val="Compact"/>
              <w:jc w:val="left"/>
            </w:pPr>
            <w:r>
              <w:t xml:space="preserve">A 95 · B 94 · C 105 · D 106 · E 100. Dengeli, ama 2023’te üst üste 5 C var; Bakanlık optik dengeyi her yıl gözetmiyor.</w:t>
            </w:r>
          </w:p>
        </w:tc>
      </w:tr>
      <w:tr>
        <w:tc>
          <w:tcPr/>
          <w:p>
            <w:pPr>
              <w:pStyle w:val="Compact"/>
              <w:jc w:val="left"/>
            </w:pPr>
            <w:r>
              <w:t xml:space="preserve">Doğru şıkkın uzunluğu</w:t>
            </w:r>
          </w:p>
        </w:tc>
        <w:tc>
          <w:tcPr/>
          <w:p>
            <w:pPr>
              <w:pStyle w:val="Compact"/>
              <w:jc w:val="left"/>
            </w:pPr>
            <w:r>
              <w:t xml:space="preserve">Cümle şıklı sorularda doğru şık %50–64</w:t>
            </w:r>
            <w:r>
              <w:t xml:space="preserve"> </w:t>
            </w:r>
            <w:r>
              <w:rPr>
                <w:bCs/>
                <w:b/>
              </w:rPr>
              <w:t xml:space="preserve">orta</w:t>
            </w:r>
            <w:r>
              <w:t xml:space="preserve">, %16–32</w:t>
            </w:r>
            <w:r>
              <w:t xml:space="preserve"> </w:t>
            </w:r>
            <w:r>
              <w:rPr>
                <w:bCs/>
                <w:b/>
              </w:rPr>
              <w:t xml:space="preserve">en uzun</w:t>
            </w:r>
            <w:r>
              <w:t xml:space="preserve">, %14–22</w:t>
            </w:r>
            <w:r>
              <w:t xml:space="preserve"> </w:t>
            </w:r>
            <w:r>
              <w:rPr>
                <w:bCs/>
                <w:b/>
              </w:rPr>
              <w:t xml:space="preserve">en kısa</w:t>
            </w:r>
            <w:r>
              <w:t xml:space="preserve">.</w:t>
            </w:r>
          </w:p>
        </w:tc>
      </w:tr>
      <w:tr>
        <w:tc>
          <w:tcPr/>
          <w:p>
            <w:pPr>
              <w:pStyle w:val="Compact"/>
              <w:jc w:val="left"/>
            </w:pPr>
            <w:r>
              <w:t xml:space="preserve">Olumlu kök (</w:t>
            </w:r>
            <w:r>
              <w:t xml:space="preserve">“</w:t>
            </w:r>
            <w:r>
              <w:t xml:space="preserve">hangisi doğrudur</w:t>
            </w:r>
            <w:r>
              <w:t xml:space="preserve">”</w:t>
            </w:r>
            <w:r>
              <w:t xml:space="preserve"> </w:t>
            </w:r>
            <w:r>
              <w:t xml:space="preserve">/ kavram)</w:t>
            </w:r>
          </w:p>
        </w:tc>
        <w:tc>
          <w:tcPr/>
          <w:p>
            <w:pPr>
              <w:pStyle w:val="Compact"/>
              <w:jc w:val="left"/>
            </w:pPr>
            <w:r>
              <w:t xml:space="preserve">Doğru şık sıklıkla</w:t>
            </w:r>
            <w:r>
              <w:t xml:space="preserve"> </w:t>
            </w:r>
            <w:r>
              <w:rPr>
                <w:bCs/>
                <w:b/>
              </w:rPr>
              <w:t xml:space="preserve">en uzun ve en eksiksiz</w:t>
            </w:r>
            <w:r>
              <w:t xml:space="preserve"> </w:t>
            </w:r>
            <w:r>
              <w:t xml:space="preserve">cümle; mevzuat cümlesi tam aktarılıyor.</w:t>
            </w:r>
          </w:p>
        </w:tc>
      </w:tr>
      <w:tr>
        <w:tc>
          <w:tcPr/>
          <w:p>
            <w:pPr>
              <w:pStyle w:val="Compact"/>
              <w:jc w:val="left"/>
            </w:pPr>
            <w:r>
              <w:t xml:space="preserve">Olumsuz kök</w:t>
            </w:r>
          </w:p>
        </w:tc>
        <w:tc>
          <w:tcPr/>
          <w:p>
            <w:pPr>
              <w:pStyle w:val="Compact"/>
              <w:jc w:val="left"/>
            </w:pPr>
            <w:r>
              <w:t xml:space="preserve">Doğru cevap olan bozuk ifade sıklıkla</w:t>
            </w:r>
            <w:r>
              <w:t xml:space="preserve"> </w:t>
            </w:r>
            <w:r>
              <w:rPr>
                <w:bCs/>
                <w:b/>
              </w:rPr>
              <w:t xml:space="preserve">kısa ve mutlak</w:t>
            </w:r>
            <w:r>
              <w:t xml:space="preserve"> </w:t>
            </w:r>
            <w:r>
              <w:t xml:space="preserve">(</w:t>
            </w:r>
            <w:r>
              <w:t xml:space="preserve">“</w:t>
            </w:r>
            <w:r>
              <w:t xml:space="preserve">Her türlü eşya…</w:t>
            </w:r>
            <w:r>
              <w:t xml:space="preserve">”</w:t>
            </w:r>
            <w:r>
              <w:t xml:space="preserve">,</w:t>
            </w:r>
            <w:r>
              <w:t xml:space="preserve"> </w:t>
            </w:r>
            <w:r>
              <w:t xml:space="preserve">“</w:t>
            </w:r>
            <w:r>
              <w:t xml:space="preserve">Kefil ve rejim hak sahibi aynı kişi olabilir.</w:t>
            </w:r>
            <w:r>
              <w:t xml:space="preserve">”</w:t>
            </w:r>
            <w:r>
              <w:t xml:space="preserve">). Bazen de uzun cümle içine gizlenmiş tek bir bozulma.</w:t>
            </w:r>
          </w:p>
        </w:tc>
      </w:tr>
      <w:tr>
        <w:tc>
          <w:tcPr/>
          <w:p>
            <w:pPr>
              <w:pStyle w:val="Compact"/>
              <w:jc w:val="left"/>
            </w:pPr>
            <w:r>
              <w:t xml:space="preserve">Eski kurum adı</w:t>
            </w:r>
          </w:p>
        </w:tc>
        <w:tc>
          <w:tcPr/>
          <w:p>
            <w:pPr>
              <w:pStyle w:val="Compact"/>
              <w:jc w:val="left"/>
            </w:pPr>
            <w:r>
              <w:t xml:space="preserve">“</w:t>
            </w:r>
            <w:r>
              <w:t xml:space="preserve">Müsteşarlık</w:t>
            </w:r>
            <w:r>
              <w:t xml:space="preserve">”</w:t>
            </w:r>
            <w:r>
              <w:t xml:space="preserve">,</w:t>
            </w:r>
            <w:r>
              <w:t xml:space="preserve"> </w:t>
            </w:r>
            <w:r>
              <w:t xml:space="preserve">“</w:t>
            </w:r>
            <w:r>
              <w:t xml:space="preserve">Bakanlar Kurulu</w:t>
            </w:r>
            <w:r>
              <w:t xml:space="preserve">”</w:t>
            </w:r>
            <w:r>
              <w:t xml:space="preserve"> </w:t>
            </w:r>
            <w:r>
              <w:t xml:space="preserve">ibareleri doğru şıklarda bırakılmış.</w:t>
            </w:r>
            <w:r>
              <w:t xml:space="preserve"> </w:t>
            </w:r>
            <w:r>
              <w:rPr>
                <w:bCs/>
                <w:b/>
              </w:rPr>
              <w:t xml:space="preserve">Eski kurum adı tek başına bir şıkkı yanlış yapmıyor.</w:t>
            </w:r>
          </w:p>
        </w:tc>
      </w:tr>
      <w:tr>
        <w:tc>
          <w:tcPr/>
          <w:p>
            <w:pPr>
              <w:pStyle w:val="Compact"/>
              <w:jc w:val="left"/>
            </w:pPr>
            <w:r>
              <w:t xml:space="preserve">Madde numarası</w:t>
            </w:r>
          </w:p>
        </w:tc>
        <w:tc>
          <w:tcPr/>
          <w:p>
            <w:pPr>
              <w:pStyle w:val="Compact"/>
              <w:jc w:val="left"/>
            </w:pPr>
            <w:r>
              <w:t xml:space="preserve">Köklerde nadiren var (</w:t>
            </w:r>
            <w:r>
              <w:t xml:space="preserve">“</w:t>
            </w:r>
            <w:r>
              <w:t xml:space="preserve">Gümrük Yönetmeliğinin 482 nci maddesine göre</w:t>
            </w:r>
            <w:r>
              <w:t xml:space="preserve">”</w:t>
            </w:r>
            <w:r>
              <w:t xml:space="preserve">). Şıklarda daha da nadir: 2025/81’de</w:t>
            </w:r>
            <w:r>
              <w:t xml:space="preserve"> </w:t>
            </w:r>
            <w:r>
              <w:t xml:space="preserve">“</w:t>
            </w:r>
            <w:r>
              <w:t xml:space="preserve">GK 241/1–241/2</w:t>
            </w:r>
            <w:r>
              <w:t xml:space="preserve">”</w:t>
            </w:r>
            <w:r>
              <w:t xml:space="preserve">, 2023/67’de</w:t>
            </w:r>
            <w:r>
              <w:t xml:space="preserve"> </w:t>
            </w:r>
            <w:r>
              <w:t xml:space="preserve">“</w:t>
            </w:r>
            <w:r>
              <w:t xml:space="preserve">GK md. 27/1-d</w:t>
            </w:r>
            <w:r>
              <w:t xml:space="preserve">”</w:t>
            </w:r>
            <w:r>
              <w:t xml:space="preserve">, 2022/95’te</w:t>
            </w:r>
            <w:r>
              <w:t xml:space="preserve"> </w:t>
            </w:r>
            <w:r>
              <w:t xml:space="preserve">“</w:t>
            </w:r>
            <w:r>
              <w:t xml:space="preserve">GK 241/1</w:t>
            </w:r>
            <w:r>
              <w:t xml:space="preserve">”</w:t>
            </w:r>
            <w:r>
              <w:t xml:space="preserve">. 5 yılda 4–5 soru. Bunlar madde ezberi değil,</w:t>
            </w:r>
            <w:r>
              <w:t xml:space="preserve"> </w:t>
            </w:r>
            <w:r>
              <w:rPr>
                <w:bCs/>
                <w:b/>
              </w:rPr>
              <w:t xml:space="preserve">hangi ceza fıkrasının/kıymet bendinin uygulanacağı</w:t>
            </w:r>
            <w:r>
              <w:t xml:space="preserve"> </w:t>
            </w:r>
            <w:r>
              <w:t xml:space="preserve">bilgisi.</w:t>
            </w:r>
          </w:p>
        </w:tc>
      </w:tr>
    </w:tbl>
    <w:p>
      <w:r>
        <w:pict>
          <v:rect style="width:0;height:1.5pt" o:hralign="center" o:hrstd="t" o:hr="t"/>
        </w:pict>
      </w:r>
    </w:p>
    <w:bookmarkEnd w:id="27"/>
    <w:bookmarkEnd w:id="28"/>
    <w:bookmarkStart w:id="41" w:name="X77c4dcb6a293c8715e708822cacadab55cd42b2"/>
    <w:p>
      <w:pPr>
        <w:pStyle w:val="Heading2"/>
      </w:pPr>
      <w:r>
        <w:t xml:space="preserve">2. SORU YAZARININ 12 KURALI (veriden çıkarılmış)</w:t>
      </w:r>
    </w:p>
    <w:bookmarkStart w:id="29" w:name="Xcf6648cd06664a871cacb9fe70393bc376d064a"/>
    <w:p>
      <w:pPr>
        <w:pStyle w:val="Heading3"/>
      </w:pPr>
      <w:r>
        <w:t xml:space="preserve">Kural 1 —</w:t>
      </w:r>
      <w:r>
        <w:t xml:space="preserve"> </w:t>
      </w:r>
      <w:r>
        <w:t xml:space="preserve">“</w:t>
      </w:r>
      <w:r>
        <w:t xml:space="preserve">Mevzuat cümlesi aynen; tek unsur bozuk</w:t>
      </w:r>
      <w:r>
        <w:t xml:space="preserve">”</w:t>
      </w:r>
    </w:p>
    <w:p>
      <w:pPr>
        <w:pStyle w:val="FirstParagraph"/>
      </w:pPr>
      <w:r>
        <w:t xml:space="preserve">Yazar ilgili maddeyi açıyor, 4–5 cümleyi kopyalıyor, birini bozuyor. Doğru şıklar kelimesi kelimesine mevzuattır; aday maddeyi okumuşsa bozulan yeri hemen görür.</w:t>
      </w:r>
    </w:p>
    <w:p>
      <w:pPr>
        <w:numPr>
          <w:ilvl w:val="0"/>
          <w:numId w:val="1004"/>
        </w:numPr>
        <w:pStyle w:val="Compact"/>
      </w:pPr>
      <w:r>
        <w:t xml:space="preserve">2025/21: nihai kullanım izin belgesinde</w:t>
      </w:r>
      <w:r>
        <w:t xml:space="preserve"> </w:t>
      </w:r>
      <w:r>
        <w:t xml:space="preserve">“</w:t>
      </w:r>
      <w:r>
        <w:t xml:space="preserve">değişiklik yapılır</w:t>
      </w:r>
      <w:r>
        <w:t xml:space="preserve">”</w:t>
      </w:r>
      <w:r>
        <w:t xml:space="preserve"> </w:t>
      </w:r>
      <w:r>
        <w:t xml:space="preserve">→</w:t>
      </w:r>
      <w:r>
        <w:t xml:space="preserve"> </w:t>
      </w:r>
      <w:r>
        <w:t xml:space="preserve">“</w:t>
      </w:r>
      <w:r>
        <w:rPr>
          <w:bCs/>
          <w:b/>
        </w:rPr>
        <w:t xml:space="preserve">yapılamaz</w:t>
      </w:r>
      <w:r>
        <w:t xml:space="preserve">”</w:t>
      </w:r>
    </w:p>
    <w:p>
      <w:pPr>
        <w:numPr>
          <w:ilvl w:val="0"/>
          <w:numId w:val="1004"/>
        </w:numPr>
        <w:pStyle w:val="Compact"/>
      </w:pPr>
      <w:r>
        <w:t xml:space="preserve">2025/93: teminat mektubu</w:t>
      </w:r>
      <w:r>
        <w:t xml:space="preserve"> </w:t>
      </w:r>
      <w:r>
        <w:t xml:space="preserve">“</w:t>
      </w:r>
      <w:r>
        <w:t xml:space="preserve">süresiz</w:t>
      </w:r>
      <w:r>
        <w:t xml:space="preserve">”</w:t>
      </w:r>
      <w:r>
        <w:t xml:space="preserve"> </w:t>
      </w:r>
      <w:r>
        <w:t xml:space="preserve">→</w:t>
      </w:r>
      <w:r>
        <w:t xml:space="preserve"> </w:t>
      </w:r>
      <w:r>
        <w:t xml:space="preserve">“</w:t>
      </w:r>
      <w:r>
        <w:rPr>
          <w:bCs/>
          <w:b/>
        </w:rPr>
        <w:t xml:space="preserve">süreli</w:t>
      </w:r>
      <w:r>
        <w:t xml:space="preserve">”</w:t>
      </w:r>
    </w:p>
    <w:p>
      <w:pPr>
        <w:numPr>
          <w:ilvl w:val="0"/>
          <w:numId w:val="1004"/>
        </w:numPr>
        <w:pStyle w:val="Compact"/>
      </w:pPr>
      <w:r>
        <w:t xml:space="preserve">2023/87: transitte</w:t>
      </w:r>
      <w:r>
        <w:t xml:space="preserve"> </w:t>
      </w:r>
      <w:r>
        <w:t xml:space="preserve">“</w:t>
      </w:r>
      <w:r>
        <w:t xml:space="preserve">gümrük statüsü</w:t>
      </w:r>
      <w:r>
        <w:t xml:space="preserve">”</w:t>
      </w:r>
      <w:r>
        <w:t xml:space="preserve"> </w:t>
      </w:r>
      <w:r>
        <w:t xml:space="preserve">ayrımı →</w:t>
      </w:r>
      <w:r>
        <w:t xml:space="preserve"> </w:t>
      </w:r>
      <w:r>
        <w:t xml:space="preserve">“</w:t>
      </w:r>
      <w:r>
        <w:rPr>
          <w:bCs/>
          <w:b/>
        </w:rPr>
        <w:t xml:space="preserve">menşe</w:t>
      </w:r>
      <w:r>
        <w:t xml:space="preserve">”</w:t>
      </w:r>
    </w:p>
    <w:p>
      <w:pPr>
        <w:numPr>
          <w:ilvl w:val="0"/>
          <w:numId w:val="1004"/>
        </w:numPr>
        <w:pStyle w:val="Compact"/>
      </w:pPr>
      <w:r>
        <w:t xml:space="preserve">2023/92: CIM’de</w:t>
      </w:r>
      <w:r>
        <w:t xml:space="preserve"> </w:t>
      </w:r>
      <w:r>
        <w:t xml:space="preserve">“</w:t>
      </w:r>
      <w:r>
        <w:t xml:space="preserve">brüt ağırlık</w:t>
      </w:r>
      <w:r>
        <w:t xml:space="preserve">”</w:t>
      </w:r>
      <w:r>
        <w:t xml:space="preserve"> </w:t>
      </w:r>
      <w:r>
        <w:t xml:space="preserve">→</w:t>
      </w:r>
      <w:r>
        <w:t xml:space="preserve"> </w:t>
      </w:r>
      <w:r>
        <w:t xml:space="preserve">“</w:t>
      </w:r>
      <w:r>
        <w:rPr>
          <w:bCs/>
          <w:b/>
        </w:rPr>
        <w:t xml:space="preserve">net ağırlık</w:t>
      </w:r>
      <w:r>
        <w:t xml:space="preserve">”</w:t>
      </w:r>
    </w:p>
    <w:p>
      <w:pPr>
        <w:numPr>
          <w:ilvl w:val="0"/>
          <w:numId w:val="1004"/>
        </w:numPr>
        <w:pStyle w:val="Compact"/>
      </w:pPr>
      <w:r>
        <w:t xml:space="preserve">2021/7: kısa mesafeli deniz yolunda 2 saat →</w:t>
      </w:r>
      <w:r>
        <w:t xml:space="preserve"> </w:t>
      </w:r>
      <w:r>
        <w:t xml:space="preserve">“</w:t>
      </w:r>
      <w:r>
        <w:rPr>
          <w:bCs/>
          <w:b/>
        </w:rPr>
        <w:t xml:space="preserve">dört saat</w:t>
      </w:r>
      <w:r>
        <w:t xml:space="preserve">”</w:t>
      </w:r>
    </w:p>
    <w:p>
      <w:pPr>
        <w:numPr>
          <w:ilvl w:val="0"/>
          <w:numId w:val="1004"/>
        </w:numPr>
        <w:pStyle w:val="Compact"/>
      </w:pPr>
      <w:r>
        <w:t xml:space="preserve">2021/80: kayıp eşyada</w:t>
      </w:r>
      <w:r>
        <w:t xml:space="preserve"> </w:t>
      </w:r>
      <w:r>
        <w:t xml:space="preserve">“</w:t>
      </w:r>
      <w:r>
        <w:t xml:space="preserve">son zilyet</w:t>
      </w:r>
      <w:r>
        <w:t xml:space="preserve">”</w:t>
      </w:r>
      <w:r>
        <w:t xml:space="preserve"> </w:t>
      </w:r>
      <w:r>
        <w:t xml:space="preserve">→</w:t>
      </w:r>
      <w:r>
        <w:t xml:space="preserve"> </w:t>
      </w:r>
      <w:r>
        <w:t xml:space="preserve">“</w:t>
      </w:r>
      <w:r>
        <w:rPr>
          <w:bCs/>
          <w:b/>
        </w:rPr>
        <w:t xml:space="preserve">bilinen ilk kullanıcısı</w:t>
      </w:r>
      <w:r>
        <w:t xml:space="preserve">”</w:t>
      </w:r>
    </w:p>
    <w:p>
      <w:pPr>
        <w:pStyle w:val="FirstParagraph"/>
      </w:pPr>
      <w:r>
        <w:rPr>
          <w:bCs/>
          <w:b/>
        </w:rPr>
        <w:t xml:space="preserve">Neden?</w:t>
      </w:r>
      <w:r>
        <w:t xml:space="preserve"> </w:t>
      </w:r>
      <w:r>
        <w:t xml:space="preserve">İtiraz riskini sıfıra yaklaştırmak. Dört şık mevzuatın kendisi olduğu için tartışılamaz; bozulan unsur da tartışmasız yanlıştır.</w:t>
      </w:r>
    </w:p>
    <w:bookmarkEnd w:id="29"/>
    <w:bookmarkStart w:id="30" w:name="kural-2-benzer-iki-kuralı-yan-yana-koy"/>
    <w:p>
      <w:pPr>
        <w:pStyle w:val="Heading3"/>
      </w:pPr>
      <w:r>
        <w:t xml:space="preserve">Kural 2 —</w:t>
      </w:r>
      <w:r>
        <w:t xml:space="preserve"> </w:t>
      </w:r>
      <w:r>
        <w:t xml:space="preserve">“</w:t>
      </w:r>
      <w:r>
        <w:t xml:space="preserve">Benzer iki kuralı yan yana koy</w:t>
      </w:r>
      <w:r>
        <w:t xml:space="preserve">”</w:t>
      </w:r>
    </w:p>
    <w:p>
      <w:pPr>
        <w:pStyle w:val="FirstParagraph"/>
      </w:pPr>
      <w:r>
        <w:t xml:space="preserve">Ölçülen şey bir bilginin kendisi değil,</w:t>
      </w:r>
      <w:r>
        <w:t xml:space="preserve"> </w:t>
      </w:r>
      <w:r>
        <w:rPr>
          <w:bCs/>
          <w:b/>
        </w:rPr>
        <w:t xml:space="preserve">komşu bilgiden farkı</w:t>
      </w:r>
      <w:r>
        <w:t xml:space="preserve">.</w:t>
      </w:r>
    </w:p>
    <w:p>
      <w:pPr>
        <w:numPr>
          <w:ilvl w:val="0"/>
          <w:numId w:val="1005"/>
        </w:numPr>
        <w:pStyle w:val="Compact"/>
      </w:pPr>
      <w:r>
        <w:t xml:space="preserve">2025/87–88: kısmi muafiyette geçici ithalat tescil tarihi, tam muafiyette kati ithalat tarihi</w:t>
      </w:r>
    </w:p>
    <w:p>
      <w:pPr>
        <w:numPr>
          <w:ilvl w:val="0"/>
          <w:numId w:val="1005"/>
        </w:numPr>
        <w:pStyle w:val="Compact"/>
      </w:pPr>
      <w:r>
        <w:t xml:space="preserve">2025/90: YYS’de askıya alma halleri arasına iptal sebebi (sahte belge)</w:t>
      </w:r>
    </w:p>
    <w:p>
      <w:pPr>
        <w:numPr>
          <w:ilvl w:val="0"/>
          <w:numId w:val="1005"/>
        </w:numPr>
        <w:pStyle w:val="Compact"/>
      </w:pPr>
      <w:r>
        <w:t xml:space="preserve">2025/63: telafi edici vergi, ithalat ve ihracat beyannamesi tarihi öncüllerde yan yana</w:t>
      </w:r>
    </w:p>
    <w:p>
      <w:pPr>
        <w:numPr>
          <w:ilvl w:val="0"/>
          <w:numId w:val="1005"/>
        </w:numPr>
        <w:pStyle w:val="Compact"/>
      </w:pPr>
      <w:r>
        <w:t xml:space="preserve">2024/65:</w:t>
      </w:r>
      <w:r>
        <w:t xml:space="preserve"> </w:t>
      </w:r>
      <w:r>
        <w:t xml:space="preserve">“</w:t>
      </w:r>
      <w:r>
        <w:t xml:space="preserve">önceden ihracat</w:t>
      </w:r>
      <w:r>
        <w:t xml:space="preserve">”</w:t>
      </w:r>
      <w:r>
        <w:t xml:space="preserve"> </w:t>
      </w:r>
      <w:r>
        <w:t xml:space="preserve">tanımına</w:t>
      </w:r>
      <w:r>
        <w:t xml:space="preserve"> </w:t>
      </w:r>
      <w:r>
        <w:t xml:space="preserve">“</w:t>
      </w:r>
      <w:r>
        <w:t xml:space="preserve">önceden ithalat</w:t>
      </w:r>
      <w:r>
        <w:t xml:space="preserve">”</w:t>
      </w:r>
      <w:r>
        <w:t xml:space="preserve"> </w:t>
      </w:r>
      <w:r>
        <w:t xml:space="preserve">adı verilmiş</w:t>
      </w:r>
    </w:p>
    <w:p>
      <w:pPr>
        <w:numPr>
          <w:ilvl w:val="0"/>
          <w:numId w:val="1005"/>
        </w:numPr>
        <w:pStyle w:val="Compact"/>
      </w:pPr>
      <w:r>
        <w:t xml:space="preserve">2024/73, 2023/86, 2022/61: LRN / MRN / GRN</w:t>
      </w:r>
    </w:p>
    <w:p>
      <w:pPr>
        <w:numPr>
          <w:ilvl w:val="0"/>
          <w:numId w:val="1005"/>
        </w:numPr>
        <w:pStyle w:val="Compact"/>
      </w:pPr>
      <w:r>
        <w:t xml:space="preserve">2023/2: müsadere (adli, 5607) ile mülkiyetin kamuya geçirilmesi (idari, 5326)</w:t>
      </w:r>
    </w:p>
    <w:bookmarkEnd w:id="30"/>
    <w:bookmarkStart w:id="31" w:name="kural-3-listeyi-sor-listeye-yabancı-ekle"/>
    <w:p>
      <w:pPr>
        <w:pStyle w:val="Heading3"/>
      </w:pPr>
      <w:r>
        <w:t xml:space="preserve">Kural 3 —</w:t>
      </w:r>
      <w:r>
        <w:t xml:space="preserve"> </w:t>
      </w:r>
      <w:r>
        <w:t xml:space="preserve">“</w:t>
      </w:r>
      <w:r>
        <w:t xml:space="preserve">Listeyi sor, listeye yabancı ekle</w:t>
      </w:r>
      <w:r>
        <w:t xml:space="preserve">”</w:t>
      </w:r>
    </w:p>
    <w:p>
      <w:pPr>
        <w:pStyle w:val="FirstParagraph"/>
      </w:pPr>
      <w:r>
        <w:t xml:space="preserve">Mevzuat bir şey</w:t>
      </w:r>
      <w:r>
        <w:t xml:space="preserve"> </w:t>
      </w:r>
      <w:r>
        <w:rPr>
          <w:iCs/>
          <w:i/>
        </w:rPr>
        <w:t xml:space="preserve">sayıyorsa</w:t>
      </w:r>
      <w:r>
        <w:t xml:space="preserve"> </w:t>
      </w:r>
      <w:r>
        <w:t xml:space="preserve">(istisnalar, belgeler, kolaylıklar, şartlar, taraf ülkeler) kök</w:t>
      </w:r>
      <w:r>
        <w:t xml:space="preserve"> </w:t>
      </w:r>
      <w:r>
        <w:t xml:space="preserve">“</w:t>
      </w:r>
      <w:r>
        <w:t xml:space="preserve">hangisi değildir</w:t>
      </w:r>
      <w:r>
        <w:t xml:space="preserve">”</w:t>
      </w:r>
      <w:r>
        <w:t xml:space="preserve"> </w:t>
      </w:r>
      <w:r>
        <w:t xml:space="preserve">olur. Beşinci eleman ya</w:t>
      </w:r>
      <w:r>
        <w:t xml:space="preserve"> </w:t>
      </w:r>
      <w:r>
        <w:rPr>
          <w:bCs/>
          <w:b/>
        </w:rPr>
        <w:t xml:space="preserve">komşu listeden</w:t>
      </w:r>
      <w:r>
        <w:t xml:space="preserve"> </w:t>
      </w:r>
      <w:r>
        <w:t xml:space="preserve">alınır ya</w:t>
      </w:r>
      <w:r>
        <w:t xml:space="preserve"> </w:t>
      </w:r>
      <w:r>
        <w:rPr>
          <w:bCs/>
          <w:b/>
        </w:rPr>
        <w:t xml:space="preserve">makul görünen ama listede olmayan</w:t>
      </w:r>
      <w:r>
        <w:t xml:space="preserve"> </w:t>
      </w:r>
      <w:r>
        <w:t xml:space="preserve">bir şeydir.</w:t>
      </w:r>
    </w:p>
    <w:p>
      <w:pPr>
        <w:numPr>
          <w:ilvl w:val="0"/>
          <w:numId w:val="1006"/>
        </w:numPr>
        <w:pStyle w:val="Compact"/>
      </w:pPr>
      <w:r>
        <w:t xml:space="preserve">2025/67: transitte mücbir sebep kanıtları arasına pratikte yaygın olan</w:t>
      </w:r>
      <w:r>
        <w:t xml:space="preserve"> </w:t>
      </w:r>
      <w:r>
        <w:t xml:space="preserve">“</w:t>
      </w:r>
      <w:r>
        <w:t xml:space="preserve">trafik kaza raporu</w:t>
      </w:r>
      <w:r>
        <w:t xml:space="preserve">”</w:t>
      </w:r>
    </w:p>
    <w:p>
      <w:pPr>
        <w:numPr>
          <w:ilvl w:val="0"/>
          <w:numId w:val="1006"/>
        </w:numPr>
        <w:pStyle w:val="Compact"/>
      </w:pPr>
      <w:r>
        <w:t xml:space="preserve">2025/92: yerinde gümrüklemede</w:t>
      </w:r>
      <w:r>
        <w:t xml:space="preserve"> </w:t>
      </w:r>
      <w:r>
        <w:t xml:space="preserve">“</w:t>
      </w:r>
      <w:r>
        <w:t xml:space="preserve">100.000 Avro teminat</w:t>
      </w:r>
      <w:r>
        <w:t xml:space="preserve">”</w:t>
      </w:r>
      <w:r>
        <w:t xml:space="preserve"> </w:t>
      </w:r>
      <w:r>
        <w:t xml:space="preserve">(uydurma şart)</w:t>
      </w:r>
    </w:p>
    <w:p>
      <w:pPr>
        <w:numPr>
          <w:ilvl w:val="0"/>
          <w:numId w:val="1006"/>
        </w:numPr>
        <w:pStyle w:val="Compact"/>
      </w:pPr>
      <w:r>
        <w:t xml:space="preserve">2023/42: güvenli depolama kayıtlarına</w:t>
      </w:r>
      <w:r>
        <w:t xml:space="preserve"> </w:t>
      </w:r>
      <w:r>
        <w:t xml:space="preserve">“</w:t>
      </w:r>
      <w:r>
        <w:t xml:space="preserve">sürücü bilgisi</w:t>
      </w:r>
      <w:r>
        <w:t xml:space="preserve">”</w:t>
      </w:r>
    </w:p>
    <w:p>
      <w:pPr>
        <w:numPr>
          <w:ilvl w:val="0"/>
          <w:numId w:val="1006"/>
        </w:numPr>
        <w:pStyle w:val="Compact"/>
      </w:pPr>
      <w:r>
        <w:t xml:space="preserve">2021/42 ve 49: yönetmelik tanımlarına TCK/CMK kavramları (arama, müsadere)</w:t>
      </w:r>
    </w:p>
    <w:p>
      <w:pPr>
        <w:numPr>
          <w:ilvl w:val="0"/>
          <w:numId w:val="1006"/>
        </w:numPr>
        <w:pStyle w:val="Compact"/>
      </w:pPr>
      <w:r>
        <w:t xml:space="preserve">2025/71: TIR’a taraf olmayan Libya (yeni taraf BAE ise çeldirici)</w:t>
      </w:r>
    </w:p>
    <w:bookmarkEnd w:id="31"/>
    <w:bookmarkStart w:id="32" w:name="kural-4-sayıyı-komşusuyla-sor"/>
    <w:p>
      <w:pPr>
        <w:pStyle w:val="Heading3"/>
      </w:pPr>
      <w:r>
        <w:t xml:space="preserve">Kural 4 —</w:t>
      </w:r>
      <w:r>
        <w:t xml:space="preserve"> </w:t>
      </w:r>
      <w:r>
        <w:t xml:space="preserve">“</w:t>
      </w:r>
      <w:r>
        <w:t xml:space="preserve">Sayıyı komşusuyla sor</w:t>
      </w:r>
      <w:r>
        <w:t xml:space="preserve">”</w:t>
      </w:r>
    </w:p>
    <w:p>
      <w:pPr>
        <w:pStyle w:val="FirstParagraph"/>
      </w:pPr>
      <w:r>
        <w:t xml:space="preserve">Süre, oran, tutar, eşik ve pozisyon numaraları</w:t>
      </w:r>
      <w:r>
        <w:t xml:space="preserve"> </w:t>
      </w:r>
      <w:r>
        <w:rPr>
          <w:bCs/>
          <w:b/>
        </w:rPr>
        <w:t xml:space="preserve">gerçek komşularıyla</w:t>
      </w:r>
      <w:r>
        <w:t xml:space="preserve"> </w:t>
      </w:r>
      <w:r>
        <w:t xml:space="preserve">şıklanıyor. Bu komşular aynı kanunda başka bir hükümde geçen değerlerdir; rastgele değildir.</w:t>
      </w:r>
    </w:p>
    <w:p>
      <w:pPr>
        <w:numPr>
          <w:ilvl w:val="0"/>
          <w:numId w:val="1007"/>
        </w:numPr>
        <w:pStyle w:val="Compact"/>
      </w:pPr>
      <w:r>
        <w:t xml:space="preserve">2025/74: 150 / 430 / 1.500 / 3.000 Avro (hepsi 2009/15481’de geçen tutarlar)</w:t>
      </w:r>
    </w:p>
    <w:p>
      <w:pPr>
        <w:numPr>
          <w:ilvl w:val="0"/>
          <w:numId w:val="1007"/>
        </w:numPr>
        <w:pStyle w:val="Compact"/>
      </w:pPr>
      <w:r>
        <w:t xml:space="preserve">2025/81: 5–10 iş günü × 241/1–241/2</w:t>
      </w:r>
    </w:p>
    <w:p>
      <w:pPr>
        <w:numPr>
          <w:ilvl w:val="0"/>
          <w:numId w:val="1007"/>
        </w:numPr>
        <w:pStyle w:val="Compact"/>
      </w:pPr>
      <w:r>
        <w:t xml:space="preserve">2023/29: ağırlık–kıymet × dörtte bir–üçte bir–yarı–dörtte üç matrisi</w:t>
      </w:r>
    </w:p>
    <w:p>
      <w:pPr>
        <w:numPr>
          <w:ilvl w:val="0"/>
          <w:numId w:val="1007"/>
        </w:numPr>
        <w:pStyle w:val="Compact"/>
      </w:pPr>
      <w:r>
        <w:t xml:space="preserve">2024/30: 20-30-45-60-90 gün</w:t>
      </w:r>
    </w:p>
    <w:p>
      <w:pPr>
        <w:numPr>
          <w:ilvl w:val="0"/>
          <w:numId w:val="1007"/>
        </w:numPr>
        <w:pStyle w:val="Compact"/>
      </w:pPr>
      <w:r>
        <w:t xml:space="preserve">2022/33: 5-7-10-15-30</w:t>
      </w:r>
    </w:p>
    <w:p>
      <w:pPr>
        <w:pStyle w:val="FirstParagraph"/>
      </w:pPr>
      <w:r>
        <w:rPr>
          <w:bCs/>
          <w:b/>
        </w:rPr>
        <w:t xml:space="preserve">Matris tekniği:</w:t>
      </w:r>
      <w:r>
        <w:t xml:space="preserve"> </w:t>
      </w:r>
      <w:r>
        <w:t xml:space="preserve">İki boyutlu bilgi (ölçüt × oran, süre × başlangıç, makam × işlem) çapraz eşlenerek 5 şık üretiliyor; bir hücre doğru, dördü yanlış.</w:t>
      </w:r>
    </w:p>
    <w:bookmarkEnd w:id="32"/>
    <w:bookmarkStart w:id="33" w:name="kural-5-makamı-kaydır"/>
    <w:p>
      <w:pPr>
        <w:pStyle w:val="Heading3"/>
      </w:pPr>
      <w:r>
        <w:t xml:space="preserve">Kural 5 —</w:t>
      </w:r>
      <w:r>
        <w:t xml:space="preserve"> </w:t>
      </w:r>
      <w:r>
        <w:t xml:space="preserve">“</w:t>
      </w:r>
      <w:r>
        <w:t xml:space="preserve">Makamı kaydır</w:t>
      </w:r>
      <w:r>
        <w:t xml:space="preserve">”</w:t>
      </w:r>
    </w:p>
    <w:p>
      <w:pPr>
        <w:pStyle w:val="FirstParagraph"/>
      </w:pPr>
      <w:r>
        <w:t xml:space="preserve">Cumhurbaşkanı → Bakanlık → Gümrükler GM / Risk Yönetimi → Bölge Müdürlüğü → Gümrük Müdürlüğü → İhracatçı Birliği / Oda / TSE / diğer bakanlıklar zinciri her yıl birkaç soruda kullanılıyor.</w:t>
      </w:r>
    </w:p>
    <w:p>
      <w:pPr>
        <w:numPr>
          <w:ilvl w:val="0"/>
          <w:numId w:val="1008"/>
        </w:numPr>
        <w:pStyle w:val="Compact"/>
      </w:pPr>
      <w:r>
        <w:t xml:space="preserve">2025/30: kimyasallar tebliği</w:t>
      </w:r>
      <w:r>
        <w:t xml:space="preserve"> </w:t>
      </w:r>
      <w:r>
        <w:t xml:space="preserve">“</w:t>
      </w:r>
      <w:r>
        <w:t xml:space="preserve">Tarım ve Orman Bakanlığı</w:t>
      </w:r>
      <w:r>
        <w:t xml:space="preserve">”</w:t>
      </w:r>
      <w:r>
        <w:t xml:space="preserve"> </w:t>
      </w:r>
      <w:r>
        <w:t xml:space="preserve">(doğrusu: Çevre, Şehircilik ve İklim Değişikliği Bakanlığı)</w:t>
      </w:r>
    </w:p>
    <w:p>
      <w:pPr>
        <w:numPr>
          <w:ilvl w:val="0"/>
          <w:numId w:val="1008"/>
        </w:numPr>
        <w:pStyle w:val="Compact"/>
      </w:pPr>
      <w:r>
        <w:t xml:space="preserve">2025/60-IV: konsinye ihracatta süre uzatma makamı</w:t>
      </w:r>
    </w:p>
    <w:p>
      <w:pPr>
        <w:numPr>
          <w:ilvl w:val="0"/>
          <w:numId w:val="1008"/>
        </w:numPr>
        <w:pStyle w:val="Compact"/>
      </w:pPr>
      <w:r>
        <w:t xml:space="preserve">2024/83-85-86: aynı sınavda</w:t>
      </w:r>
      <w:r>
        <w:t xml:space="preserve"> </w:t>
      </w:r>
      <w:r>
        <w:t xml:space="preserve">“</w:t>
      </w:r>
      <w:r>
        <w:t xml:space="preserve">bölge müdürlüğü</w:t>
      </w:r>
      <w:r>
        <w:t xml:space="preserve">”</w:t>
      </w:r>
      <w:r>
        <w:t xml:space="preserve"> </w:t>
      </w:r>
      <w:r>
        <w:t xml:space="preserve">bir şıkta doğru, iki şıkta yanlış</w:t>
      </w:r>
    </w:p>
    <w:p>
      <w:pPr>
        <w:numPr>
          <w:ilvl w:val="0"/>
          <w:numId w:val="1008"/>
        </w:numPr>
        <w:pStyle w:val="Compact"/>
      </w:pPr>
      <w:r>
        <w:t xml:space="preserve">2021/73: tarife cetvelini kabul eden</w:t>
      </w:r>
      <w:r>
        <w:t xml:space="preserve"> </w:t>
      </w:r>
      <w:r>
        <w:t xml:space="preserve">“</w:t>
      </w:r>
      <w:r>
        <w:t xml:space="preserve">Bakanlık</w:t>
      </w:r>
      <w:r>
        <w:t xml:space="preserve">”</w:t>
      </w:r>
      <w:r>
        <w:t xml:space="preserve"> </w:t>
      </w:r>
      <w:r>
        <w:t xml:space="preserve">(doğrusu: Cumhurbaşkanı)</w:t>
      </w:r>
    </w:p>
    <w:bookmarkEnd w:id="33"/>
    <w:bookmarkStart w:id="34" w:name="kural-6-mutlak-ifade-alarm"/>
    <w:p>
      <w:pPr>
        <w:pStyle w:val="Heading3"/>
      </w:pPr>
      <w:r>
        <w:t xml:space="preserve">Kural 6 —</w:t>
      </w:r>
      <w:r>
        <w:t xml:space="preserve"> </w:t>
      </w:r>
      <w:r>
        <w:t xml:space="preserve">“</w:t>
      </w:r>
      <w:r>
        <w:t xml:space="preserve">Mutlak ifade = alarm</w:t>
      </w:r>
      <w:r>
        <w:t xml:space="preserve">”</w:t>
      </w:r>
    </w:p>
    <w:p>
      <w:pPr>
        <w:pStyle w:val="FirstParagraph"/>
      </w:pPr>
      <w:r>
        <w:t xml:space="preserve">“</w:t>
      </w:r>
      <w:r>
        <w:t xml:space="preserve">Sadece</w:t>
      </w:r>
      <w:r>
        <w:t xml:space="preserve">”</w:t>
      </w:r>
      <w:r>
        <w:t xml:space="preserve">,</w:t>
      </w:r>
      <w:r>
        <w:t xml:space="preserve"> </w:t>
      </w:r>
      <w:r>
        <w:t xml:space="preserve">“</w:t>
      </w:r>
      <w:r>
        <w:t xml:space="preserve">yalnızca</w:t>
      </w:r>
      <w:r>
        <w:t xml:space="preserve">”</w:t>
      </w:r>
      <w:r>
        <w:t xml:space="preserve">,</w:t>
      </w:r>
      <w:r>
        <w:t xml:space="preserve"> </w:t>
      </w:r>
      <w:r>
        <w:t xml:space="preserve">“</w:t>
      </w:r>
      <w:r>
        <w:t xml:space="preserve">her türlü</w:t>
      </w:r>
      <w:r>
        <w:t xml:space="preserve">”</w:t>
      </w:r>
      <w:r>
        <w:t xml:space="preserve">,</w:t>
      </w:r>
      <w:r>
        <w:t xml:space="preserve"> </w:t>
      </w:r>
      <w:r>
        <w:t xml:space="preserve">“</w:t>
      </w:r>
      <w:r>
        <w:t xml:space="preserve">istisnasız</w:t>
      </w:r>
      <w:r>
        <w:t xml:space="preserve">”</w:t>
      </w:r>
      <w:r>
        <w:t xml:space="preserve">,</w:t>
      </w:r>
      <w:r>
        <w:t xml:space="preserve"> </w:t>
      </w:r>
      <w:r>
        <w:t xml:space="preserve">“</w:t>
      </w:r>
      <w:r>
        <w:t xml:space="preserve">hiçbir şekilde</w:t>
      </w:r>
      <w:r>
        <w:t xml:space="preserve">”</w:t>
      </w:r>
      <w:r>
        <w:t xml:space="preserve">,</w:t>
      </w:r>
      <w:r>
        <w:t xml:space="preserve"> </w:t>
      </w:r>
      <w:r>
        <w:t xml:space="preserve">“</w:t>
      </w:r>
      <w:r>
        <w:t xml:space="preserve">her durumda</w:t>
      </w:r>
      <w:r>
        <w:t xml:space="preserve">”</w:t>
      </w:r>
      <w:r>
        <w:t xml:space="preserve"> </w:t>
      </w:r>
      <w:r>
        <w:t xml:space="preserve">kelimeleri çoğunlukla bozuk şıkta duruyor.</w:t>
      </w:r>
    </w:p>
    <w:p>
      <w:pPr>
        <w:numPr>
          <w:ilvl w:val="0"/>
          <w:numId w:val="1009"/>
        </w:numPr>
        <w:pStyle w:val="Compact"/>
      </w:pPr>
      <w:r>
        <w:t xml:space="preserve">2024/92: ATA karnesi</w:t>
      </w:r>
      <w:r>
        <w:t xml:space="preserve"> </w:t>
      </w:r>
      <w:r>
        <w:t xml:space="preserve">“</w:t>
      </w:r>
      <w:r>
        <w:t xml:space="preserve">her türlü eşya</w:t>
      </w:r>
      <w:r>
        <w:t xml:space="preserve">”</w:t>
      </w:r>
      <w:r>
        <w:t xml:space="preserve"> </w:t>
      </w:r>
      <w:r>
        <w:t xml:space="preserve">için kullanılır</w:t>
      </w:r>
    </w:p>
    <w:p>
      <w:pPr>
        <w:numPr>
          <w:ilvl w:val="0"/>
          <w:numId w:val="1009"/>
        </w:numPr>
        <w:pStyle w:val="Compact"/>
      </w:pPr>
      <w:r>
        <w:t xml:space="preserve">2024/38-V:</w:t>
      </w:r>
      <w:r>
        <w:t xml:space="preserve"> </w:t>
      </w:r>
      <w:r>
        <w:t xml:space="preserve">“</w:t>
      </w:r>
      <w:r>
        <w:t xml:space="preserve">istisnasız</w:t>
      </w:r>
      <w:r>
        <w:t xml:space="preserve">”</w:t>
      </w:r>
    </w:p>
    <w:p>
      <w:pPr>
        <w:numPr>
          <w:ilvl w:val="0"/>
          <w:numId w:val="1009"/>
        </w:numPr>
        <w:pStyle w:val="Compact"/>
      </w:pPr>
      <w:r>
        <w:t xml:space="preserve">2022/25, 28, 58:</w:t>
      </w:r>
      <w:r>
        <w:t xml:space="preserve"> </w:t>
      </w:r>
      <w:r>
        <w:t xml:space="preserve">“</w:t>
      </w:r>
      <w:r>
        <w:t xml:space="preserve">yalnızca/sadece</w:t>
      </w:r>
      <w:r>
        <w:t xml:space="preserve">”</w:t>
      </w:r>
    </w:p>
    <w:p>
      <w:pPr>
        <w:numPr>
          <w:ilvl w:val="0"/>
          <w:numId w:val="1009"/>
        </w:numPr>
        <w:pStyle w:val="Compact"/>
      </w:pPr>
      <w:r>
        <w:t xml:space="preserve">2021/21:</w:t>
      </w:r>
      <w:r>
        <w:t xml:space="preserve"> </w:t>
      </w:r>
      <w:r>
        <w:t xml:space="preserve">“</w:t>
      </w:r>
      <w:r>
        <w:t xml:space="preserve">sadece TCK uygulanır</w:t>
      </w:r>
      <w:r>
        <w:t xml:space="preserve">”</w:t>
      </w:r>
    </w:p>
    <w:p>
      <w:pPr>
        <w:pStyle w:val="FirstParagraph"/>
      </w:pPr>
      <w:r>
        <w:t xml:space="preserve">Tersi de var:</w:t>
      </w:r>
      <w:r>
        <w:t xml:space="preserve"> </w:t>
      </w:r>
      <w:r>
        <w:t xml:space="preserve">“</w:t>
      </w:r>
      <w:r>
        <w:t xml:space="preserve">Kıymetli madenlerin ihracı</w:t>
      </w:r>
      <w:r>
        <w:t xml:space="preserve"> </w:t>
      </w:r>
      <w:r>
        <w:rPr>
          <w:bCs/>
          <w:b/>
        </w:rPr>
        <w:t xml:space="preserve">kotaya tabidir</w:t>
      </w:r>
      <w:r>
        <w:t xml:space="preserve">”</w:t>
      </w:r>
      <w:r>
        <w:t xml:space="preserve"> </w:t>
      </w:r>
      <w:r>
        <w:t xml:space="preserve">(2025/31) gibi kısıtlayıcı ifade serbest olan bir kuralı bozuyor.</w:t>
      </w:r>
    </w:p>
    <w:bookmarkEnd w:id="34"/>
    <w:bookmarkStart w:id="35" w:name="kural-7-olayın-türünü-ters-koy"/>
    <w:p>
      <w:pPr>
        <w:pStyle w:val="Heading3"/>
      </w:pPr>
      <w:r>
        <w:t xml:space="preserve">Kural 7 —</w:t>
      </w:r>
      <w:r>
        <w:t xml:space="preserve"> </w:t>
      </w:r>
      <w:r>
        <w:t xml:space="preserve">“</w:t>
      </w:r>
      <w:r>
        <w:t xml:space="preserve">Olayın türünü ters koy</w:t>
      </w:r>
      <w:r>
        <w:t xml:space="preserve">”</w:t>
      </w:r>
    </w:p>
    <w:p>
      <w:pPr>
        <w:pStyle w:val="FirstParagraph"/>
      </w:pPr>
      <w:r>
        <w:t xml:space="preserve">Sorumluluğu kaldıran davranış sorumluluk doğuran hâllerin arasına (2021/33), yükümlülüğü sona erdiren olay yükümlülüğü doğuranların arasına (2021/38), ticari başarısızlık geri verme sebebinin arasına (2021/34), iptal sebebi askıya alma sebeplerinin arasına (2025/90) konuyor.</w:t>
      </w:r>
    </w:p>
    <w:bookmarkEnd w:id="35"/>
    <w:bookmarkStart w:id="36" w:name="kural-8-kavramın-etiketini-değiştir"/>
    <w:p>
      <w:pPr>
        <w:pStyle w:val="Heading3"/>
      </w:pPr>
      <w:r>
        <w:t xml:space="preserve">Kural 8 —</w:t>
      </w:r>
      <w:r>
        <w:t xml:space="preserve"> </w:t>
      </w:r>
      <w:r>
        <w:t xml:space="preserve">“</w:t>
      </w:r>
      <w:r>
        <w:t xml:space="preserve">Kavramın etiketini değiştir</w:t>
      </w:r>
      <w:r>
        <w:t xml:space="preserve">”</w:t>
      </w:r>
    </w:p>
    <w:p>
      <w:pPr>
        <w:pStyle w:val="FirstParagraph"/>
      </w:pPr>
      <w:r>
        <w:t xml:space="preserve">Tanım doğru, adı yanlış. Tanımı okuyup adı kontrol etmeyen kaybediyor.</w:t>
      </w:r>
    </w:p>
    <w:p>
      <w:pPr>
        <w:numPr>
          <w:ilvl w:val="0"/>
          <w:numId w:val="1010"/>
        </w:numPr>
        <w:pStyle w:val="Compact"/>
      </w:pPr>
      <w:r>
        <w:t xml:space="preserve">2021/2: risk yönetimi tanımına</w:t>
      </w:r>
      <w:r>
        <w:t xml:space="preserve"> </w:t>
      </w:r>
      <w:r>
        <w:t xml:space="preserve">“</w:t>
      </w:r>
      <w:r>
        <w:t xml:space="preserve">risk araştırması</w:t>
      </w:r>
      <w:r>
        <w:t xml:space="preserve">”</w:t>
      </w:r>
      <w:r>
        <w:t xml:space="preserve"> </w:t>
      </w:r>
      <w:r>
        <w:t xml:space="preserve">adı</w:t>
      </w:r>
    </w:p>
    <w:p>
      <w:pPr>
        <w:numPr>
          <w:ilvl w:val="0"/>
          <w:numId w:val="1010"/>
        </w:numPr>
        <w:pStyle w:val="Compact"/>
      </w:pPr>
      <w:r>
        <w:t xml:space="preserve">2021/19: son yöntemin tanımına</w:t>
      </w:r>
      <w:r>
        <w:t xml:space="preserve"> </w:t>
      </w:r>
      <w:r>
        <w:t xml:space="preserve">“</w:t>
      </w:r>
      <w:r>
        <w:t xml:space="preserve">hesaplanmış kıymet</w:t>
      </w:r>
      <w:r>
        <w:t xml:space="preserve">”</w:t>
      </w:r>
      <w:r>
        <w:t xml:space="preserve"> </w:t>
      </w:r>
      <w:r>
        <w:t xml:space="preserve">başlığı</w:t>
      </w:r>
    </w:p>
    <w:p>
      <w:pPr>
        <w:numPr>
          <w:ilvl w:val="0"/>
          <w:numId w:val="1010"/>
        </w:numPr>
        <w:pStyle w:val="Compact"/>
      </w:pPr>
      <w:r>
        <w:t xml:space="preserve">2024/57: römork / römorkör</w:t>
      </w:r>
    </w:p>
    <w:p>
      <w:pPr>
        <w:numPr>
          <w:ilvl w:val="0"/>
          <w:numId w:val="1010"/>
        </w:numPr>
        <w:pStyle w:val="Compact"/>
      </w:pPr>
      <w:r>
        <w:t xml:space="preserve">2024/37: efektif / döviz</w:t>
      </w:r>
    </w:p>
    <w:p>
      <w:pPr>
        <w:numPr>
          <w:ilvl w:val="0"/>
          <w:numId w:val="1010"/>
        </w:numPr>
        <w:pStyle w:val="Compact"/>
      </w:pPr>
      <w:r>
        <w:t xml:space="preserve">2025/89:</w:t>
      </w:r>
      <w:r>
        <w:t xml:space="preserve"> </w:t>
      </w:r>
      <w:r>
        <w:t xml:space="preserve">“</w:t>
      </w:r>
      <w:r>
        <w:t xml:space="preserve">bağlayıcı menşe</w:t>
      </w:r>
      <w:r>
        <w:t xml:space="preserve">”</w:t>
      </w:r>
      <w:r>
        <w:t xml:space="preserve">,</w:t>
      </w:r>
      <w:r>
        <w:t xml:space="preserve"> </w:t>
      </w:r>
      <w:r>
        <w:t xml:space="preserve">“</w:t>
      </w:r>
      <w:r>
        <w:t xml:space="preserve">sabit değişim</w:t>
      </w:r>
      <w:r>
        <w:t xml:space="preserve">”</w:t>
      </w:r>
      <w:r>
        <w:t xml:space="preserve"> </w:t>
      </w:r>
      <w:r>
        <w:t xml:space="preserve">gibi uydurma kavramlar</w:t>
      </w:r>
    </w:p>
    <w:bookmarkEnd w:id="36"/>
    <w:bookmarkStart w:id="37" w:name="kural-9-rejimden-rejime-hüküm-taşı"/>
    <w:p>
      <w:pPr>
        <w:pStyle w:val="Heading3"/>
      </w:pPr>
      <w:r>
        <w:t xml:space="preserve">Kural 9 —</w:t>
      </w:r>
      <w:r>
        <w:t xml:space="preserve"> </w:t>
      </w:r>
      <w:r>
        <w:t xml:space="preserve">“</w:t>
      </w:r>
      <w:r>
        <w:t xml:space="preserve">Rejimden rejime hüküm taşı</w:t>
      </w:r>
      <w:r>
        <w:t xml:space="preserve">”</w:t>
      </w:r>
    </w:p>
    <w:p>
      <w:pPr>
        <w:pStyle w:val="FirstParagraph"/>
      </w:pPr>
      <w:r>
        <w:t xml:space="preserve">Bir rejimde doğru olan hüküm başka rejime konuyor.</w:t>
      </w:r>
    </w:p>
    <w:p>
      <w:pPr>
        <w:numPr>
          <w:ilvl w:val="0"/>
          <w:numId w:val="1011"/>
        </w:numPr>
        <w:pStyle w:val="Compact"/>
      </w:pPr>
      <w:r>
        <w:t xml:space="preserve">2024/91-II: DİR’deki işleme faaliyeti geçici ithalata</w:t>
      </w:r>
    </w:p>
    <w:p>
      <w:pPr>
        <w:numPr>
          <w:ilvl w:val="0"/>
          <w:numId w:val="1011"/>
        </w:numPr>
        <w:pStyle w:val="Compact"/>
      </w:pPr>
      <w:r>
        <w:t xml:space="preserve">2024/62-D: geçici ithalat ambalaj hükmü ihracata</w:t>
      </w:r>
    </w:p>
    <w:p>
      <w:pPr>
        <w:numPr>
          <w:ilvl w:val="0"/>
          <w:numId w:val="1011"/>
        </w:numPr>
        <w:pStyle w:val="Compact"/>
      </w:pPr>
      <w:r>
        <w:t xml:space="preserve">2025/66-III: AB (UCC) basitleştirmesi Türk transit mevzuatına</w:t>
      </w:r>
    </w:p>
    <w:p>
      <w:pPr>
        <w:numPr>
          <w:ilvl w:val="0"/>
          <w:numId w:val="1011"/>
        </w:numPr>
        <w:pStyle w:val="Compact"/>
      </w:pPr>
      <w:r>
        <w:t xml:space="preserve">2025/65-A: ulusal teminat ortak transite</w:t>
      </w:r>
    </w:p>
    <w:bookmarkEnd w:id="37"/>
    <w:bookmarkStart w:id="38" w:name="kural-10-hesapta-kural-aritmetik-değil"/>
    <w:p>
      <w:pPr>
        <w:pStyle w:val="Heading3"/>
      </w:pPr>
      <w:r>
        <w:t xml:space="preserve">Kural 10 —</w:t>
      </w:r>
      <w:r>
        <w:t xml:space="preserve"> </w:t>
      </w:r>
      <w:r>
        <w:t xml:space="preserve">“</w:t>
      </w:r>
      <w:r>
        <w:t xml:space="preserve">Hesapta kural, aritmetik değil</w:t>
      </w:r>
      <w:r>
        <w:t xml:space="preserve">”</w:t>
      </w:r>
    </w:p>
    <w:p>
      <w:pPr>
        <w:numPr>
          <w:ilvl w:val="0"/>
          <w:numId w:val="1012"/>
        </w:numPr>
        <w:pStyle w:val="Compact"/>
      </w:pPr>
      <w:r>
        <w:rPr>
          <w:bCs/>
          <w:b/>
        </w:rPr>
        <w:t xml:space="preserve">Dahil/hariç eleği:</w:t>
      </w:r>
      <w:r>
        <w:t xml:space="preserve"> </w:t>
      </w:r>
      <w:r>
        <w:t xml:space="preserve">7–15 kalemlik vaka; her kalem bir kıymet kuralı (2022/89’da 15 kalem, 2021/89’da 13 kalem).</w:t>
      </w:r>
    </w:p>
    <w:p>
      <w:pPr>
        <w:numPr>
          <w:ilvl w:val="0"/>
          <w:numId w:val="1012"/>
        </w:numPr>
        <w:pStyle w:val="Compact"/>
      </w:pPr>
      <w:r>
        <w:rPr>
          <w:bCs/>
          <w:b/>
        </w:rPr>
        <w:t xml:space="preserve">Merdiven şıklar:</w:t>
      </w:r>
      <w:r>
        <w:t xml:space="preserve"> </w:t>
      </w:r>
      <w:r>
        <w:t xml:space="preserve">Doğru tutarın üstüne yanlış kalemler birer birer eklenerek şık üretiliyor (2022/92: 509 → 510 → 519 → 520 → 525).</w:t>
      </w:r>
    </w:p>
    <w:p>
      <w:pPr>
        <w:numPr>
          <w:ilvl w:val="0"/>
          <w:numId w:val="1012"/>
        </w:numPr>
        <w:pStyle w:val="Compact"/>
      </w:pPr>
      <w:r>
        <w:rPr>
          <w:bCs/>
          <w:b/>
        </w:rPr>
        <w:t xml:space="preserve">Tuzak veri:</w:t>
      </w:r>
      <w:r>
        <w:t xml:space="preserve"> </w:t>
      </w:r>
      <w:r>
        <w:t xml:space="preserve">Kullanılmaması gereken bilgi soruda var. Örnekler: ÖTV (I) listesinde litre başı vergi (2025/15), peşin ödeme tarihindeki kur (2021/87), saha alanı m² ile tank hacmi m³ (2023/99).</w:t>
      </w:r>
    </w:p>
    <w:p>
      <w:pPr>
        <w:numPr>
          <w:ilvl w:val="0"/>
          <w:numId w:val="1012"/>
        </w:numPr>
        <w:pStyle w:val="Compact"/>
      </w:pPr>
      <w:r>
        <w:rPr>
          <w:bCs/>
          <w:b/>
        </w:rPr>
        <w:t xml:space="preserve">Hesapsız hesap:</w:t>
      </w:r>
      <w:r>
        <w:t xml:space="preserve"> </w:t>
      </w:r>
      <w:r>
        <w:t xml:space="preserve">2023/68’de uzlaşılan tutara indirim uygulanmaz, cevap verilen sayının kendisi. 2023/35-D’de aritmetik doğru, hüküm yanlış.</w:t>
      </w:r>
    </w:p>
    <w:p>
      <w:pPr>
        <w:numPr>
          <w:ilvl w:val="0"/>
          <w:numId w:val="1012"/>
        </w:numPr>
        <w:pStyle w:val="Compact"/>
      </w:pPr>
      <w:r>
        <w:rPr>
          <w:bCs/>
          <w:b/>
        </w:rPr>
        <w:t xml:space="preserve">Bağlı soru:</w:t>
      </w:r>
      <w:r>
        <w:t xml:space="preserve"> </w:t>
      </w:r>
      <w:r>
        <w:t xml:space="preserve">Önce kıymet, sonra KDV matrahı (2021/89-90, 2022/89-90, 2023/72-73 ve 81-82, 2024/9-10). İlk soruda hata yapan ikincisini de kaybediyor.</w:t>
      </w:r>
    </w:p>
    <w:p>
      <w:pPr>
        <w:numPr>
          <w:ilvl w:val="0"/>
          <w:numId w:val="1012"/>
        </w:numPr>
        <w:pStyle w:val="Compact"/>
      </w:pPr>
      <w:r>
        <w:rPr>
          <w:bCs/>
          <w:b/>
        </w:rPr>
        <w:t xml:space="preserve">Mükerrerlik:</w:t>
      </w:r>
      <w:r>
        <w:t xml:space="preserve"> </w:t>
      </w:r>
      <w:r>
        <w:t xml:space="preserve">Daha önce 2 no.lu KDV beyannamesiyle ödenmiş KDV gümrükte tekrar alınmaz (2025/14). Antrepo işleticisinin fatura ettiği KDV mahsup edilir (2025/12). Gözetim farkına isabet eden KDV indirilemez (2024/29).</w:t>
      </w:r>
    </w:p>
    <w:bookmarkEnd w:id="38"/>
    <w:bookmarkStart w:id="39" w:name="kural-11-sınav-yılının-mevzuatını-sor"/>
    <w:p>
      <w:pPr>
        <w:pStyle w:val="Heading3"/>
      </w:pPr>
      <w:r>
        <w:t xml:space="preserve">Kural 11 —</w:t>
      </w:r>
      <w:r>
        <w:t xml:space="preserve"> </w:t>
      </w:r>
      <w:r>
        <w:t xml:space="preserve">“</w:t>
      </w:r>
      <w:r>
        <w:t xml:space="preserve">Sınav yılının mevzuatını sor</w:t>
      </w:r>
      <w:r>
        <w:t xml:space="preserve">”</w:t>
      </w:r>
    </w:p>
    <w:p>
      <w:pPr>
        <w:pStyle w:val="FirstParagraph"/>
      </w:pPr>
      <w:r>
        <w:t xml:space="preserve">Vaka tarihleri sınav yılına göre kuruluyor (zamanaşımı ve kullanılmış taşıt yaşı buna göre hesaplanıyor). Rakamlar o yılın güncel rakamı: asgari ücret tarifesi (2022/56, 2024/100: 44.085 TL), götürü teminat tutarları, posta eşiği (2023: 150 Avro, 2025: 30 Avro), nakit beyan eşiği (2025: 185.000 TL).</w:t>
      </w:r>
    </w:p>
    <w:bookmarkEnd w:id="39"/>
    <w:bookmarkStart w:id="40" w:name="kural-12-seri-kur-çapraz-ipucu-bırak"/>
    <w:p>
      <w:pPr>
        <w:pStyle w:val="Heading3"/>
      </w:pPr>
      <w:r>
        <w:t xml:space="preserve">Kural 12 —</w:t>
      </w:r>
      <w:r>
        <w:t xml:space="preserve"> </w:t>
      </w:r>
      <w:r>
        <w:t xml:space="preserve">“</w:t>
      </w:r>
      <w:r>
        <w:t xml:space="preserve">Seri kur, çapraz ipucu bırak</w:t>
      </w:r>
      <w:r>
        <w:t xml:space="preserve">”</w:t>
      </w:r>
    </w:p>
    <w:p>
      <w:pPr>
        <w:pStyle w:val="FirstParagraph"/>
      </w:pPr>
      <w:r>
        <w:t xml:space="preserve">Aynı hüküm sınav içinde iki kez kullanılabiliyor: bir soruda doğru öncül, diğerinde cevap. Örnekler: 2024/30↔39, 2024/74-B↔75-B, 2021/69 kökü 70’in cevabı, 2022/57↔93↔97. Bu</w:t>
      </w:r>
      <w:r>
        <w:t xml:space="preserve"> </w:t>
      </w:r>
      <w:r>
        <w:rPr>
          <w:bCs/>
          <w:b/>
        </w:rPr>
        <w:t xml:space="preserve">bilinçli değil, havuz mantığının yan ürünü</w:t>
      </w:r>
      <w:r>
        <w:t xml:space="preserve">. Soru bankasında taklit edilmemeli; öğrenciye ise</w:t>
      </w:r>
      <w:r>
        <w:t xml:space="preserve"> </w:t>
      </w:r>
      <w:r>
        <w:t xml:space="preserve">“</w:t>
      </w:r>
      <w:r>
        <w:t xml:space="preserve">sınav içi ipucu</w:t>
      </w:r>
      <w:r>
        <w:t xml:space="preserve">”</w:t>
      </w:r>
      <w:r>
        <w:t xml:space="preserve"> </w:t>
      </w:r>
      <w:r>
        <w:t xml:space="preserve">stratejisi olarak öğretilebilir.</w:t>
      </w:r>
    </w:p>
    <w:p>
      <w:r>
        <w:pict>
          <v:rect style="width:0;height:1.5pt" o:hralign="center" o:hrstd="t" o:hr="t"/>
        </w:pict>
      </w:r>
    </w:p>
    <w:bookmarkEnd w:id="40"/>
    <w:bookmarkEnd w:id="41"/>
    <w:bookmarkStart w:id="46" w:name="konu-haritasi-5-yılda-ne-kadar-sorulmuş"/>
    <w:p>
      <w:pPr>
        <w:pStyle w:val="Heading2"/>
      </w:pPr>
      <w:r>
        <w:t xml:space="preserve">3. KONU HARİTASI — 5 yılda ne kadar sorulmuş?</w:t>
      </w:r>
    </w:p>
    <w:p>
      <w:pPr>
        <w:pStyle w:val="FirstParagraph"/>
      </w:pPr>
      <w:r>
        <w:t xml:space="preserve">500 soru 45 kanonik konuya tek tek (anahtar kelimeyle değil, soru okunarak) eşlendi. Hesap soruları içerik konusuna dağıtıldı. Bu yüzden gruplar 1.1’deki alan tablosundan farklıdır.</w:t>
      </w:r>
    </w:p>
    <w:bookmarkStart w:id="42" w:name="grup-toplamları"/>
    <w:p>
      <w:pPr>
        <w:pStyle w:val="Heading3"/>
      </w:pPr>
      <w:r>
        <w:t xml:space="preserve">3.1 Grup toplamları</w:t>
      </w:r>
    </w:p>
    <w:tbl>
      <w:tblPr>
        <w:tblStyle w:val="Table"/>
        <w:tblW w:type="pct" w:w="5000"/>
        <w:tblLook w:firstRow="1" w:lastRow="0" w:firstColumn="0" w:lastColumn="0" w:noHBand="0" w:noVBand="0" w:val="0020"/>
        <w:jc w:val="start"/>
      </w:tblPr>
      <w:tblGrid>
        <w:gridCol w:w="3230"/>
        <w:gridCol w:w="729"/>
        <w:gridCol w:w="729"/>
        <w:gridCol w:w="729"/>
        <w:gridCol w:w="729"/>
        <w:gridCol w:w="729"/>
        <w:gridCol w:w="1042"/>
      </w:tblGrid>
      <w:tr>
        <w:trPr>
          <w:tblHeader w:val="true"/>
        </w:trPr>
        <w:tc>
          <w:tcPr/>
          <w:p>
            <w:pPr>
              <w:pStyle w:val="Compact"/>
              <w:jc w:val="left"/>
            </w:pPr>
            <w:r>
              <w:t xml:space="preserve">Grup</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5 yıl ort.</w:t>
            </w:r>
          </w:p>
        </w:tc>
      </w:tr>
      <w:tr>
        <w:tc>
          <w:tcPr/>
          <w:p>
            <w:pPr>
              <w:pStyle w:val="Compact"/>
              <w:jc w:val="left"/>
            </w:pPr>
            <w:r>
              <w:t xml:space="preserve">Gümrük mevzuatı (hesaplar dahil)</w:t>
            </w:r>
          </w:p>
        </w:tc>
        <w:tc>
          <w:tcPr/>
          <w:p>
            <w:pPr>
              <w:pStyle w:val="Compact"/>
              <w:jc w:val="left"/>
            </w:pPr>
            <w:r>
              <w:t xml:space="preserve">60</w:t>
            </w:r>
          </w:p>
        </w:tc>
        <w:tc>
          <w:tcPr/>
          <w:p>
            <w:pPr>
              <w:pStyle w:val="Compact"/>
              <w:jc w:val="left"/>
            </w:pPr>
            <w:r>
              <w:t xml:space="preserve">52</w:t>
            </w:r>
          </w:p>
        </w:tc>
        <w:tc>
          <w:tcPr/>
          <w:p>
            <w:pPr>
              <w:pStyle w:val="Compact"/>
              <w:jc w:val="left"/>
            </w:pPr>
            <w:r>
              <w:t xml:space="preserve">48</w:t>
            </w:r>
          </w:p>
        </w:tc>
        <w:tc>
          <w:tcPr/>
          <w:p>
            <w:pPr>
              <w:pStyle w:val="Compact"/>
              <w:jc w:val="left"/>
            </w:pPr>
            <w:r>
              <w:t xml:space="preserve">47</w:t>
            </w:r>
          </w:p>
        </w:tc>
        <w:tc>
          <w:tcPr/>
          <w:p>
            <w:pPr>
              <w:pStyle w:val="Compact"/>
              <w:jc w:val="left"/>
            </w:pPr>
            <w:r>
              <w:t xml:space="preserve">48</w:t>
            </w:r>
          </w:p>
        </w:tc>
        <w:tc>
          <w:tcPr/>
          <w:p>
            <w:pPr>
              <w:pStyle w:val="Compact"/>
              <w:jc w:val="left"/>
            </w:pPr>
            <w:r>
              <w:rPr>
                <w:bCs/>
                <w:b/>
              </w:rPr>
              <w:t xml:space="preserve">51</w:t>
            </w:r>
          </w:p>
        </w:tc>
      </w:tr>
      <w:tr>
        <w:tc>
          <w:tcPr/>
          <w:p>
            <w:pPr>
              <w:pStyle w:val="Compact"/>
              <w:jc w:val="left"/>
            </w:pPr>
            <w:r>
              <w:t xml:space="preserve">Sair mevzuat (hesaplar dahil)</w:t>
            </w:r>
          </w:p>
        </w:tc>
        <w:tc>
          <w:tcPr/>
          <w:p>
            <w:pPr>
              <w:pStyle w:val="Compact"/>
              <w:jc w:val="left"/>
            </w:pPr>
            <w:r>
              <w:t xml:space="preserve">27</w:t>
            </w:r>
          </w:p>
        </w:tc>
        <w:tc>
          <w:tcPr/>
          <w:p>
            <w:pPr>
              <w:pStyle w:val="Compact"/>
              <w:jc w:val="left"/>
            </w:pPr>
            <w:r>
              <w:t xml:space="preserve">36</w:t>
            </w:r>
          </w:p>
        </w:tc>
        <w:tc>
          <w:tcPr/>
          <w:p>
            <w:pPr>
              <w:pStyle w:val="Compact"/>
              <w:jc w:val="left"/>
            </w:pPr>
            <w:r>
              <w:t xml:space="preserve">34</w:t>
            </w:r>
          </w:p>
        </w:tc>
        <w:tc>
          <w:tcPr/>
          <w:p>
            <w:pPr>
              <w:pStyle w:val="Compact"/>
              <w:jc w:val="left"/>
            </w:pPr>
            <w:r>
              <w:t xml:space="preserve">35</w:t>
            </w:r>
          </w:p>
        </w:tc>
        <w:tc>
          <w:tcPr/>
          <w:p>
            <w:pPr>
              <w:pStyle w:val="Compact"/>
              <w:jc w:val="left"/>
            </w:pPr>
            <w:r>
              <w:t xml:space="preserve">35</w:t>
            </w:r>
          </w:p>
        </w:tc>
        <w:tc>
          <w:tcPr/>
          <w:p>
            <w:pPr>
              <w:pStyle w:val="Compact"/>
              <w:jc w:val="left"/>
            </w:pPr>
            <w:r>
              <w:rPr>
                <w:bCs/>
                <w:b/>
              </w:rPr>
              <w:t xml:space="preserve">33</w:t>
            </w:r>
          </w:p>
        </w:tc>
      </w:tr>
      <w:tr>
        <w:tc>
          <w:tcPr/>
          <w:p>
            <w:pPr>
              <w:pStyle w:val="Compact"/>
              <w:jc w:val="left"/>
            </w:pPr>
            <w:r>
              <w:t xml:space="preserve">Tarife</w:t>
            </w:r>
          </w:p>
        </w:tc>
        <w:tc>
          <w:tcPr/>
          <w:p>
            <w:pPr>
              <w:pStyle w:val="Compact"/>
              <w:jc w:val="left"/>
            </w:pPr>
            <w:r>
              <w:t xml:space="preserve">13</w:t>
            </w:r>
          </w:p>
        </w:tc>
        <w:tc>
          <w:tcPr/>
          <w:p>
            <w:pPr>
              <w:pStyle w:val="Compact"/>
              <w:jc w:val="left"/>
            </w:pPr>
            <w:r>
              <w:t xml:space="preserve">12</w:t>
            </w:r>
          </w:p>
        </w:tc>
        <w:tc>
          <w:tcPr/>
          <w:p>
            <w:pPr>
              <w:pStyle w:val="Compact"/>
              <w:jc w:val="left"/>
            </w:pPr>
            <w:r>
              <w:t xml:space="preserve">18</w:t>
            </w:r>
          </w:p>
        </w:tc>
        <w:tc>
          <w:tcPr/>
          <w:p>
            <w:pPr>
              <w:pStyle w:val="Compact"/>
              <w:jc w:val="left"/>
            </w:pPr>
            <w:r>
              <w:t xml:space="preserve">18</w:t>
            </w:r>
          </w:p>
        </w:tc>
        <w:tc>
          <w:tcPr/>
          <w:p>
            <w:pPr>
              <w:pStyle w:val="Compact"/>
              <w:jc w:val="left"/>
            </w:pPr>
            <w:r>
              <w:t xml:space="preserve">17</w:t>
            </w:r>
          </w:p>
        </w:tc>
        <w:tc>
          <w:tcPr/>
          <w:p>
            <w:pPr>
              <w:pStyle w:val="Compact"/>
              <w:jc w:val="left"/>
            </w:pPr>
            <w:r>
              <w:rPr>
                <w:bCs/>
                <w:b/>
              </w:rPr>
              <w:t xml:space="preserve">16</w:t>
            </w:r>
          </w:p>
        </w:tc>
      </w:tr>
    </w:tbl>
    <w:p>
      <w:pPr>
        <w:pStyle w:val="BodyText"/>
      </w:pPr>
      <w:r>
        <w:t xml:space="preserve">Hesap sorularının konusu (59 soru): gümrük kıymeti 32 · KDV matrahı 9 · ceza/uzlaşma 7 · ÖTV 4 · antrepo teminatı 2 · İGV/MIN-MAX 2 · gözetim 1 · geçici ithalat faizi 1 · ihracat bedeli 1.</w:t>
      </w:r>
    </w:p>
    <w:bookmarkEnd w:id="42"/>
    <w:bookmarkStart w:id="43" w:name="konu-yıl-frekansı-45-konunun-tamamı"/>
    <w:p>
      <w:pPr>
        <w:pStyle w:val="Heading3"/>
      </w:pPr>
      <w:r>
        <w:t xml:space="preserve">3.2 Konu × yıl frekansı (45 konunun tamamı)</w:t>
      </w:r>
    </w:p>
    <w:tbl>
      <w:tblPr>
        <w:tblStyle w:val="Table"/>
        <w:tblW w:type="pct" w:w="5000"/>
        <w:tblLook w:firstRow="1" w:lastRow="0" w:firstColumn="0" w:lastColumn="0" w:noHBand="0" w:noVBand="0" w:val="0020"/>
        <w:jc w:val="start"/>
      </w:tblPr>
      <w:tblGrid>
        <w:gridCol w:w="3919"/>
        <w:gridCol w:w="571"/>
        <w:gridCol w:w="571"/>
        <w:gridCol w:w="571"/>
        <w:gridCol w:w="571"/>
        <w:gridCol w:w="571"/>
        <w:gridCol w:w="571"/>
        <w:gridCol w:w="571"/>
      </w:tblGrid>
      <w:tr>
        <w:trPr>
          <w:tblHeader w:val="true"/>
        </w:trPr>
        <w:tc>
          <w:tcPr/>
          <w:p>
            <w:pPr>
              <w:pStyle w:val="Compact"/>
              <w:jc w:val="left"/>
            </w:pPr>
            <w:r>
              <w:t xml:space="preserve">Konu</w:t>
            </w:r>
          </w:p>
        </w:tc>
        <w:tc>
          <w:tcPr/>
          <w:p>
            <w:pPr>
              <w:pStyle w:val="Compact"/>
              <w:jc w:val="left"/>
            </w:pPr>
            <w:r>
              <w:t xml:space="preserve">21</w:t>
            </w:r>
          </w:p>
        </w:tc>
        <w:tc>
          <w:tcPr/>
          <w:p>
            <w:pPr>
              <w:pStyle w:val="Compact"/>
              <w:jc w:val="left"/>
            </w:pPr>
            <w:r>
              <w:t xml:space="preserve">22</w:t>
            </w:r>
          </w:p>
        </w:tc>
        <w:tc>
          <w:tcPr/>
          <w:p>
            <w:pPr>
              <w:pStyle w:val="Compact"/>
              <w:jc w:val="left"/>
            </w:pPr>
            <w:r>
              <w:t xml:space="preserve">23</w:t>
            </w:r>
          </w:p>
        </w:tc>
        <w:tc>
          <w:tcPr/>
          <w:p>
            <w:pPr>
              <w:pStyle w:val="Compact"/>
              <w:jc w:val="left"/>
            </w:pPr>
            <w:r>
              <w:t xml:space="preserve">24</w:t>
            </w:r>
          </w:p>
        </w:tc>
        <w:tc>
          <w:tcPr/>
          <w:p>
            <w:pPr>
              <w:pStyle w:val="Compact"/>
              <w:jc w:val="left"/>
            </w:pPr>
            <w:r>
              <w:t xml:space="preserve">25</w:t>
            </w:r>
          </w:p>
        </w:tc>
        <w:tc>
          <w:tcPr/>
          <w:p>
            <w:pPr>
              <w:pStyle w:val="Compact"/>
              <w:jc w:val="left"/>
            </w:pPr>
            <w:r>
              <w:t xml:space="preserve">Top.</w:t>
            </w:r>
          </w:p>
        </w:tc>
        <w:tc>
          <w:tcPr/>
          <w:p>
            <w:pPr>
              <w:pStyle w:val="Compact"/>
              <w:jc w:val="left"/>
            </w:pPr>
            <w:r>
              <w:t xml:space="preserve">Yıl</w:t>
            </w:r>
          </w:p>
        </w:tc>
      </w:tr>
      <w:tr>
        <w:tc>
          <w:tcPr/>
          <w:p>
            <w:pPr>
              <w:pStyle w:val="Compact"/>
              <w:jc w:val="left"/>
            </w:pPr>
            <w:r>
              <w:t xml:space="preserve">Gümrük kıymeti (sözel + hesap)</w:t>
            </w:r>
          </w:p>
        </w:tc>
        <w:tc>
          <w:tcPr/>
          <w:p>
            <w:pPr>
              <w:pStyle w:val="Compact"/>
              <w:jc w:val="left"/>
            </w:pPr>
            <w:r>
              <w:t xml:space="preserve">9</w:t>
            </w:r>
          </w:p>
        </w:tc>
        <w:tc>
          <w:tcPr/>
          <w:p>
            <w:pPr>
              <w:pStyle w:val="Compact"/>
              <w:jc w:val="left"/>
            </w:pPr>
            <w:r>
              <w:t xml:space="preserve">12</w:t>
            </w:r>
          </w:p>
        </w:tc>
        <w:tc>
          <w:tcPr/>
          <w:p>
            <w:pPr>
              <w:pStyle w:val="Compact"/>
              <w:jc w:val="left"/>
            </w:pPr>
            <w:r>
              <w:t xml:space="preserve">11</w:t>
            </w:r>
          </w:p>
        </w:tc>
        <w:tc>
          <w:tcPr/>
          <w:p>
            <w:pPr>
              <w:pStyle w:val="Compact"/>
              <w:jc w:val="left"/>
            </w:pPr>
            <w:r>
              <w:t xml:space="preserve">10</w:t>
            </w:r>
          </w:p>
        </w:tc>
        <w:tc>
          <w:tcPr/>
          <w:p>
            <w:pPr>
              <w:pStyle w:val="Compact"/>
              <w:jc w:val="left"/>
            </w:pPr>
            <w:r>
              <w:t xml:space="preserve">4</w:t>
            </w:r>
          </w:p>
        </w:tc>
        <w:tc>
          <w:tcPr/>
          <w:p>
            <w:pPr>
              <w:pStyle w:val="Compact"/>
              <w:jc w:val="left"/>
            </w:pPr>
            <w:r>
              <w:rPr>
                <w:bCs/>
                <w:b/>
              </w:rPr>
              <w:t xml:space="preserve">46</w:t>
            </w:r>
          </w:p>
        </w:tc>
        <w:tc>
          <w:tcPr/>
          <w:p>
            <w:pPr>
              <w:pStyle w:val="Compact"/>
              <w:jc w:val="left"/>
            </w:pPr>
            <w:r>
              <w:t xml:space="preserve">5/5</w:t>
            </w:r>
          </w:p>
        </w:tc>
      </w:tr>
      <w:tr>
        <w:tc>
          <w:tcPr/>
          <w:p>
            <w:pPr>
              <w:pStyle w:val="Compact"/>
              <w:jc w:val="left"/>
            </w:pPr>
            <w:r>
              <w:t xml:space="preserve">Tarife – fasıl/bölüm/pozisyon kapsamı</w:t>
            </w:r>
          </w:p>
        </w:tc>
        <w:tc>
          <w:tcPr/>
          <w:p>
            <w:pPr>
              <w:pStyle w:val="Compact"/>
              <w:jc w:val="left"/>
            </w:pPr>
            <w:r>
              <w:t xml:space="preserve">5</w:t>
            </w:r>
          </w:p>
        </w:tc>
        <w:tc>
          <w:tcPr/>
          <w:p>
            <w:pPr>
              <w:pStyle w:val="Compact"/>
              <w:jc w:val="left"/>
            </w:pPr>
            <w:r>
              <w:t xml:space="preserve">5</w:t>
            </w:r>
          </w:p>
        </w:tc>
        <w:tc>
          <w:tcPr/>
          <w:p>
            <w:pPr>
              <w:pStyle w:val="Compact"/>
              <w:jc w:val="left"/>
            </w:pPr>
            <w:r>
              <w:t xml:space="preserve">10</w:t>
            </w:r>
          </w:p>
        </w:tc>
        <w:tc>
          <w:tcPr/>
          <w:p>
            <w:pPr>
              <w:pStyle w:val="Compact"/>
              <w:jc w:val="left"/>
            </w:pPr>
            <w:r>
              <w:t xml:space="preserve">7</w:t>
            </w:r>
          </w:p>
        </w:tc>
        <w:tc>
          <w:tcPr/>
          <w:p>
            <w:pPr>
              <w:pStyle w:val="Compact"/>
              <w:jc w:val="left"/>
            </w:pPr>
            <w:r>
              <w:t xml:space="preserve">5</w:t>
            </w:r>
          </w:p>
        </w:tc>
        <w:tc>
          <w:tcPr/>
          <w:p>
            <w:pPr>
              <w:pStyle w:val="Compact"/>
              <w:jc w:val="left"/>
            </w:pPr>
            <w:r>
              <w:rPr>
                <w:bCs/>
                <w:b/>
              </w:rPr>
              <w:t xml:space="preserve">32</w:t>
            </w:r>
          </w:p>
        </w:tc>
        <w:tc>
          <w:tcPr/>
          <w:p>
            <w:pPr>
              <w:pStyle w:val="Compact"/>
              <w:jc w:val="left"/>
            </w:pPr>
            <w:r>
              <w:t xml:space="preserve">5/5</w:t>
            </w:r>
          </w:p>
        </w:tc>
      </w:tr>
      <w:tr>
        <w:tc>
          <w:tcPr/>
          <w:p>
            <w:pPr>
              <w:pStyle w:val="Compact"/>
              <w:jc w:val="left"/>
            </w:pPr>
            <w:r>
              <w:t xml:space="preserve">Tercihli ticaret ve menşe belgeleri (STA/TTA, A.TR, EUR.1, INF, GTS, taraf ülkeler)</w:t>
            </w:r>
          </w:p>
        </w:tc>
        <w:tc>
          <w:tcPr/>
          <w:p>
            <w:pPr>
              <w:pStyle w:val="Compact"/>
              <w:jc w:val="left"/>
            </w:pPr>
            <w:r>
              <w:t xml:space="preserve">–</w:t>
            </w:r>
          </w:p>
        </w:tc>
        <w:tc>
          <w:tcPr/>
          <w:p>
            <w:pPr>
              <w:pStyle w:val="Compact"/>
              <w:jc w:val="left"/>
            </w:pPr>
            <w:r>
              <w:t xml:space="preserve">5</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rPr>
                <w:bCs/>
                <w:b/>
              </w:rPr>
              <w:t xml:space="preserve">28</w:t>
            </w:r>
          </w:p>
        </w:tc>
        <w:tc>
          <w:tcPr/>
          <w:p>
            <w:pPr>
              <w:pStyle w:val="Compact"/>
              <w:jc w:val="left"/>
            </w:pPr>
            <w:r>
              <w:t xml:space="preserve">4/5</w:t>
            </w:r>
          </w:p>
        </w:tc>
      </w:tr>
      <w:tr>
        <w:tc>
          <w:tcPr/>
          <w:p>
            <w:pPr>
              <w:pStyle w:val="Compact"/>
              <w:jc w:val="left"/>
            </w:pPr>
            <w:r>
              <w:t xml:space="preserve">5607 Kaçakçılık ve yönetmelikleri</w:t>
            </w:r>
          </w:p>
        </w:tc>
        <w:tc>
          <w:tcPr/>
          <w:p>
            <w:pPr>
              <w:pStyle w:val="Compact"/>
              <w:jc w:val="left"/>
            </w:pPr>
            <w:r>
              <w:t xml:space="preserve">10</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22</w:t>
            </w:r>
          </w:p>
        </w:tc>
        <w:tc>
          <w:tcPr/>
          <w:p>
            <w:pPr>
              <w:pStyle w:val="Compact"/>
              <w:jc w:val="left"/>
            </w:pPr>
            <w:r>
              <w:t xml:space="preserve">5/5</w:t>
            </w:r>
          </w:p>
        </w:tc>
      </w:tr>
      <w:tr>
        <w:tc>
          <w:tcPr/>
          <w:p>
            <w:pPr>
              <w:pStyle w:val="Compact"/>
              <w:jc w:val="left"/>
            </w:pPr>
            <w:r>
              <w:t xml:space="preserve">Transit rejimi</w:t>
            </w:r>
          </w:p>
        </w:tc>
        <w:tc>
          <w:tcPr/>
          <w:p>
            <w:pPr>
              <w:pStyle w:val="Compact"/>
              <w:jc w:val="left"/>
            </w:pPr>
            <w:r>
              <w:t xml:space="preserve">1</w:t>
            </w:r>
          </w:p>
        </w:tc>
        <w:tc>
          <w:tcPr/>
          <w:p>
            <w:pPr>
              <w:pStyle w:val="Compact"/>
              <w:jc w:val="left"/>
            </w:pPr>
            <w:r>
              <w:t xml:space="preserve">4</w:t>
            </w:r>
          </w:p>
        </w:tc>
        <w:tc>
          <w:tcPr/>
          <w:p>
            <w:pPr>
              <w:pStyle w:val="Compact"/>
              <w:jc w:val="left"/>
            </w:pPr>
            <w:r>
              <w:t xml:space="preserve">6</w:t>
            </w:r>
          </w:p>
        </w:tc>
        <w:tc>
          <w:tcPr/>
          <w:p>
            <w:pPr>
              <w:pStyle w:val="Compact"/>
              <w:jc w:val="left"/>
            </w:pPr>
            <w:r>
              <w:t xml:space="preserve">4</w:t>
            </w:r>
          </w:p>
        </w:tc>
        <w:tc>
          <w:tcPr/>
          <w:p>
            <w:pPr>
              <w:pStyle w:val="Compact"/>
              <w:jc w:val="left"/>
            </w:pPr>
            <w:r>
              <w:t xml:space="preserve">6</w:t>
            </w:r>
          </w:p>
        </w:tc>
        <w:tc>
          <w:tcPr/>
          <w:p>
            <w:pPr>
              <w:pStyle w:val="Compact"/>
              <w:jc w:val="left"/>
            </w:pPr>
            <w:r>
              <w:rPr>
                <w:bCs/>
                <w:b/>
              </w:rPr>
              <w:t xml:space="preserve">21</w:t>
            </w:r>
          </w:p>
        </w:tc>
        <w:tc>
          <w:tcPr/>
          <w:p>
            <w:pPr>
              <w:pStyle w:val="Compact"/>
              <w:jc w:val="left"/>
            </w:pPr>
            <w:r>
              <w:t xml:space="preserve">5/5</w:t>
            </w:r>
          </w:p>
        </w:tc>
      </w:tr>
      <w:tr>
        <w:tc>
          <w:tcPr/>
          <w:p>
            <w:pPr>
              <w:pStyle w:val="Compact"/>
              <w:jc w:val="left"/>
            </w:pPr>
            <w:r>
              <w:t xml:space="preserve">Kambiyo (32 s. Karar, TCMB, ihracat bedeli, kıymetli maden, nakit)</w:t>
            </w:r>
          </w:p>
        </w:tc>
        <w:tc>
          <w:tcPr/>
          <w:p>
            <w:pPr>
              <w:pStyle w:val="Compact"/>
              <w:jc w:val="left"/>
            </w:pPr>
            <w:r>
              <w:t xml:space="preserve">4</w:t>
            </w:r>
          </w:p>
        </w:tc>
        <w:tc>
          <w:tcPr/>
          <w:p>
            <w:pPr>
              <w:pStyle w:val="Compact"/>
              <w:jc w:val="left"/>
            </w:pPr>
            <w:r>
              <w:t xml:space="preserve">2</w:t>
            </w:r>
          </w:p>
        </w:tc>
        <w:tc>
          <w:tcPr/>
          <w:p>
            <w:pPr>
              <w:pStyle w:val="Compact"/>
              <w:jc w:val="left"/>
            </w:pPr>
            <w:r>
              <w:t xml:space="preserve">5</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17</w:t>
            </w:r>
          </w:p>
        </w:tc>
        <w:tc>
          <w:tcPr/>
          <w:p>
            <w:pPr>
              <w:pStyle w:val="Compact"/>
              <w:jc w:val="left"/>
            </w:pPr>
            <w:r>
              <w:t xml:space="preserve">5/5</w:t>
            </w:r>
          </w:p>
        </w:tc>
      </w:tr>
      <w:tr>
        <w:tc>
          <w:tcPr/>
          <w:p>
            <w:pPr>
              <w:pStyle w:val="Compact"/>
              <w:jc w:val="left"/>
            </w:pPr>
            <w:r>
              <w:t xml:space="preserve">Antrepo rejimi</w:t>
            </w:r>
          </w:p>
        </w:tc>
        <w:tc>
          <w:tcPr/>
          <w:p>
            <w:pPr>
              <w:pStyle w:val="Compact"/>
              <w:jc w:val="left"/>
            </w:pPr>
            <w:r>
              <w:t xml:space="preserve">–</w:t>
            </w:r>
          </w:p>
        </w:tc>
        <w:tc>
          <w:tcPr/>
          <w:p>
            <w:pPr>
              <w:pStyle w:val="Compact"/>
              <w:jc w:val="left"/>
            </w:pPr>
            <w:r>
              <w:t xml:space="preserve">4</w:t>
            </w:r>
          </w:p>
        </w:tc>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rPr>
                <w:bCs/>
                <w:b/>
              </w:rPr>
              <w:t xml:space="preserve">17</w:t>
            </w:r>
          </w:p>
        </w:tc>
        <w:tc>
          <w:tcPr/>
          <w:p>
            <w:pPr>
              <w:pStyle w:val="Compact"/>
              <w:jc w:val="left"/>
            </w:pPr>
            <w:r>
              <w:t xml:space="preserve">4/5</w:t>
            </w:r>
          </w:p>
        </w:tc>
      </w:tr>
      <w:tr>
        <w:tc>
          <w:tcPr/>
          <w:p>
            <w:pPr>
              <w:pStyle w:val="Compact"/>
              <w:jc w:val="left"/>
            </w:pPr>
            <w:r>
              <w:t xml:space="preserve">Muafiyetler (GK 167-168, 2009/15481)</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t xml:space="preserve">5/5</w:t>
            </w:r>
          </w:p>
        </w:tc>
      </w:tr>
      <w:tr>
        <w:tc>
          <w:tcPr/>
          <w:p>
            <w:pPr>
              <w:pStyle w:val="Compact"/>
              <w:jc w:val="left"/>
            </w:pPr>
            <w:r>
              <w:t xml:space="preserve">Tarife – GTİP yapısı, HS 2022, 474, Fasıl 99</w:t>
            </w:r>
          </w:p>
        </w:tc>
        <w:tc>
          <w:tcPr/>
          <w:p>
            <w:pPr>
              <w:pStyle w:val="Compact"/>
              <w:jc w:val="left"/>
            </w:pPr>
            <w:r>
              <w:t xml:space="preserve">3</w:t>
            </w:r>
          </w:p>
        </w:tc>
        <w:tc>
          <w:tcPr/>
          <w:p>
            <w:pPr>
              <w:pStyle w:val="Compact"/>
              <w:jc w:val="left"/>
            </w:pPr>
            <w:r>
              <w:t xml:space="preserve">4</w:t>
            </w:r>
          </w:p>
        </w:tc>
        <w:tc>
          <w:tcPr/>
          <w:p>
            <w:pPr>
              <w:pStyle w:val="Compact"/>
              <w:jc w:val="left"/>
            </w:pPr>
            <w:r>
              <w:t xml:space="preserve">–</w:t>
            </w:r>
          </w:p>
        </w:tc>
        <w:tc>
          <w:tcPr/>
          <w:p>
            <w:pPr>
              <w:pStyle w:val="Compact"/>
              <w:jc w:val="left"/>
            </w:pPr>
            <w:r>
              <w:t xml:space="preserve">3</w:t>
            </w:r>
          </w:p>
        </w:tc>
        <w:tc>
          <w:tcPr/>
          <w:p>
            <w:pPr>
              <w:pStyle w:val="Compact"/>
              <w:jc w:val="left"/>
            </w:pPr>
            <w:r>
              <w:t xml:space="preserve">5</w:t>
            </w:r>
          </w:p>
        </w:tc>
        <w:tc>
          <w:tcPr/>
          <w:p>
            <w:pPr>
              <w:pStyle w:val="Compact"/>
              <w:jc w:val="left"/>
            </w:pPr>
            <w:r>
              <w:rPr>
                <w:bCs/>
                <w:b/>
              </w:rPr>
              <w:t xml:space="preserve">15</w:t>
            </w:r>
          </w:p>
        </w:tc>
        <w:tc>
          <w:tcPr/>
          <w:p>
            <w:pPr>
              <w:pStyle w:val="Compact"/>
              <w:jc w:val="left"/>
            </w:pPr>
            <w:r>
              <w:t xml:space="preserve">4/5</w:t>
            </w:r>
          </w:p>
        </w:tc>
      </w:tr>
      <w:tr>
        <w:tc>
          <w:tcPr/>
          <w:p>
            <w:pPr>
              <w:pStyle w:val="Compact"/>
              <w:jc w:val="left"/>
            </w:pPr>
            <w:r>
              <w:t xml:space="preserve">ÖTV</w:t>
            </w:r>
          </w:p>
        </w:tc>
        <w:tc>
          <w:tcPr/>
          <w:p>
            <w:pPr>
              <w:pStyle w:val="Compact"/>
              <w:jc w:val="left"/>
            </w:pPr>
            <w:r>
              <w:t xml:space="preserve">–</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4</w:t>
            </w:r>
          </w:p>
        </w:tc>
        <w:tc>
          <w:tcPr/>
          <w:p>
            <w:pPr>
              <w:pStyle w:val="Compact"/>
              <w:jc w:val="left"/>
            </w:pPr>
            <w:r>
              <w:rPr>
                <w:bCs/>
                <w:b/>
              </w:rPr>
              <w:t xml:space="preserve">14</w:t>
            </w:r>
          </w:p>
        </w:tc>
        <w:tc>
          <w:tcPr/>
          <w:p>
            <w:pPr>
              <w:pStyle w:val="Compact"/>
              <w:jc w:val="left"/>
            </w:pPr>
            <w:r>
              <w:t xml:space="preserve">4/5</w:t>
            </w:r>
          </w:p>
        </w:tc>
      </w:tr>
      <w:tr>
        <w:tc>
          <w:tcPr/>
          <w:p>
            <w:pPr>
              <w:pStyle w:val="Compact"/>
              <w:jc w:val="left"/>
            </w:pPr>
            <w:r>
              <w:t xml:space="preserve">KDV (sözel + matrah hesabı)</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13</w:t>
            </w:r>
          </w:p>
        </w:tc>
        <w:tc>
          <w:tcPr/>
          <w:p>
            <w:pPr>
              <w:pStyle w:val="Compact"/>
              <w:jc w:val="left"/>
            </w:pPr>
            <w:r>
              <w:t xml:space="preserve">5/5</w:t>
            </w:r>
          </w:p>
        </w:tc>
      </w:tr>
      <w:tr>
        <w:tc>
          <w:tcPr/>
          <w:p>
            <w:pPr>
              <w:pStyle w:val="Compact"/>
              <w:jc w:val="left"/>
            </w:pPr>
            <w:r>
              <w:t xml:space="preserve">Dış ticaret işlemleri (Incoterms, ödeme, konşimento, CISG)</w:t>
            </w:r>
          </w:p>
        </w:tc>
        <w:tc>
          <w:tcPr/>
          <w:p>
            <w:pPr>
              <w:pStyle w:val="Compact"/>
              <w:jc w:val="left"/>
            </w:pPr>
            <w:r>
              <w:t xml:space="preserve">5</w:t>
            </w:r>
          </w:p>
        </w:tc>
        <w:tc>
          <w:tcPr/>
          <w:p>
            <w:pPr>
              <w:pStyle w:val="Compact"/>
              <w:jc w:val="left"/>
            </w:pPr>
            <w:r>
              <w:t xml:space="preserve">2</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13</w:t>
            </w:r>
          </w:p>
        </w:tc>
        <w:tc>
          <w:tcPr/>
          <w:p>
            <w:pPr>
              <w:pStyle w:val="Compact"/>
              <w:jc w:val="left"/>
            </w:pPr>
            <w:r>
              <w:t xml:space="preserve">5/5</w:t>
            </w:r>
          </w:p>
        </w:tc>
      </w:tr>
      <w:tr>
        <w:tc>
          <w:tcPr/>
          <w:p>
            <w:pPr>
              <w:pStyle w:val="Compact"/>
              <w:jc w:val="left"/>
            </w:pPr>
            <w:r>
              <w:t xml:space="preserve">Tarife – bölüm/fasıl notları, izahname</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13</w:t>
            </w:r>
          </w:p>
        </w:tc>
        <w:tc>
          <w:tcPr/>
          <w:p>
            <w:pPr>
              <w:pStyle w:val="Compact"/>
              <w:jc w:val="left"/>
            </w:pPr>
            <w:r>
              <w:t xml:space="preserve">5/5</w:t>
            </w:r>
          </w:p>
        </w:tc>
      </w:tr>
      <w:tr>
        <w:tc>
          <w:tcPr/>
          <w:p>
            <w:pPr>
              <w:pStyle w:val="Compact"/>
              <w:jc w:val="left"/>
            </w:pPr>
            <w:r>
              <w:t xml:space="preserve">Geçici ithalat / geçici ihracat</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12</w:t>
            </w:r>
          </w:p>
        </w:tc>
        <w:tc>
          <w:tcPr/>
          <w:p>
            <w:pPr>
              <w:pStyle w:val="Compact"/>
              <w:jc w:val="left"/>
            </w:pPr>
            <w:r>
              <w:t xml:space="preserve">5/5</w:t>
            </w:r>
          </w:p>
        </w:tc>
      </w:tr>
      <w:tr>
        <w:tc>
          <w:tcPr/>
          <w:p>
            <w:pPr>
              <w:pStyle w:val="Compact"/>
              <w:jc w:val="left"/>
            </w:pPr>
            <w:r>
              <w:t xml:space="preserve">Cezalar, uzlaşma, itiraz</w:t>
            </w:r>
          </w:p>
        </w:tc>
        <w:tc>
          <w:tcPr/>
          <w:p>
            <w:pPr>
              <w:pStyle w:val="Compact"/>
              <w:jc w:val="left"/>
            </w:pPr>
            <w:r>
              <w:t xml:space="preserve">3</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12</w:t>
            </w:r>
          </w:p>
        </w:tc>
        <w:tc>
          <w:tcPr/>
          <w:p>
            <w:pPr>
              <w:pStyle w:val="Compact"/>
              <w:jc w:val="left"/>
            </w:pPr>
            <w:r>
              <w:t xml:space="preserve">5/5</w:t>
            </w:r>
          </w:p>
        </w:tc>
      </w:tr>
      <w:tr>
        <w:tc>
          <w:tcPr/>
          <w:p>
            <w:pPr>
              <w:pStyle w:val="Compact"/>
              <w:jc w:val="left"/>
            </w:pPr>
            <w:r>
              <w:t xml:space="preserve">Yükümlülük, tahakkuk, ödeme, zamanaşımı, teminat, tecil</w:t>
            </w:r>
          </w:p>
        </w:tc>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11</w:t>
            </w:r>
          </w:p>
        </w:tc>
        <w:tc>
          <w:tcPr/>
          <w:p>
            <w:pPr>
              <w:pStyle w:val="Compact"/>
              <w:jc w:val="left"/>
            </w:pPr>
            <w:r>
              <w:t xml:space="preserve">5/5</w:t>
            </w:r>
          </w:p>
        </w:tc>
      </w:tr>
      <w:tr>
        <w:tc>
          <w:tcPr/>
          <w:p>
            <w:pPr>
              <w:pStyle w:val="Compact"/>
              <w:jc w:val="left"/>
            </w:pPr>
            <w:r>
              <w:t xml:space="preserve">YYS, onaylanmış kişi, izinli alıcı, yerinde gümrükleme</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11</w:t>
            </w:r>
          </w:p>
        </w:tc>
        <w:tc>
          <w:tcPr/>
          <w:p>
            <w:pPr>
              <w:pStyle w:val="Compact"/>
              <w:jc w:val="left"/>
            </w:pPr>
            <w:r>
              <w:t xml:space="preserve">5/5</w:t>
            </w:r>
          </w:p>
        </w:tc>
      </w:tr>
      <w:tr>
        <w:tc>
          <w:tcPr/>
          <w:p>
            <w:pPr>
              <w:pStyle w:val="Compact"/>
              <w:jc w:val="left"/>
            </w:pPr>
            <w:r>
              <w:t xml:space="preserve">İhracat rejimi (Ticaret): İhracat Yön., yasak/ön izin, konsinye</w:t>
            </w:r>
          </w:p>
        </w:tc>
        <w:tc>
          <w:tcPr/>
          <w:p>
            <w:pPr>
              <w:pStyle w:val="Compact"/>
              <w:jc w:val="left"/>
            </w:pPr>
            <w:r>
              <w:t xml:space="preserve">1</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11</w:t>
            </w:r>
          </w:p>
        </w:tc>
        <w:tc>
          <w:tcPr/>
          <w:p>
            <w:pPr>
              <w:pStyle w:val="Compact"/>
              <w:jc w:val="left"/>
            </w:pPr>
            <w:r>
              <w:t xml:space="preserve">5/5</w:t>
            </w:r>
          </w:p>
        </w:tc>
      </w:tr>
      <w:tr>
        <w:tc>
          <w:tcPr/>
          <w:p>
            <w:pPr>
              <w:pStyle w:val="Compact"/>
              <w:jc w:val="left"/>
            </w:pPr>
            <w:r>
              <w:t xml:space="preserve">Özet beyan, gümrüğe sunma, geçici depolama, çıkış bildirimi</w:t>
            </w:r>
          </w:p>
        </w:tc>
        <w:tc>
          <w:tcPr/>
          <w:p>
            <w:pPr>
              <w:pStyle w:val="Compact"/>
              <w:jc w:val="left"/>
            </w:pPr>
            <w:r>
              <w:t xml:space="preserve">7</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rPr>
                <w:bCs/>
                <w:b/>
              </w:rPr>
              <w:t xml:space="preserve">11</w:t>
            </w:r>
          </w:p>
        </w:tc>
        <w:tc>
          <w:tcPr/>
          <w:p>
            <w:pPr>
              <w:pStyle w:val="Compact"/>
              <w:jc w:val="left"/>
            </w:pPr>
            <w:r>
              <w:t xml:space="preserve">4/5</w:t>
            </w:r>
          </w:p>
        </w:tc>
      </w:tr>
      <w:tr>
        <w:tc>
          <w:tcPr/>
          <w:p>
            <w:pPr>
              <w:pStyle w:val="Compact"/>
              <w:jc w:val="left"/>
            </w:pPr>
            <w:r>
              <w:t xml:space="preserve">Gümrük beyanı, ekler, basitleştirilmiş usuller, muayene</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rPr>
                <w:bCs/>
                <w:b/>
              </w:rPr>
              <w:t xml:space="preserve">10</w:t>
            </w:r>
          </w:p>
        </w:tc>
        <w:tc>
          <w:tcPr/>
          <w:p>
            <w:pPr>
              <w:pStyle w:val="Compact"/>
              <w:jc w:val="left"/>
            </w:pPr>
            <w:r>
              <w:t xml:space="preserve">5/5</w:t>
            </w:r>
          </w:p>
        </w:tc>
      </w:tr>
      <w:tr>
        <w:tc>
          <w:tcPr/>
          <w:p>
            <w:pPr>
              <w:pStyle w:val="Compact"/>
              <w:jc w:val="left"/>
            </w:pPr>
            <w:r>
              <w:t xml:space="preserve">Posta ve hızlı kargo</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10</w:t>
            </w:r>
          </w:p>
        </w:tc>
        <w:tc>
          <w:tcPr/>
          <w:p>
            <w:pPr>
              <w:pStyle w:val="Compact"/>
              <w:jc w:val="left"/>
            </w:pPr>
            <w:r>
              <w:t xml:space="preserve">5/5</w:t>
            </w:r>
          </w:p>
        </w:tc>
      </w:tr>
      <w:tr>
        <w:tc>
          <w:tcPr/>
          <w:p>
            <w:pPr>
              <w:pStyle w:val="Compact"/>
              <w:jc w:val="left"/>
            </w:pPr>
            <w:r>
              <w:t xml:space="preserve">Tarife – tanımı verilen eşya</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10</w:t>
            </w:r>
          </w:p>
        </w:tc>
        <w:tc>
          <w:tcPr/>
          <w:p>
            <w:pPr>
              <w:pStyle w:val="Compact"/>
              <w:jc w:val="left"/>
            </w:pPr>
            <w:r>
              <w:t xml:space="preserve">3/5</w:t>
            </w:r>
          </w:p>
        </w:tc>
      </w:tr>
      <w:tr>
        <w:tc>
          <w:tcPr/>
          <w:p>
            <w:pPr>
              <w:pStyle w:val="Compact"/>
              <w:jc w:val="left"/>
            </w:pPr>
            <w:r>
              <w:t xml:space="preserve">Gümrük müşavirliği, YGM kodları, ücret tarifesi, temsil</w:t>
            </w:r>
          </w:p>
        </w:tc>
        <w:tc>
          <w:tcPr/>
          <w:p>
            <w:pPr>
              <w:pStyle w:val="Compact"/>
              <w:jc w:val="left"/>
            </w:pPr>
            <w:r>
              <w:t xml:space="preserve">3</w:t>
            </w:r>
          </w:p>
        </w:tc>
        <w:tc>
          <w:tcPr/>
          <w:p>
            <w:pPr>
              <w:pStyle w:val="Compact"/>
              <w:jc w:val="left"/>
            </w:pPr>
            <w:r>
              <w:t xml:space="preserve">2</w:t>
            </w:r>
          </w:p>
        </w:tc>
        <w:tc>
          <w:tcPr/>
          <w:p>
            <w:pPr>
              <w:pStyle w:val="Compact"/>
              <w:jc w:val="left"/>
            </w:pPr>
            <w:r>
              <w:t xml:space="preserve">–</w:t>
            </w:r>
          </w:p>
        </w:tc>
        <w:tc>
          <w:tcPr/>
          <w:p>
            <w:pPr>
              <w:pStyle w:val="Compact"/>
              <w:jc w:val="left"/>
            </w:pPr>
            <w:r>
              <w:t xml:space="preserve">1</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4/5</w:t>
            </w:r>
          </w:p>
        </w:tc>
      </w:tr>
      <w:tr>
        <w:tc>
          <w:tcPr/>
          <w:p>
            <w:pPr>
              <w:pStyle w:val="Compact"/>
              <w:jc w:val="left"/>
            </w:pPr>
            <w:r>
              <w:t xml:space="preserve">Menşe (tercihsiz), BTB/BMB</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8</w:t>
            </w:r>
          </w:p>
        </w:tc>
        <w:tc>
          <w:tcPr/>
          <w:p>
            <w:pPr>
              <w:pStyle w:val="Compact"/>
              <w:jc w:val="left"/>
            </w:pPr>
            <w:r>
              <w:t xml:space="preserve">5/5</w:t>
            </w:r>
          </w:p>
        </w:tc>
      </w:tr>
      <w:tr>
        <w:tc>
          <w:tcPr/>
          <w:p>
            <w:pPr>
              <w:pStyle w:val="Compact"/>
              <w:jc w:val="left"/>
            </w:pPr>
            <w:r>
              <w:t xml:space="preserve">Tarife – GYKK uygulaması</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8</w:t>
            </w:r>
          </w:p>
        </w:tc>
        <w:tc>
          <w:tcPr/>
          <w:p>
            <w:pPr>
              <w:pStyle w:val="Compact"/>
              <w:jc w:val="left"/>
            </w:pPr>
            <w:r>
              <w:t xml:space="preserve">5/5</w:t>
            </w:r>
          </w:p>
        </w:tc>
      </w:tr>
      <w:tr>
        <w:tc>
          <w:tcPr/>
          <w:p>
            <w:pPr>
              <w:pStyle w:val="Compact"/>
              <w:jc w:val="left"/>
            </w:pPr>
            <w:r>
              <w:t xml:space="preserve">Geri gelen eşya</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w:t>
            </w:r>
          </w:p>
        </w:tc>
        <w:tc>
          <w:tcPr/>
          <w:p>
            <w:pPr>
              <w:pStyle w:val="Compact"/>
              <w:jc w:val="left"/>
            </w:pPr>
            <w:r>
              <w:rPr>
                <w:bCs/>
                <w:b/>
              </w:rPr>
              <w:t xml:space="preserve">8</w:t>
            </w:r>
          </w:p>
        </w:tc>
        <w:tc>
          <w:tcPr/>
          <w:p>
            <w:pPr>
              <w:pStyle w:val="Compact"/>
              <w:jc w:val="left"/>
            </w:pPr>
            <w:r>
              <w:t xml:space="preserve">4/5</w:t>
            </w:r>
          </w:p>
        </w:tc>
      </w:tr>
      <w:tr>
        <w:tc>
          <w:tcPr/>
          <w:p>
            <w:pPr>
              <w:pStyle w:val="Compact"/>
              <w:jc w:val="left"/>
            </w:pPr>
            <w:r>
              <w:t xml:space="preserve">TIR, ATA</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8</w:t>
            </w:r>
          </w:p>
        </w:tc>
        <w:tc>
          <w:tcPr/>
          <w:p>
            <w:pPr>
              <w:pStyle w:val="Compact"/>
              <w:jc w:val="left"/>
            </w:pPr>
            <w:r>
              <w:t xml:space="preserve">4/5</w:t>
            </w:r>
          </w:p>
        </w:tc>
      </w:tr>
      <w:tr>
        <w:tc>
          <w:tcPr/>
          <w:p>
            <w:pPr>
              <w:pStyle w:val="Compact"/>
              <w:jc w:val="left"/>
            </w:pPr>
            <w:r>
              <w:t xml:space="preserve">Fikri ve sınai haklar</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7</w:t>
            </w:r>
          </w:p>
        </w:tc>
        <w:tc>
          <w:tcPr/>
          <w:p>
            <w:pPr>
              <w:pStyle w:val="Compact"/>
              <w:jc w:val="left"/>
            </w:pPr>
            <w:r>
              <w:t xml:space="preserve">5/5</w:t>
            </w:r>
          </w:p>
        </w:tc>
      </w:tr>
      <w:tr>
        <w:tc>
          <w:tcPr/>
          <w:p>
            <w:pPr>
              <w:pStyle w:val="Compact"/>
              <w:jc w:val="left"/>
            </w:pPr>
            <w:r>
              <w:t xml:space="preserve">Dahilde işleme (gümrük yönü)</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2</w:t>
            </w:r>
          </w:p>
        </w:tc>
        <w:tc>
          <w:tcPr/>
          <w:p>
            <w:pPr>
              <w:pStyle w:val="Compact"/>
              <w:jc w:val="left"/>
            </w:pPr>
            <w:r>
              <w:t xml:space="preserve">1</w:t>
            </w:r>
          </w:p>
        </w:tc>
        <w:tc>
          <w:tcPr/>
          <w:p>
            <w:pPr>
              <w:pStyle w:val="Compact"/>
              <w:jc w:val="left"/>
            </w:pPr>
            <w:r>
              <w:rPr>
                <w:bCs/>
                <w:b/>
              </w:rPr>
              <w:t xml:space="preserve">7</w:t>
            </w:r>
          </w:p>
        </w:tc>
        <w:tc>
          <w:tcPr/>
          <w:p>
            <w:pPr>
              <w:pStyle w:val="Compact"/>
              <w:jc w:val="left"/>
            </w:pPr>
            <w:r>
              <w:t xml:space="preserve">4/5</w:t>
            </w:r>
          </w:p>
        </w:tc>
      </w:tr>
      <w:tr>
        <w:tc>
          <w:tcPr/>
          <w:p>
            <w:pPr>
              <w:pStyle w:val="Compact"/>
              <w:jc w:val="left"/>
            </w:pPr>
            <w:r>
              <w:t xml:space="preserve">Damga vergisi, KKDF, DFİF</w:t>
            </w:r>
          </w:p>
        </w:tc>
        <w:tc>
          <w:tcPr/>
          <w:p>
            <w:pPr>
              <w:pStyle w:val="Compact"/>
              <w:jc w:val="left"/>
            </w:pPr>
            <w:r>
              <w:t xml:space="preserve">–</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c>
          <w:tcPr/>
          <w:p>
            <w:pPr>
              <w:pStyle w:val="Compact"/>
              <w:jc w:val="left"/>
            </w:pPr>
            <w:r>
              <w:rPr>
                <w:bCs/>
                <w:b/>
              </w:rPr>
              <w:t xml:space="preserve">7</w:t>
            </w:r>
          </w:p>
        </w:tc>
        <w:tc>
          <w:tcPr/>
          <w:p>
            <w:pPr>
              <w:pStyle w:val="Compact"/>
              <w:jc w:val="left"/>
            </w:pPr>
            <w:r>
              <w:t xml:space="preserve">4/5</w:t>
            </w:r>
          </w:p>
        </w:tc>
      </w:tr>
      <w:tr>
        <w:tc>
          <w:tcPr/>
          <w:p>
            <w:pPr>
              <w:pStyle w:val="Compact"/>
              <w:jc w:val="left"/>
            </w:pPr>
            <w:r>
              <w:t xml:space="preserve">İthalat rejimi, İGV</w:t>
            </w:r>
          </w:p>
        </w:tc>
        <w:tc>
          <w:tcPr/>
          <w:p>
            <w:pPr>
              <w:pStyle w:val="Compact"/>
              <w:jc w:val="left"/>
            </w:pPr>
            <w:r>
              <w:t xml:space="preserve">1</w:t>
            </w:r>
          </w:p>
        </w:tc>
        <w:tc>
          <w:tcPr/>
          <w:p>
            <w:pPr>
              <w:pStyle w:val="Compact"/>
              <w:jc w:val="left"/>
            </w:pPr>
            <w:r>
              <w:t xml:space="preserve">3</w:t>
            </w:r>
          </w:p>
        </w:tc>
        <w:tc>
          <w:tcPr/>
          <w:p>
            <w:pPr>
              <w:pStyle w:val="Compact"/>
              <w:jc w:val="left"/>
            </w:pPr>
            <w:r>
              <w:t xml:space="preserve">–</w:t>
            </w:r>
          </w:p>
        </w:tc>
        <w:tc>
          <w:tcPr/>
          <w:p>
            <w:pPr>
              <w:pStyle w:val="Compact"/>
              <w:jc w:val="left"/>
            </w:pPr>
            <w:r>
              <w:t xml:space="preserve">3</w:t>
            </w:r>
          </w:p>
        </w:tc>
        <w:tc>
          <w:tcPr/>
          <w:p>
            <w:pPr>
              <w:pStyle w:val="Compact"/>
              <w:jc w:val="left"/>
            </w:pPr>
            <w:r>
              <w:t xml:space="preserve">–</w:t>
            </w:r>
          </w:p>
        </w:tc>
        <w:tc>
          <w:tcPr/>
          <w:p>
            <w:pPr>
              <w:pStyle w:val="Compact"/>
              <w:jc w:val="left"/>
            </w:pPr>
            <w:r>
              <w:rPr>
                <w:bCs/>
                <w:b/>
              </w:rPr>
              <w:t xml:space="preserve">7</w:t>
            </w:r>
          </w:p>
        </w:tc>
        <w:tc>
          <w:tcPr/>
          <w:p>
            <w:pPr>
              <w:pStyle w:val="Compact"/>
              <w:jc w:val="left"/>
            </w:pPr>
            <w:r>
              <w:t xml:space="preserve">3/5</w:t>
            </w:r>
          </w:p>
        </w:tc>
      </w:tr>
      <w:tr>
        <w:tc>
          <w:tcPr/>
          <w:p>
            <w:pPr>
              <w:pStyle w:val="Compact"/>
              <w:jc w:val="left"/>
            </w:pPr>
            <w:r>
              <w:t xml:space="preserve">Ürün güvenliği, TAREKS, 7223, denetim tebliğleri</w:t>
            </w:r>
          </w:p>
        </w:tc>
        <w:tc>
          <w:tcPr/>
          <w:p>
            <w:pPr>
              <w:pStyle w:val="Compact"/>
              <w:jc w:val="left"/>
            </w:pPr>
            <w:r>
              <w:t xml:space="preserve">–</w:t>
            </w:r>
          </w:p>
        </w:tc>
        <w:tc>
          <w:tcPr/>
          <w:p>
            <w:pPr>
              <w:pStyle w:val="Compact"/>
              <w:jc w:val="left"/>
            </w:pPr>
            <w:r>
              <w:t xml:space="preserve">3</w:t>
            </w:r>
          </w:p>
        </w:tc>
        <w:tc>
          <w:tcPr/>
          <w:p>
            <w:pPr>
              <w:pStyle w:val="Compact"/>
              <w:jc w:val="left"/>
            </w:pPr>
            <w:r>
              <w:t xml:space="preserve">2</w:t>
            </w:r>
          </w:p>
        </w:tc>
        <w:tc>
          <w:tcPr/>
          <w:p>
            <w:pPr>
              <w:pStyle w:val="Compact"/>
              <w:jc w:val="left"/>
            </w:pPr>
            <w:r>
              <w:t xml:space="preserve">–</w:t>
            </w:r>
          </w:p>
        </w:tc>
        <w:tc>
          <w:tcPr/>
          <w:p>
            <w:pPr>
              <w:pStyle w:val="Compact"/>
              <w:jc w:val="left"/>
            </w:pPr>
            <w:r>
              <w:t xml:space="preserve">2</w:t>
            </w:r>
          </w:p>
        </w:tc>
        <w:tc>
          <w:tcPr/>
          <w:p>
            <w:pPr>
              <w:pStyle w:val="Compact"/>
              <w:jc w:val="left"/>
            </w:pPr>
            <w:r>
              <w:rPr>
                <w:bCs/>
                <w:b/>
              </w:rPr>
              <w:t xml:space="preserve">7</w:t>
            </w:r>
          </w:p>
        </w:tc>
        <w:tc>
          <w:tcPr/>
          <w:p>
            <w:pPr>
              <w:pStyle w:val="Compact"/>
              <w:jc w:val="left"/>
            </w:pPr>
            <w:r>
              <w:t xml:space="preserve">3/5</w:t>
            </w:r>
          </w:p>
        </w:tc>
      </w:tr>
      <w:tr>
        <w:tc>
          <w:tcPr/>
          <w:p>
            <w:pPr>
              <w:pStyle w:val="Compact"/>
              <w:jc w:val="left"/>
            </w:pPr>
            <w:r>
              <w:t xml:space="preserve">Genel hükümler, tanımlar, kararlar</w:t>
            </w:r>
          </w:p>
        </w:tc>
        <w:tc>
          <w:tcPr/>
          <w:p>
            <w:pPr>
              <w:pStyle w:val="Compact"/>
              <w:jc w:val="left"/>
            </w:pPr>
            <w:r>
              <w:t xml:space="preserve">6</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7</w:t>
            </w:r>
          </w:p>
        </w:tc>
        <w:tc>
          <w:tcPr/>
          <w:p>
            <w:pPr>
              <w:pStyle w:val="Compact"/>
              <w:jc w:val="left"/>
            </w:pPr>
            <w:r>
              <w:t xml:space="preserve">2/5</w:t>
            </w:r>
          </w:p>
        </w:tc>
      </w:tr>
      <w:tr>
        <w:tc>
          <w:tcPr/>
          <w:p>
            <w:pPr>
              <w:pStyle w:val="Compact"/>
              <w:jc w:val="left"/>
            </w:pPr>
            <w:r>
              <w:t xml:space="preserve">İhracat rejimi (gümrük yönü)</w:t>
            </w:r>
          </w:p>
        </w:tc>
        <w:tc>
          <w:tcPr/>
          <w:p>
            <w:pPr>
              <w:pStyle w:val="Compact"/>
              <w:jc w:val="left"/>
            </w:pPr>
            <w:r>
              <w:t xml:space="preserve">–</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6</w:t>
            </w:r>
          </w:p>
        </w:tc>
        <w:tc>
          <w:tcPr/>
          <w:p>
            <w:pPr>
              <w:pStyle w:val="Compact"/>
              <w:jc w:val="left"/>
            </w:pPr>
            <w:r>
              <w:t xml:space="preserve">4/5</w:t>
            </w:r>
          </w:p>
        </w:tc>
      </w:tr>
      <w:tr>
        <w:tc>
          <w:tcPr/>
          <w:p>
            <w:pPr>
              <w:pStyle w:val="Compact"/>
              <w:jc w:val="left"/>
            </w:pPr>
            <w:r>
              <w:t xml:space="preserve">Gümrüksüz satış, sınır ticareti, serbest bölge</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c>
          <w:tcPr/>
          <w:p>
            <w:pPr>
              <w:pStyle w:val="Compact"/>
              <w:jc w:val="left"/>
            </w:pPr>
            <w:r>
              <w:t xml:space="preserve">2</w:t>
            </w:r>
          </w:p>
        </w:tc>
        <w:tc>
          <w:tcPr/>
          <w:p>
            <w:pPr>
              <w:pStyle w:val="Compact"/>
              <w:jc w:val="left"/>
            </w:pPr>
            <w:r>
              <w:rPr>
                <w:bCs/>
                <w:b/>
              </w:rPr>
              <w:t xml:space="preserve">6</w:t>
            </w:r>
          </w:p>
        </w:tc>
        <w:tc>
          <w:tcPr/>
          <w:p>
            <w:pPr>
              <w:pStyle w:val="Compact"/>
              <w:jc w:val="left"/>
            </w:pPr>
            <w:r>
              <w:t xml:space="preserve">4/5</w:t>
            </w:r>
          </w:p>
        </w:tc>
      </w:tr>
      <w:tr>
        <w:tc>
          <w:tcPr/>
          <w:p>
            <w:pPr>
              <w:pStyle w:val="Compact"/>
              <w:jc w:val="left"/>
            </w:pPr>
            <w:r>
              <w:t xml:space="preserve">Akaryakıt, kumanya, dış sefer, ihrakiye</w:t>
            </w:r>
          </w:p>
        </w:tc>
        <w:tc>
          <w:tcPr/>
          <w:p>
            <w:pPr>
              <w:pStyle w:val="Compact"/>
              <w:jc w:val="left"/>
            </w:pPr>
            <w:r>
              <w:t xml:space="preserve">2</w:t>
            </w:r>
          </w:p>
        </w:tc>
        <w:tc>
          <w:tcPr/>
          <w:p>
            <w:pPr>
              <w:pStyle w:val="Compact"/>
              <w:jc w:val="left"/>
            </w:pPr>
            <w:r>
              <w:t xml:space="preserve">–</w:t>
            </w:r>
          </w:p>
        </w:tc>
        <w:tc>
          <w:tcPr/>
          <w:p>
            <w:pPr>
              <w:pStyle w:val="Compact"/>
              <w:jc w:val="left"/>
            </w:pPr>
            <w:r>
              <w:t xml:space="preserve">3</w:t>
            </w:r>
          </w:p>
        </w:tc>
        <w:tc>
          <w:tcPr/>
          <w:p>
            <w:pPr>
              <w:pStyle w:val="Compact"/>
              <w:jc w:val="left"/>
            </w:pPr>
            <w:r>
              <w:t xml:space="preserve">–</w:t>
            </w:r>
          </w:p>
        </w:tc>
        <w:tc>
          <w:tcPr/>
          <w:p>
            <w:pPr>
              <w:pStyle w:val="Compact"/>
              <w:jc w:val="left"/>
            </w:pPr>
            <w:r>
              <w:t xml:space="preserve">1</w:t>
            </w:r>
          </w:p>
        </w:tc>
        <w:tc>
          <w:tcPr/>
          <w:p>
            <w:pPr>
              <w:pStyle w:val="Compact"/>
              <w:jc w:val="left"/>
            </w:pPr>
            <w:r>
              <w:rPr>
                <w:bCs/>
                <w:b/>
              </w:rPr>
              <w:t xml:space="preserve">6</w:t>
            </w:r>
          </w:p>
        </w:tc>
        <w:tc>
          <w:tcPr/>
          <w:p>
            <w:pPr>
              <w:pStyle w:val="Compact"/>
              <w:jc w:val="left"/>
            </w:pPr>
            <w:r>
              <w:t xml:space="preserve">3/5</w:t>
            </w:r>
          </w:p>
        </w:tc>
      </w:tr>
      <w:tr>
        <w:tc>
          <w:tcPr/>
          <w:p>
            <w:pPr>
              <w:pStyle w:val="Compact"/>
              <w:jc w:val="left"/>
            </w:pPr>
            <w:r>
              <w:t xml:space="preserve">DTÖ/GATT VII, TFA, DGÖ, transfer fiyatlandırması</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rPr>
                <w:bCs/>
                <w:b/>
              </w:rPr>
              <w:t xml:space="preserve">6</w:t>
            </w:r>
          </w:p>
        </w:tc>
        <w:tc>
          <w:tcPr/>
          <w:p>
            <w:pPr>
              <w:pStyle w:val="Compact"/>
              <w:jc w:val="left"/>
            </w:pPr>
            <w:r>
              <w:t xml:space="preserve">3/5</w:t>
            </w:r>
          </w:p>
        </w:tc>
      </w:tr>
      <w:tr>
        <w:tc>
          <w:tcPr/>
          <w:p>
            <w:pPr>
              <w:pStyle w:val="Compact"/>
              <w:jc w:val="left"/>
            </w:pPr>
            <w:r>
              <w:t xml:space="preserve">Geri verme – kaldırma</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5</w:t>
            </w:r>
          </w:p>
        </w:tc>
        <w:tc>
          <w:tcPr/>
          <w:p>
            <w:pPr>
              <w:pStyle w:val="Compact"/>
              <w:jc w:val="left"/>
            </w:pPr>
            <w:r>
              <w:t xml:space="preserve">4/5</w:t>
            </w:r>
          </w:p>
        </w:tc>
      </w:tr>
      <w:tr>
        <w:tc>
          <w:tcPr/>
          <w:p>
            <w:pPr>
              <w:pStyle w:val="Compact"/>
              <w:jc w:val="left"/>
            </w:pPr>
            <w:r>
              <w:t xml:space="preserve">Ticaret politikası savunma araçları</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5</w:t>
            </w:r>
          </w:p>
        </w:tc>
        <w:tc>
          <w:tcPr/>
          <w:p>
            <w:pPr>
              <w:pStyle w:val="Compact"/>
              <w:jc w:val="left"/>
            </w:pPr>
            <w:r>
              <w:t xml:space="preserve">3/5</w:t>
            </w:r>
          </w:p>
        </w:tc>
      </w:tr>
      <w:tr>
        <w:tc>
          <w:tcPr/>
          <w:p>
            <w:pPr>
              <w:pStyle w:val="Compact"/>
              <w:jc w:val="left"/>
            </w:pPr>
            <w:r>
              <w:t xml:space="preserve">Serbest dolaşıma giriş, nihai kullanım</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4</w:t>
            </w:r>
          </w:p>
        </w:tc>
        <w:tc>
          <w:tcPr/>
          <w:p>
            <w:pPr>
              <w:pStyle w:val="Compact"/>
              <w:jc w:val="left"/>
            </w:pPr>
            <w:r>
              <w:t xml:space="preserve">3/5</w:t>
            </w:r>
          </w:p>
        </w:tc>
      </w:tr>
      <w:tr>
        <w:tc>
          <w:tcPr/>
          <w:p>
            <w:pPr>
              <w:pStyle w:val="Compact"/>
              <w:jc w:val="left"/>
            </w:pPr>
            <w:r>
              <w:t xml:space="preserve">1/95 OKK, Gümrük Birliği esasları</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3/5</w:t>
            </w:r>
          </w:p>
        </w:tc>
      </w:tr>
      <w:tr>
        <w:tc>
          <w:tcPr/>
          <w:p>
            <w:pPr>
              <w:pStyle w:val="Compact"/>
              <w:jc w:val="left"/>
            </w:pPr>
            <w:r>
              <w:t xml:space="preserve">DİR Kararı ve Tebliği (Ticaret yönü)</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3</w:t>
            </w:r>
          </w:p>
        </w:tc>
        <w:tc>
          <w:tcPr/>
          <w:p>
            <w:pPr>
              <w:pStyle w:val="Compact"/>
              <w:jc w:val="left"/>
            </w:pPr>
            <w:r>
              <w:t xml:space="preserve">3/5</w:t>
            </w:r>
          </w:p>
        </w:tc>
      </w:tr>
      <w:tr>
        <w:tc>
          <w:tcPr/>
          <w:p>
            <w:pPr>
              <w:pStyle w:val="Compact"/>
              <w:jc w:val="left"/>
            </w:pPr>
            <w:r>
              <w:t xml:space="preserve">Teşvik, DYY</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3</w:t>
            </w:r>
          </w:p>
        </w:tc>
        <w:tc>
          <w:tcPr/>
          <w:p>
            <w:pPr>
              <w:pStyle w:val="Compact"/>
              <w:jc w:val="left"/>
            </w:pPr>
            <w:r>
              <w:t xml:space="preserve">3/5</w:t>
            </w:r>
          </w:p>
        </w:tc>
      </w:tr>
      <w:tr>
        <w:tc>
          <w:tcPr/>
          <w:p>
            <w:pPr>
              <w:pStyle w:val="Compact"/>
              <w:jc w:val="left"/>
            </w:pPr>
            <w:r>
              <w:t xml:space="preserve">Hariçte işleme, GKİ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3</w:t>
            </w:r>
          </w:p>
        </w:tc>
        <w:tc>
          <w:tcPr/>
          <w:p>
            <w:pPr>
              <w:pStyle w:val="Compact"/>
              <w:jc w:val="left"/>
            </w:pPr>
            <w:r>
              <w:t xml:space="preserve">2/5</w:t>
            </w:r>
          </w:p>
        </w:tc>
      </w:tr>
      <w:tr>
        <w:tc>
          <w:tcPr/>
          <w:p>
            <w:pPr>
              <w:pStyle w:val="Compact"/>
              <w:jc w:val="left"/>
            </w:pPr>
            <w:r>
              <w:t xml:space="preserve">Tasfiye</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2</w:t>
            </w:r>
          </w:p>
        </w:tc>
        <w:tc>
          <w:tcPr/>
          <w:p>
            <w:pPr>
              <w:pStyle w:val="Compact"/>
              <w:jc w:val="left"/>
            </w:pPr>
            <w:r>
              <w:t xml:space="preserve">1/5</w:t>
            </w:r>
          </w:p>
        </w:tc>
      </w:tr>
    </w:tbl>
    <w:p>
      <w:pPr>
        <w:pStyle w:val="BodyText"/>
      </w:pPr>
      <w:r>
        <w:rPr>
          <w:bCs/>
          <w:b/>
        </w:rPr>
        <w:t xml:space="preserve">Okuma:</w:t>
      </w:r>
    </w:p>
    <w:p>
      <w:pPr>
        <w:numPr>
          <w:ilvl w:val="0"/>
          <w:numId w:val="1013"/>
        </w:numPr>
        <w:pStyle w:val="Compact"/>
      </w:pPr>
      <w:r>
        <w:rPr>
          <w:bCs/>
          <w:b/>
        </w:rPr>
        <w:t xml:space="preserve">19 konu 5 yılın 5’inde de sorulmuş.</w:t>
      </w:r>
      <w:r>
        <w:t xml:space="preserve"> </w:t>
      </w:r>
      <w:r>
        <w:t xml:space="preserve">Bunlar sınavın sabit iskeletidir.</w:t>
      </w:r>
    </w:p>
    <w:p>
      <w:pPr>
        <w:numPr>
          <w:ilvl w:val="0"/>
          <w:numId w:val="1013"/>
        </w:numPr>
        <w:pStyle w:val="Compact"/>
      </w:pPr>
      <w:r>
        <w:rPr>
          <w:bCs/>
          <w:b/>
        </w:rPr>
        <w:t xml:space="preserve">Yükselenler:</w:t>
      </w:r>
      <w:r>
        <w:t xml:space="preserve"> </w:t>
      </w:r>
      <w:r>
        <w:t xml:space="preserve">tercihli ticaret ve menşe belgeleri (0 → 8), antrepo, TIR, YYS, DTÖ/TFA/transfer fiyatlandırması, tanımı verilen tarife eşyası, nihai kullanım, HİR/GKİ.</w:t>
      </w:r>
    </w:p>
    <w:p>
      <w:pPr>
        <w:numPr>
          <w:ilvl w:val="0"/>
          <w:numId w:val="1013"/>
        </w:numPr>
        <w:pStyle w:val="Compact"/>
      </w:pPr>
      <w:r>
        <w:rPr>
          <w:bCs/>
          <w:b/>
        </w:rPr>
        <w:t xml:space="preserve">Düşenler:</w:t>
      </w:r>
      <w:r>
        <w:t xml:space="preserve"> </w:t>
      </w:r>
      <w:r>
        <w:t xml:space="preserve">5607 (10 → 2), özet beyan (7 → 0), genel hükümler ve tanımlar (6 → 0), posta-hızlı kargo (4 → 1), dış ticaret işlemleri (5 → 1).</w:t>
      </w:r>
    </w:p>
    <w:bookmarkEnd w:id="43"/>
    <w:bookmarkStart w:id="44" w:name="mikro-konular-en-çok-sorulan-aynı-bilgi"/>
    <w:p>
      <w:pPr>
        <w:pStyle w:val="Heading3"/>
      </w:pPr>
      <w:r>
        <w:t xml:space="preserve">3.3 Mikro konular — en çok sorulan</w:t>
      </w:r>
      <w:r>
        <w:t xml:space="preserve"> </w:t>
      </w:r>
      <w:r>
        <w:t xml:space="preserve">“</w:t>
      </w:r>
      <w:r>
        <w:t xml:space="preserve">aynı bilgi</w:t>
      </w:r>
      <w:r>
        <w:t xml:space="preserve">”</w:t>
      </w:r>
    </w:p>
    <w:tbl>
      <w:tblPr>
        <w:tblStyle w:val="Table"/>
        <w:tblW w:type="pct" w:w="5000"/>
        <w:tblLook w:firstRow="1" w:lastRow="0" w:firstColumn="0" w:lastColumn="0" w:noHBand="0" w:noVBand="0" w:val="0020"/>
        <w:jc w:val="start"/>
      </w:tblPr>
      <w:tblGrid>
        <w:gridCol w:w="2640"/>
        <w:gridCol w:w="2904"/>
        <w:gridCol w:w="2376"/>
      </w:tblGrid>
      <w:tr>
        <w:trPr>
          <w:tblHeader w:val="true"/>
        </w:trPr>
        <w:tc>
          <w:tcPr/>
          <w:p>
            <w:pPr>
              <w:pStyle w:val="Compact"/>
              <w:jc w:val="left"/>
            </w:pPr>
            <w:r>
              <w:t xml:space="preserve">Gümrük mevzuatı</w:t>
            </w:r>
          </w:p>
        </w:tc>
        <w:tc>
          <w:tcPr/>
          <w:p>
            <w:pPr>
              <w:pStyle w:val="Compact"/>
              <w:jc w:val="left"/>
            </w:pPr>
            <w:r>
              <w:t xml:space="preserve">Sair mevzuat</w:t>
            </w:r>
          </w:p>
        </w:tc>
        <w:tc>
          <w:tcPr/>
          <w:p>
            <w:pPr>
              <w:pStyle w:val="Compact"/>
              <w:jc w:val="left"/>
            </w:pPr>
            <w:r>
              <w:t xml:space="preserve">Tarife</w:t>
            </w:r>
          </w:p>
        </w:tc>
      </w:tr>
      <w:tr>
        <w:tc>
          <w:tcPr/>
          <w:p>
            <w:pPr>
              <w:pStyle w:val="Compact"/>
              <w:jc w:val="left"/>
            </w:pPr>
            <w:r>
              <w:t xml:space="preserve">Kıymete dahil/hariç unsurlar (10 soru, 5/5 yıl)</w:t>
            </w:r>
          </w:p>
        </w:tc>
        <w:tc>
          <w:tcPr/>
          <w:p>
            <w:pPr>
              <w:pStyle w:val="Compact"/>
              <w:jc w:val="left"/>
            </w:pPr>
            <w:r>
              <w:t xml:space="preserve">5607 suç tipleri, fail, ceza (8, 5/5)</w:t>
            </w:r>
          </w:p>
        </w:tc>
        <w:tc>
          <w:tcPr/>
          <w:p>
            <w:pPr>
              <w:pStyle w:val="Compact"/>
              <w:jc w:val="left"/>
            </w:pPr>
            <w:r>
              <w:t xml:space="preserve">Fasıl 84–85 makine/elektrik (11)</w:t>
            </w:r>
          </w:p>
        </w:tc>
      </w:tr>
      <w:tr>
        <w:tc>
          <w:tcPr/>
          <w:p>
            <w:pPr>
              <w:pStyle w:val="Compact"/>
              <w:jc w:val="left"/>
            </w:pPr>
            <w:r>
              <w:t xml:space="preserve">Geri gelen eşya (8)</w:t>
            </w:r>
          </w:p>
        </w:tc>
        <w:tc>
          <w:tcPr/>
          <w:p>
            <w:pPr>
              <w:pStyle w:val="Compact"/>
              <w:jc w:val="left"/>
            </w:pPr>
            <w:r>
              <w:t xml:space="preserve">Incoterms (8, 5/5)</w:t>
            </w:r>
          </w:p>
        </w:tc>
        <w:tc>
          <w:tcPr/>
          <w:p>
            <w:pPr>
              <w:pStyle w:val="Compact"/>
              <w:jc w:val="left"/>
            </w:pPr>
            <w:r>
              <w:t xml:space="preserve">HS 2022 değişiklikleri (7; 2022, 2024, 2025)</w:t>
            </w:r>
          </w:p>
        </w:tc>
      </w:tr>
      <w:tr>
        <w:tc>
          <w:tcPr/>
          <w:p>
            <w:pPr>
              <w:pStyle w:val="Compact"/>
              <w:jc w:val="left"/>
            </w:pPr>
            <w:r>
              <w:t xml:space="preserve">Royalti/lisans ücreti (8)</w:t>
            </w:r>
          </w:p>
        </w:tc>
        <w:tc>
          <w:tcPr/>
          <w:p>
            <w:pPr>
              <w:pStyle w:val="Compact"/>
              <w:jc w:val="left"/>
            </w:pPr>
            <w:r>
              <w:t xml:space="preserve">İthalde KDV matrahı (8, 5/5)</w:t>
            </w:r>
          </w:p>
        </w:tc>
        <w:tc>
          <w:tcPr/>
          <w:p>
            <w:pPr>
              <w:pStyle w:val="Compact"/>
              <w:jc w:val="left"/>
            </w:pPr>
            <w:r>
              <w:t xml:space="preserve">Fasıl 64–67 ayakkabı/şemsiye (5)</w:t>
            </w:r>
          </w:p>
        </w:tc>
      </w:tr>
      <w:tr>
        <w:tc>
          <w:tcPr/>
          <w:p>
            <w:pPr>
              <w:pStyle w:val="Compact"/>
              <w:jc w:val="left"/>
            </w:pPr>
            <w:r>
              <w:t xml:space="preserve">Transit basitleştirmeleri (7)</w:t>
            </w:r>
          </w:p>
        </w:tc>
        <w:tc>
          <w:tcPr/>
          <w:p>
            <w:pPr>
              <w:pStyle w:val="Compact"/>
              <w:jc w:val="left"/>
            </w:pPr>
            <w:r>
              <w:t xml:space="preserve">TIR (7)</w:t>
            </w:r>
          </w:p>
        </w:tc>
        <w:tc>
          <w:tcPr/>
          <w:p>
            <w:pPr>
              <w:pStyle w:val="Compact"/>
              <w:jc w:val="left"/>
            </w:pPr>
            <w:r>
              <w:t xml:space="preserve">Fasıl 90–97 çeşitli (5)</w:t>
            </w:r>
          </w:p>
        </w:tc>
      </w:tr>
      <w:tr>
        <w:tc>
          <w:tcPr/>
          <w:p>
            <w:pPr>
              <w:pStyle w:val="Compact"/>
              <w:jc w:val="left"/>
            </w:pPr>
            <w:r>
              <w:t xml:space="preserve">Antrepo götürü teminatı (6; 2022–2025 her yıl)</w:t>
            </w:r>
          </w:p>
        </w:tc>
        <w:tc>
          <w:tcPr/>
          <w:p>
            <w:pPr>
              <w:pStyle w:val="Compact"/>
              <w:jc w:val="left"/>
            </w:pPr>
            <w:r>
              <w:t xml:space="preserve">Kıymetli maden/altın ithalatı (7; 2022–2025 her yıl)</w:t>
            </w:r>
          </w:p>
        </w:tc>
        <w:tc>
          <w:tcPr/>
          <w:p>
            <w:pPr>
              <w:pStyle w:val="Compact"/>
              <w:jc w:val="left"/>
            </w:pPr>
            <w:r>
              <w:t xml:space="preserve">GYKK 1, 2(a), 6 ve uygulama sırası (5)</w:t>
            </w:r>
          </w:p>
        </w:tc>
      </w:tr>
      <w:tr>
        <w:tc>
          <w:tcPr/>
          <w:p>
            <w:pPr>
              <w:pStyle w:val="Compact"/>
              <w:jc w:val="left"/>
            </w:pPr>
            <w:r>
              <w:t xml:space="preserve">YYS kolaylık ve şartları (5)</w:t>
            </w:r>
          </w:p>
        </w:tc>
        <w:tc>
          <w:tcPr/>
          <w:p>
            <w:pPr>
              <w:pStyle w:val="Compact"/>
              <w:jc w:val="left"/>
            </w:pPr>
            <w:r>
              <w:t xml:space="preserve">5607 el koyma, tasfiye, yönetmelikler (7)</w:t>
            </w:r>
          </w:p>
        </w:tc>
        <w:tc>
          <w:tcPr/>
          <w:p>
            <w:pPr>
              <w:pStyle w:val="Compact"/>
              <w:jc w:val="left"/>
            </w:pPr>
            <w:r>
              <w:t xml:space="preserve">Fasıl 6–14 bitkisel ürünler (5)</w:t>
            </w:r>
          </w:p>
        </w:tc>
      </w:tr>
      <w:tr>
        <w:tc>
          <w:tcPr/>
          <w:p>
            <w:pPr>
              <w:pStyle w:val="Compact"/>
              <w:jc w:val="left"/>
            </w:pPr>
            <w:r>
              <w:t xml:space="preserve">Kullanılmış taşıt kıymeti (4; 2022–2025 her yıl)</w:t>
            </w:r>
          </w:p>
        </w:tc>
        <w:tc>
          <w:tcPr/>
          <w:p>
            <w:pPr>
              <w:pStyle w:val="Compact"/>
              <w:jc w:val="left"/>
            </w:pPr>
            <w:r>
              <w:t xml:space="preserve">STA/TTA taraf ülkeler (6)</w:t>
            </w:r>
          </w:p>
        </w:tc>
        <w:tc>
          <w:tcPr/>
          <w:p>
            <w:pPr>
              <w:pStyle w:val="Compact"/>
              <w:jc w:val="left"/>
            </w:pPr>
            <w:r>
              <w:t xml:space="preserve">Fasıl 86–89 taşıtlar (4)</w:t>
            </w:r>
          </w:p>
        </w:tc>
      </w:tr>
      <w:tr>
        <w:tc>
          <w:tcPr/>
          <w:p>
            <w:pPr>
              <w:pStyle w:val="Compact"/>
              <w:jc w:val="left"/>
            </w:pPr>
            <w:r>
              <w:t xml:space="preserve">Aynı/benzer eşya yöntemi (4)</w:t>
            </w:r>
          </w:p>
        </w:tc>
        <w:tc>
          <w:tcPr/>
          <w:p>
            <w:pPr>
              <w:pStyle w:val="Compact"/>
              <w:jc w:val="left"/>
            </w:pPr>
            <w:r>
              <w:t xml:space="preserve">Anlaşma–menşe belgesi eşleştirmesi (6)</w:t>
            </w:r>
          </w:p>
        </w:tc>
        <w:tc>
          <w:tcPr/>
          <w:p>
            <w:pPr>
              <w:pStyle w:val="Compact"/>
              <w:jc w:val="left"/>
            </w:pPr>
            <w:r>
              <w:t xml:space="preserve">Fasıl 1–5 hayvansal ürünler (4)</w:t>
            </w:r>
          </w:p>
        </w:tc>
      </w:tr>
      <w:tr>
        <w:tc>
          <w:tcPr/>
          <w:p>
            <w:pPr>
              <w:pStyle w:val="Compact"/>
              <w:jc w:val="left"/>
            </w:pPr>
            <w:r>
              <w:t xml:space="preserve">Fikri haklar süreleri ve alıkoyma (4)</w:t>
            </w:r>
          </w:p>
        </w:tc>
        <w:tc>
          <w:tcPr/>
          <w:p>
            <w:pPr>
              <w:pStyle w:val="Compact"/>
              <w:jc w:val="left"/>
            </w:pPr>
            <w:r>
              <w:t xml:space="preserve">ÖTV listelerinin kapsamı (5)</w:t>
            </w:r>
          </w:p>
        </w:tc>
        <w:tc>
          <w:tcPr/>
          <w:p>
            <w:pPr>
              <w:pStyle w:val="Compact"/>
              <w:jc w:val="left"/>
            </w:pPr>
            <w:r>
              <w:t xml:space="preserve">Kimya/eczacılık/kozmetik (3)</w:t>
            </w:r>
          </w:p>
        </w:tc>
      </w:tr>
      <w:tr>
        <w:tc>
          <w:tcPr/>
          <w:p>
            <w:pPr>
              <w:pStyle w:val="Compact"/>
              <w:jc w:val="left"/>
            </w:pPr>
            <w:r>
              <w:t xml:space="preserve">Posta-hızlı kargo eşikleri (4)</w:t>
            </w:r>
          </w:p>
        </w:tc>
        <w:tc>
          <w:tcPr/>
          <w:p>
            <w:pPr>
              <w:pStyle w:val="Compact"/>
              <w:jc w:val="left"/>
            </w:pPr>
            <w:r>
              <w:t xml:space="preserve">KKDF kapsam ve istisnaları (4)</w:t>
            </w:r>
          </w:p>
        </w:tc>
        <w:tc>
          <w:tcPr/>
          <w:p>
            <w:pPr>
              <w:pStyle w:val="Compact"/>
              <w:jc w:val="left"/>
            </w:pPr>
            <w:r>
              <w:t xml:space="preserve">Plastik/kauçuk (3)</w:t>
            </w:r>
          </w:p>
        </w:tc>
      </w:tr>
    </w:tbl>
    <w:bookmarkEnd w:id="44"/>
    <w:bookmarkStart w:id="45" w:name="tarifede-birebir-tekrar-eden-bilgiler"/>
    <w:p>
      <w:pPr>
        <w:pStyle w:val="Heading3"/>
      </w:pPr>
      <w:r>
        <w:t xml:space="preserve">3.4 Tarifede birebir tekrar eden bilgiler</w:t>
      </w:r>
    </w:p>
    <w:p>
      <w:pPr>
        <w:numPr>
          <w:ilvl w:val="0"/>
          <w:numId w:val="1014"/>
        </w:numPr>
        <w:pStyle w:val="Compact"/>
      </w:pPr>
      <w:r>
        <w:t xml:space="preserve">Deniz memelisi (balina/yunus) Fasıl 3’te değil: 2022/83, 2025/39</w:t>
      </w:r>
    </w:p>
    <w:p>
      <w:pPr>
        <w:numPr>
          <w:ilvl w:val="0"/>
          <w:numId w:val="1014"/>
        </w:numPr>
        <w:pStyle w:val="Compact"/>
      </w:pPr>
      <w:r>
        <w:t xml:space="preserve">Fasıl 64 notları (Not 2 aksam sayılmayanlar; Not 1 ortopedik ayakkabı): 2022/85, 2024/48, 2025/41</w:t>
      </w:r>
    </w:p>
    <w:p>
      <w:pPr>
        <w:numPr>
          <w:ilvl w:val="0"/>
          <w:numId w:val="1014"/>
        </w:numPr>
        <w:pStyle w:val="Compact"/>
      </w:pPr>
      <w:r>
        <w:t xml:space="preserve">GYKK 3(b) makarna + peynir + sos seti (19.02): 2021/94, 2025/42</w:t>
      </w:r>
    </w:p>
    <w:p>
      <w:pPr>
        <w:numPr>
          <w:ilvl w:val="0"/>
          <w:numId w:val="1014"/>
        </w:numPr>
        <w:pStyle w:val="Compact"/>
      </w:pPr>
      <w:r>
        <w:t xml:space="preserve">İlk yardım kutusu 30.06 (GYKK 1 ve 6): 2021/98, 2022/88</w:t>
      </w:r>
    </w:p>
    <w:p>
      <w:pPr>
        <w:numPr>
          <w:ilvl w:val="0"/>
          <w:numId w:val="1014"/>
        </w:numPr>
        <w:pStyle w:val="Compact"/>
      </w:pPr>
      <w:r>
        <w:t xml:space="preserve">Isıtma tertibatlı taşıt ön camı Fasıl 70’te değil: 2023/6, 2025/47</w:t>
      </w:r>
    </w:p>
    <w:p>
      <w:pPr>
        <w:numPr>
          <w:ilvl w:val="0"/>
          <w:numId w:val="1014"/>
        </w:numPr>
        <w:pStyle w:val="Compact"/>
      </w:pPr>
      <w:r>
        <w:t xml:space="preserve">Yenilebilir böcekler 04.10: 2022/79, 2024/2</w:t>
      </w:r>
    </w:p>
    <w:p>
      <w:pPr>
        <w:numPr>
          <w:ilvl w:val="0"/>
          <w:numId w:val="1014"/>
        </w:numPr>
        <w:pStyle w:val="Compact"/>
      </w:pPr>
      <w:r>
        <w:t xml:space="preserve">24.04 yanmadan solunan ürünler / e-sigara: 2022/86, 2025/52</w:t>
      </w:r>
    </w:p>
    <w:p>
      <w:pPr>
        <w:numPr>
          <w:ilvl w:val="0"/>
          <w:numId w:val="1014"/>
        </w:numPr>
        <w:pStyle w:val="Compact"/>
      </w:pPr>
      <w:r>
        <w:t xml:space="preserve">12 haneli GTİP katmanları + yanlış bölüm tuzağı: 2022/82, 2025/44</w:t>
      </w:r>
    </w:p>
    <w:p>
      <w:pPr>
        <w:numPr>
          <w:ilvl w:val="0"/>
          <w:numId w:val="1014"/>
        </w:numPr>
        <w:pStyle w:val="Compact"/>
      </w:pPr>
      <w:r>
        <w:t xml:space="preserve">Fasıl 9 baharatları ↔ 12.11 bitkileri: 2021/96, 2025/50</w:t>
      </w:r>
    </w:p>
    <w:p>
      <w:pPr>
        <w:numPr>
          <w:ilvl w:val="0"/>
          <w:numId w:val="1014"/>
        </w:numPr>
        <w:pStyle w:val="Compact"/>
      </w:pPr>
      <w:r>
        <w:t xml:space="preserve">Fasıl 11 notu: 2024/53, 2025/51</w:t>
      </w:r>
    </w:p>
    <w:p>
      <w:pPr>
        <w:numPr>
          <w:ilvl w:val="0"/>
          <w:numId w:val="1014"/>
        </w:numPr>
        <w:pStyle w:val="Compact"/>
      </w:pPr>
      <w:r>
        <w:t xml:space="preserve">42.02 kapsamı: 2023/4, 2023/14</w:t>
      </w:r>
    </w:p>
    <w:p>
      <w:pPr>
        <w:numPr>
          <w:ilvl w:val="0"/>
          <w:numId w:val="1014"/>
        </w:numPr>
        <w:pStyle w:val="Compact"/>
      </w:pPr>
      <w:r>
        <w:t xml:space="preserve">Kauçuk (40) ↔ silikon / işlev fasılları: 2024/44, 2025/55</w:t>
      </w:r>
    </w:p>
    <w:p>
      <w:pPr>
        <w:pStyle w:val="BlockText"/>
      </w:pPr>
      <w:r>
        <w:rPr>
          <w:bCs/>
          <w:b/>
        </w:rPr>
        <w:t xml:space="preserve">Ders:</w:t>
      </w:r>
      <w:r>
        <w:t xml:space="preserve"> </w:t>
      </w:r>
      <w:r>
        <w:t xml:space="preserve">Bakanlık aynı bilgiyi 1–3 yıl arayla yeniden soruyor. Çıkmış sorunun</w:t>
      </w:r>
      <w:r>
        <w:t xml:space="preserve"> </w:t>
      </w:r>
      <w:r>
        <w:rPr>
          <w:bCs/>
          <w:b/>
        </w:rPr>
        <w:t xml:space="preserve">ölçtüğü bilgi</w:t>
      </w:r>
      <w:r>
        <w:t xml:space="preserve">, soru bankasının ve ders notunun mutlak çekirdeğidir.</w:t>
      </w:r>
    </w:p>
    <w:p>
      <w:r>
        <w:pict>
          <v:rect style="width:0;height:1.5pt" o:hralign="center" o:hrstd="t" o:hr="t"/>
        </w:pict>
      </w:r>
    </w:p>
    <w:bookmarkEnd w:id="45"/>
    <w:bookmarkEnd w:id="46"/>
    <w:bookmarkStart w:id="51" w:name="alan-alan-bakanlık-neyi-hedefliyor"/>
    <w:p>
      <w:pPr>
        <w:pStyle w:val="Heading2"/>
      </w:pPr>
      <w:r>
        <w:t xml:space="preserve">4. ALAN ALAN: Bakanlık neyi hedefliyor?</w:t>
      </w:r>
    </w:p>
    <w:bookmarkStart w:id="47" w:name="gümrük-mevzuatı-yılda-4044-soru"/>
    <w:p>
      <w:pPr>
        <w:pStyle w:val="Heading3"/>
      </w:pPr>
      <w:r>
        <w:t xml:space="preserve">4.1 Gümrük Mevzuatı (yılda 40–44 soru)</w:t>
      </w:r>
    </w:p>
    <w:p>
      <w:pPr>
        <w:pStyle w:val="FirstParagraph"/>
      </w:pPr>
      <w:r>
        <w:rPr>
          <w:bCs/>
          <w:b/>
        </w:rPr>
        <w:t xml:space="preserve">Hedef:</w:t>
      </w:r>
      <w:r>
        <w:t xml:space="preserve"> </w:t>
      </w:r>
      <w:r>
        <w:t xml:space="preserve">Müşavirin beyannameyi doğru rejimde, doğru belgeyle, doğru sürede vermesi ve hangi kusurun hangi yaptırımı doğurduğunu bilmesi.</w:t>
      </w:r>
    </w:p>
    <w:p>
      <w:pPr>
        <w:pStyle w:val="BodyText"/>
      </w:pPr>
      <w:r>
        <w:rPr>
          <w:bCs/>
          <w:b/>
        </w:rPr>
        <w:t xml:space="preserve">Her yıl ya da neredeyse her yıl gelenler:</w:t>
      </w:r>
      <w:r>
        <w:t xml:space="preserve"> </w:t>
      </w:r>
      <w:r>
        <w:t xml:space="preserve">gümrük kıymeti (sözel 1–4 + hesap 4–8), transit (4–6), antrepo (3–6), 2009/15481 muafiyetleri (2–4: yolcu, ev eşyası, evlilik, miras, taşıt, posta-hızlı kargo tek ve maktu vergi), menşe (tercihsiz, şahadetname, aranmayan haller), beyan ve beyanname ekleri, basitleştirilmiş usuller, geçici ithalat (kısmi/tam muafiyet, ATA, kara taşıtı belgesi), dahilde işleme (eşdeğer eşya, önceden ihracat, geri ödeme, telafi edici vergi), fikri mülkiyet, YYS/OKS/izinli alıcı, teminat/tahsil/geri verme, cezalar (234/235/238/241) ve uzlaşma.</w:t>
      </w:r>
    </w:p>
    <w:p>
      <w:pPr>
        <w:pStyle w:val="BodyText"/>
      </w:pPr>
      <w:r>
        <w:rPr>
          <w:bCs/>
          <w:b/>
        </w:rPr>
        <w:t xml:space="preserve">Dönemsel gelenler:</w:t>
      </w:r>
      <w:r>
        <w:t xml:space="preserve"> </w:t>
      </w:r>
      <w:r>
        <w:t xml:space="preserve">özet beyan (2021’de 5 soru, sonra yok denecek kadar az), akaryakıt/kumanya/dış sefer/ihrakiye, geri gelen eşya, nihai kullanım, gümrüksüz satış mağazaları, sınır ticareti, tasfiye, YGM tespit kodları, asgari ücret tarifesi, posta-hızlı kargo.</w:t>
      </w:r>
    </w:p>
    <w:p>
      <w:pPr>
        <w:pStyle w:val="BodyText"/>
      </w:pPr>
      <w:r>
        <w:rPr>
          <w:bCs/>
          <w:b/>
        </w:rPr>
        <w:t xml:space="preserve">Bakanlığın GM’de sevdiği soru biçimleri:</w:t>
      </w:r>
    </w:p>
    <w:p>
      <w:pPr>
        <w:numPr>
          <w:ilvl w:val="0"/>
          <w:numId w:val="1015"/>
        </w:numPr>
        <w:pStyle w:val="Compact"/>
      </w:pPr>
      <w:r>
        <w:t xml:space="preserve">Bir rejimin tebliğinden 4–6 öncüllü soru (transit, nihai kullanım, DİR)</w:t>
      </w:r>
    </w:p>
    <w:p>
      <w:pPr>
        <w:numPr>
          <w:ilvl w:val="0"/>
          <w:numId w:val="1015"/>
        </w:numPr>
        <w:pStyle w:val="Compact"/>
      </w:pPr>
      <w:r>
        <w:t xml:space="preserve">“</w:t>
      </w:r>
      <w:r>
        <w:t xml:space="preserve">Gümrük Yönetmeliğine göre … ilişkin aşağıdakilerden hangisi yanlıştır?</w:t>
      </w:r>
      <w:r>
        <w:t xml:space="preserve">”</w:t>
      </w:r>
    </w:p>
    <w:p>
      <w:pPr>
        <w:numPr>
          <w:ilvl w:val="0"/>
          <w:numId w:val="1015"/>
        </w:numPr>
        <w:pStyle w:val="Compact"/>
      </w:pPr>
      <w:r>
        <w:t xml:space="preserve">Makam tablosu eşleştirme (2025/83: işlem – makam – süre)</w:t>
      </w:r>
    </w:p>
    <w:p>
      <w:pPr>
        <w:numPr>
          <w:ilvl w:val="0"/>
          <w:numId w:val="1015"/>
        </w:numPr>
        <w:pStyle w:val="Compact"/>
      </w:pPr>
      <w:r>
        <w:t xml:space="preserve">Boşluk doldurma:</w:t>
      </w:r>
      <w:r>
        <w:t xml:space="preserve"> </w:t>
      </w:r>
      <w:r>
        <w:t xml:space="preserve">“</w:t>
      </w:r>
      <w:r>
        <w:t xml:space="preserve">….. antrepoda … ….. içinde … ….. uyarınca işlem yapılır</w:t>
      </w:r>
      <w:r>
        <w:t xml:space="preserve">”</w:t>
      </w:r>
      <w:r>
        <w:t xml:space="preserve"> </w:t>
      </w:r>
      <w:r>
        <w:t xml:space="preserve">(genel/özel – 5/10 iş günü – 241/1-241/2)</w:t>
      </w:r>
    </w:p>
    <w:p>
      <w:pPr>
        <w:numPr>
          <w:ilvl w:val="0"/>
          <w:numId w:val="1015"/>
        </w:numPr>
        <w:pStyle w:val="Compact"/>
      </w:pPr>
      <w:r>
        <w:t xml:space="preserve">Tarihli vaka: tescil, izin süresi ve kati ithalat tarihlerinden hangisi esas alınır (2025/88)</w:t>
      </w:r>
    </w:p>
    <w:bookmarkEnd w:id="47"/>
    <w:bookmarkStart w:id="48" w:name="sair-mevzuat-yılda-2532-soru"/>
    <w:p>
      <w:pPr>
        <w:pStyle w:val="Heading3"/>
      </w:pPr>
      <w:r>
        <w:t xml:space="preserve">4.2 Sair Mevzuat (yılda 25–32 soru)</w:t>
      </w:r>
    </w:p>
    <w:p>
      <w:pPr>
        <w:pStyle w:val="FirstParagraph"/>
      </w:pPr>
      <w:r>
        <w:rPr>
          <w:bCs/>
          <w:b/>
        </w:rPr>
        <w:t xml:space="preserve">Hedef:</w:t>
      </w:r>
      <w:r>
        <w:t xml:space="preserve"> </w:t>
      </w:r>
      <w:r>
        <w:t xml:space="preserve">Müşavirin dış ticaret danışmanı olarak gümrük dışındaki rejimleri de bilmesi: vergi (KDV/ÖTV/DV/KKDF), kambiyo, menşe tercihleri, ürün güvenliği, ihracat-ithalat rejimi, kaçakçılık, uluslararası anlaşmalar.</w:t>
      </w:r>
    </w:p>
    <w:p>
      <w:pPr>
        <w:pStyle w:val="BodyText"/>
      </w:pPr>
      <w:r>
        <w:rPr>
          <w:bCs/>
          <w:b/>
        </w:rPr>
        <w:t xml:space="preserve">İstikrarlı çekirdek:</w:t>
      </w:r>
    </w:p>
    <w:p>
      <w:pPr>
        <w:numPr>
          <w:ilvl w:val="0"/>
          <w:numId w:val="1016"/>
        </w:numPr>
        <w:pStyle w:val="Compact"/>
      </w:pPr>
      <w:r>
        <w:rPr>
          <w:bCs/>
          <w:b/>
        </w:rPr>
        <w:t xml:space="preserve">Tercihli ticaret ve menşe belgeleri</w:t>
      </w:r>
      <w:r>
        <w:t xml:space="preserve"> </w:t>
      </w:r>
      <w:r>
        <w:t xml:space="preserve">(2022’den beri her yıl 5–8 soru; sairin en büyük konusu): hangi ülkeye hangi belge (A.TR / EUR.1 / EUR-MED / menşe beyanı / Form A / TR-AZ / TTA belgeleri), STA–TTA ayrımı, taraf ülkeler (EFTA, TPS-OIC, STA listesi), teknik ret halleri, INF formları, ikinci nüsha ve sonradan verilen belge.</w:t>
      </w:r>
    </w:p>
    <w:p>
      <w:pPr>
        <w:numPr>
          <w:ilvl w:val="0"/>
          <w:numId w:val="1016"/>
        </w:numPr>
        <w:pStyle w:val="Compact"/>
      </w:pPr>
      <w:r>
        <w:rPr>
          <w:bCs/>
          <w:b/>
        </w:rPr>
        <w:t xml:space="preserve">KDV / ÖTV / DV / KKDF</w:t>
      </w:r>
      <w:r>
        <w:t xml:space="preserve"> </w:t>
      </w:r>
      <w:r>
        <w:t xml:space="preserve">(birlikte yılda 4–10 soru): ÖTV listeleri ve (I) sayılı listenin cetvelleri, diplomatik istisna, (IV) liste içerikleri, KKDF’nin peşin ödemede alınmaması, DV’ye tabi gümrük belgeleri, KDV oranı (finansal kiralama), vergi sorumlusu.</w:t>
      </w:r>
    </w:p>
    <w:p>
      <w:pPr>
        <w:numPr>
          <w:ilvl w:val="0"/>
          <w:numId w:val="1016"/>
        </w:numPr>
        <w:pStyle w:val="Compact"/>
      </w:pPr>
      <w:r>
        <w:rPr>
          <w:bCs/>
          <w:b/>
        </w:rPr>
        <w:t xml:space="preserve">Kambiyo</w:t>
      </w:r>
      <w:r>
        <w:t xml:space="preserve"> </w:t>
      </w:r>
      <w:r>
        <w:t xml:space="preserve">(her yıl 2–5): 32 sayılı Karar, ihracat bedeli süreleri (vade + 90 gün), kıymetli maden ve altın ithalatı, kıymetli taş listesi, yolcu beraberi Türk parası ve nakit beyan formu, efektif/döviz.</w:t>
      </w:r>
    </w:p>
    <w:p>
      <w:pPr>
        <w:numPr>
          <w:ilvl w:val="0"/>
          <w:numId w:val="1016"/>
        </w:numPr>
        <w:pStyle w:val="Compact"/>
      </w:pPr>
      <w:r>
        <w:rPr>
          <w:bCs/>
          <w:b/>
        </w:rPr>
        <w:t xml:space="preserve">5607 Kaçakçılık</w:t>
      </w:r>
      <w:r>
        <w:t xml:space="preserve"> </w:t>
      </w:r>
      <w:r>
        <w:t xml:space="preserve">(her yıl; 2021’de 10, sonra 2–4): suç tipleri, etkin pişmanlık, taşıtın alıkonulması/müsaderesi, akaryakıt tasfiyesi, katılan sıfatı.</w:t>
      </w:r>
    </w:p>
    <w:p>
      <w:pPr>
        <w:numPr>
          <w:ilvl w:val="0"/>
          <w:numId w:val="1016"/>
        </w:numPr>
        <w:pStyle w:val="Compact"/>
      </w:pPr>
      <w:r>
        <w:rPr>
          <w:bCs/>
          <w:b/>
        </w:rPr>
        <w:t xml:space="preserve">İhracat Yönetmeliği ve rejimi</w:t>
      </w:r>
      <w:r>
        <w:t xml:space="preserve"> </w:t>
      </w:r>
      <w:r>
        <w:t xml:space="preserve">(her yıl 1–4): konsinye ihracat (1 yıl, ihracatçı birliği), yasak/ön izinli mallar listesi (96/31), bedelsiz ihracat, serbest bölgeye ihracat.</w:t>
      </w:r>
    </w:p>
    <w:p>
      <w:pPr>
        <w:numPr>
          <w:ilvl w:val="0"/>
          <w:numId w:val="1016"/>
        </w:numPr>
        <w:pStyle w:val="Compact"/>
      </w:pPr>
      <w:r>
        <w:rPr>
          <w:bCs/>
          <w:b/>
        </w:rPr>
        <w:t xml:space="preserve">Ürün güvenliği ve teknik düzenlemeler</w:t>
      </w:r>
      <w:r>
        <w:t xml:space="preserve"> </w:t>
      </w:r>
      <w:r>
        <w:t xml:space="preserve">(3/5 yıl, 2–3 soru): her yıl yenilenen ithalat denetimi tebliğleri ve denetim kurumları, TAREKS kapsamı, 7223 sayılı Kanun, CE/e işaretleri, denetim aşaması (GY 181).</w:t>
      </w:r>
    </w:p>
    <w:p>
      <w:pPr>
        <w:pStyle w:val="FirstParagraph"/>
      </w:pPr>
      <w:r>
        <w:rPr>
          <w:bCs/>
          <w:b/>
        </w:rPr>
        <w:t xml:space="preserve">Dönemsel:</w:t>
      </w:r>
      <w:r>
        <w:t xml:space="preserve"> </w:t>
      </w:r>
      <w:r>
        <w:t xml:space="preserve">1/95 OKK (uyum alanları), DTÖ Kıymet Anlaşması md. 8/2, TFA ön kararı, transfer fiyatlandırması (OECD, yöntemler), Incoterms 2020 (DPU, sıralama, taşıma moduna göre seçim), ödeme şekilleri ve konşimento, CISG, TIR/ATA, ticaret politikası savunma araçları, teşvik, DYY.</w:t>
      </w:r>
    </w:p>
    <w:p>
      <w:pPr>
        <w:pStyle w:val="BodyText"/>
      </w:pPr>
      <w:r>
        <w:rPr>
          <w:bCs/>
          <w:b/>
        </w:rPr>
        <w:t xml:space="preserve">Bakanlığın sairde sevdiği soru biçimleri:</w:t>
      </w:r>
      <w:r>
        <w:t xml:space="preserve"> </w:t>
      </w:r>
      <w:r>
        <w:t xml:space="preserve">ülke–belge eşleştirmesi, tebliğ–kurum eşleştirmesi, liste soruları (hangisi taraf değildir / hangisi listede yer almaz), eşik + belge boşluğu (185.000 TL / nakit beyan formu).</w:t>
      </w:r>
    </w:p>
    <w:bookmarkEnd w:id="48"/>
    <w:bookmarkStart w:id="49" w:name="tarife-yılda-1318-soru-tek-blok"/>
    <w:p>
      <w:pPr>
        <w:pStyle w:val="Heading3"/>
      </w:pPr>
      <w:r>
        <w:t xml:space="preserve">4.3 Tarife (yılda 13–18 soru, tek blok)</w:t>
      </w:r>
    </w:p>
    <w:p>
      <w:pPr>
        <w:pStyle w:val="FirstParagraph"/>
      </w:pPr>
      <w:r>
        <w:rPr>
          <w:bCs/>
          <w:b/>
        </w:rPr>
        <w:t xml:space="preserve">Hedef:</w:t>
      </w:r>
      <w:r>
        <w:t xml:space="preserve"> </w:t>
      </w:r>
      <w:r>
        <w:t xml:space="preserve">Müşavirin GTİP’i sezgiyle değil,</w:t>
      </w:r>
      <w:r>
        <w:t xml:space="preserve"> </w:t>
      </w:r>
      <w:r>
        <w:rPr>
          <w:bCs/>
          <w:b/>
        </w:rPr>
        <w:t xml:space="preserve">yasal kurallarla</w:t>
      </w:r>
      <w:r>
        <w:t xml:space="preserve"> </w:t>
      </w:r>
      <w:r>
        <w:t xml:space="preserve">(GYKK 1: pozisyon metni + notlar) belirleyebilmesi.</w:t>
      </w:r>
    </w:p>
    <w:p>
      <w:pPr>
        <w:pStyle w:val="BodyText"/>
      </w:pPr>
      <w:r>
        <w:rPr>
          <w:bCs/>
          <w:b/>
        </w:rPr>
        <w:t xml:space="preserve">Tarife soru aileleri (5 yılın tamamından):</w:t>
      </w:r>
    </w:p>
    <w:p>
      <w:pPr>
        <w:numPr>
          <w:ilvl w:val="0"/>
          <w:numId w:val="1017"/>
        </w:numPr>
        <w:pStyle w:val="Compact"/>
      </w:pPr>
      <w:r>
        <w:rPr>
          <w:bCs/>
          <w:b/>
        </w:rPr>
        <w:t xml:space="preserve">Fasıl kapsamı / farklı olanı bul:</w:t>
      </w:r>
      <w:r>
        <w:t xml:space="preserve"> </w:t>
      </w:r>
      <w:r>
        <w:t xml:space="preserve">“</w:t>
      </w:r>
      <w:r>
        <w:t xml:space="preserve">Aşağıdakilerden hangisi X. fasılda yer almaz?</w:t>
      </w:r>
      <w:r>
        <w:t xml:space="preserve">”</w:t>
      </w:r>
      <w:r>
        <w:t xml:space="preserve">,</w:t>
      </w:r>
      <w:r>
        <w:t xml:space="preserve"> </w:t>
      </w:r>
      <w:r>
        <w:t xml:space="preserve">“</w:t>
      </w:r>
      <w:r>
        <w:t xml:space="preserve">Hangisinde sayılanların tümü aynı fasılda sınıflandırılmaz?</w:t>
      </w:r>
      <w:r>
        <w:t xml:space="preserve">”</w:t>
      </w:r>
      <w:r>
        <w:t xml:space="preserve">,</w:t>
      </w:r>
      <w:r>
        <w:t xml:space="preserve"> </w:t>
      </w:r>
      <w:r>
        <w:t xml:space="preserve">“</w:t>
      </w:r>
      <w:r>
        <w:t xml:space="preserve">Hangisi farklı fasılda yer alır?</w:t>
      </w:r>
      <w:r>
        <w:t xml:space="preserve">”</w:t>
      </w:r>
    </w:p>
    <w:p>
      <w:pPr>
        <w:numPr>
          <w:ilvl w:val="0"/>
          <w:numId w:val="1017"/>
        </w:numPr>
        <w:pStyle w:val="Compact"/>
      </w:pPr>
      <w:r>
        <w:rPr>
          <w:bCs/>
          <w:b/>
        </w:rPr>
        <w:t xml:space="preserve">Not ve hariç bilgisi:</w:t>
      </w:r>
      <w:r>
        <w:t xml:space="preserve"> </w:t>
      </w:r>
      <w:r>
        <w:t xml:space="preserve">Fasıl 64 Not 2 (bağcık aksam değildir), Bölüm XVII Not 2 (araba parçası 87’de olmayabilir), Fasıl 30 Not 1, Fasıl 51 Not 1 (ince kıl), Fasıl 71 Not 4 (platin), XV Not 9 (çubuk/tel), Fasıl 11 notu (nişasta/kül), Fasıl 92 Not 2, Fasıl 4 Not 6 (böcek).</w:t>
      </w:r>
    </w:p>
    <w:p>
      <w:pPr>
        <w:numPr>
          <w:ilvl w:val="0"/>
          <w:numId w:val="1017"/>
        </w:numPr>
        <w:pStyle w:val="Compact"/>
      </w:pPr>
      <w:r>
        <w:rPr>
          <w:bCs/>
          <w:b/>
        </w:rPr>
        <w:t xml:space="preserve">Pozisyon metni ezberi:</w:t>
      </w:r>
      <w:r>
        <w:t xml:space="preserve"> </w:t>
      </w:r>
      <w:r>
        <w:t xml:space="preserve">09.09 tohumlar, 12.11 bitkiler, 04.03 ayran, 03.07 ahtapot, 42.02’nin iki kısmı, 84.84 conta takımları.</w:t>
      </w:r>
    </w:p>
    <w:p>
      <w:pPr>
        <w:numPr>
          <w:ilvl w:val="0"/>
          <w:numId w:val="1017"/>
        </w:numPr>
        <w:pStyle w:val="Compact"/>
      </w:pPr>
      <w:r>
        <w:rPr>
          <w:bCs/>
          <w:b/>
        </w:rPr>
        <w:t xml:space="preserve">GYKK uygulaması:</w:t>
      </w:r>
      <w:r>
        <w:t xml:space="preserve"> </w:t>
      </w:r>
      <w:r>
        <w:t xml:space="preserve">3(b) set (makarna + peynir + sos klasiği iki kez soruldu),</w:t>
      </w:r>
      <w:r>
        <w:t xml:space="preserve"> </w:t>
      </w:r>
      <w:r>
        <w:t xml:space="preserve">“</w:t>
      </w:r>
      <w:r>
        <w:t xml:space="preserve">GYKK 1 ile çözülen takım ve 3(b) seti</w:t>
      </w:r>
      <w:r>
        <w:t xml:space="preserve">”</w:t>
      </w:r>
      <w:r>
        <w:t xml:space="preserve"> </w:t>
      </w:r>
      <w:r>
        <w:t xml:space="preserve">ayrımı, 2(a)’nın I–VI. bölümlere uygulanmaması,</w:t>
      </w:r>
      <w:r>
        <w:t xml:space="preserve"> </w:t>
      </w:r>
      <w:r>
        <w:t xml:space="preserve">“</w:t>
      </w:r>
      <w:r>
        <w:t xml:space="preserve">hangi GYKK’lar yanlış gösterilmiştir</w:t>
      </w:r>
      <w:r>
        <w:t xml:space="preserve">”</w:t>
      </w:r>
      <w:r>
        <w:t xml:space="preserve">.</w:t>
      </w:r>
    </w:p>
    <w:p>
      <w:pPr>
        <w:numPr>
          <w:ilvl w:val="0"/>
          <w:numId w:val="1017"/>
        </w:numPr>
        <w:pStyle w:val="Compact"/>
      </w:pPr>
      <w:r>
        <w:rPr>
          <w:bCs/>
          <w:b/>
        </w:rPr>
        <w:t xml:space="preserve">Tanımı verilen eşya:</w:t>
      </w:r>
      <w:r>
        <w:t xml:space="preserve"> </w:t>
      </w:r>
      <w:r>
        <w:t xml:space="preserve">Uzun teknik tanım veya görsel (2024/59, ilk görselli soru) ile 4 haneli pozisyon. Çeldiriciler eşyanın bileşenlerinden türetiliyor: malzeme pozisyonu, ambalaj pozisyonu, kullanım alanı pozisyonu.</w:t>
      </w:r>
    </w:p>
    <w:p>
      <w:pPr>
        <w:numPr>
          <w:ilvl w:val="0"/>
          <w:numId w:val="1017"/>
        </w:numPr>
        <w:pStyle w:val="Compact"/>
      </w:pPr>
      <w:r>
        <w:rPr>
          <w:bCs/>
          <w:b/>
        </w:rPr>
        <w:t xml:space="preserve">Güncel nomenklatür:</w:t>
      </w:r>
      <w:r>
        <w:t xml:space="preserve"> </w:t>
      </w:r>
      <w:r>
        <w:t xml:space="preserve">HS 2022 değişiklikleri (04.10 böcekler, 24.04 yeni nesil tütün, 85.24 düz panel modülleri, 88.06 İHA, sıcak izostatik pres 85.14) üç ayrı yılda soruldu.</w:t>
      </w:r>
      <w:r>
        <w:t xml:space="preserve"> </w:t>
      </w:r>
      <w:r>
        <w:rPr>
          <w:bCs/>
          <w:b/>
        </w:rPr>
        <w:t xml:space="preserve">HS 2027 değişiklikleri</w:t>
      </w:r>
      <w:r>
        <w:t xml:space="preserve"> </w:t>
      </w:r>
      <w:r>
        <w:t xml:space="preserve">aynı mantıkla 2027 sınavının adayıdır.</w:t>
      </w:r>
    </w:p>
    <w:p>
      <w:pPr>
        <w:numPr>
          <w:ilvl w:val="0"/>
          <w:numId w:val="1017"/>
        </w:numPr>
        <w:pStyle w:val="Compact"/>
      </w:pPr>
      <w:r>
        <w:rPr>
          <w:bCs/>
          <w:b/>
        </w:rPr>
        <w:t xml:space="preserve">Tarife hukuku ve yapısı:</w:t>
      </w:r>
      <w:r>
        <w:t xml:space="preserve"> </w:t>
      </w:r>
      <w:r>
        <w:t xml:space="preserve">12 haneli GTİP’te hanelerin anlamı (HS 6 + KN 8 + milli 10 + istatistik 12), 474 sayılı Kanun’daki Cumhurbaşkanı yetkisinin sınırları, Fasıl 99 (milli fasıl), pozisyon sıralaması (Fasıl 85).</w:t>
      </w:r>
    </w:p>
    <w:p>
      <w:pPr>
        <w:pStyle w:val="FirstParagraph"/>
      </w:pPr>
      <w:r>
        <w:rPr>
          <w:bCs/>
          <w:b/>
        </w:rPr>
        <w:t xml:space="preserve">En çok tekrar eden fasıllar:</w:t>
      </w:r>
      <w:r>
        <w:t xml:space="preserve"> </w:t>
      </w:r>
      <w:r>
        <w:t xml:space="preserve">84–85 (her yıl 4–6 soru), gıda fasılları 03-04-08-09-11-19-20-21, 39-40, 42-44, 64, 87, 90-97.</w:t>
      </w:r>
    </w:p>
    <w:p>
      <w:pPr>
        <w:pStyle w:val="BodyText"/>
      </w:pPr>
      <w:r>
        <w:rPr>
          <w:bCs/>
          <w:b/>
        </w:rPr>
        <w:t xml:space="preserve">Tarife çeldirici kuralı:</w:t>
      </w:r>
      <w:r>
        <w:t xml:space="preserve"> </w:t>
      </w:r>
      <w:r>
        <w:t xml:space="preserve">Yanlış pozisyonlar ya</w:t>
      </w:r>
      <w:r>
        <w:t xml:space="preserve"> </w:t>
      </w:r>
      <w:r>
        <w:rPr>
          <w:bCs/>
          <w:b/>
        </w:rPr>
        <w:t xml:space="preserve">sayı komşusu</w:t>
      </w:r>
      <w:r>
        <w:t xml:space="preserve"> </w:t>
      </w:r>
      <w:r>
        <w:t xml:space="preserve">(84.53/84.54, 20.07/20.08, 03.06/03.07/03.08) ya</w:t>
      </w:r>
      <w:r>
        <w:t xml:space="preserve"> </w:t>
      </w:r>
      <w:r>
        <w:rPr>
          <w:bCs/>
          <w:b/>
        </w:rPr>
        <w:t xml:space="preserve">kelime çağrışımı</w:t>
      </w:r>
      <w:r>
        <w:t xml:space="preserve"> </w:t>
      </w:r>
      <w:r>
        <w:t xml:space="preserve">(gezici tiyatro → tiyatro dekoru; ısı pompası → ısı değiştirici;</w:t>
      </w:r>
      <w:r>
        <w:t xml:space="preserve"> </w:t>
      </w:r>
      <w:r>
        <w:t xml:space="preserve">“</w:t>
      </w:r>
      <w:r>
        <w:t xml:space="preserve">pres</w:t>
      </w:r>
      <w:r>
        <w:t xml:space="preserve">”</w:t>
      </w:r>
      <w:r>
        <w:t xml:space="preserve"> </w:t>
      </w:r>
      <w:r>
        <w:t xml:space="preserve">→ 84.62) ya da</w:t>
      </w:r>
      <w:r>
        <w:t xml:space="preserve"> </w:t>
      </w:r>
      <w:r>
        <w:rPr>
          <w:bCs/>
          <w:b/>
        </w:rPr>
        <w:t xml:space="preserve">malzeme fasılları</w:t>
      </w:r>
      <w:r>
        <w:t xml:space="preserve"> </w:t>
      </w:r>
      <w:r>
        <w:t xml:space="preserve">(kauçuktan sandalye → 40 yerine 94).</w:t>
      </w:r>
    </w:p>
    <w:bookmarkEnd w:id="49"/>
    <w:bookmarkStart w:id="50" w:name="hesaplama-yılda-916-soru"/>
    <w:p>
      <w:pPr>
        <w:pStyle w:val="Heading3"/>
      </w:pPr>
      <w:r>
        <w:t xml:space="preserve">4.4 Hesaplama (yılda 9–16 soru)</w:t>
      </w:r>
    </w:p>
    <w:p>
      <w:pPr>
        <w:pStyle w:val="FirstParagraph"/>
      </w:pPr>
      <w:r>
        <w:rPr>
          <w:bCs/>
          <w:b/>
        </w:rPr>
        <w:t xml:space="preserve">Hedef:</w:t>
      </w:r>
      <w:r>
        <w:t xml:space="preserve"> </w:t>
      </w:r>
      <w:r>
        <w:t xml:space="preserve">Müşavirin beyannamenin kıymet ve vergi hanelerini doğru doldurması, sonradan kontrolde neyin ek tahakkuka ve cezaya dönüşeceğini bilmesi.</w:t>
      </w:r>
    </w:p>
    <w:p>
      <w:pPr>
        <w:pStyle w:val="BodyText"/>
      </w:pPr>
      <w:r>
        <w:rPr>
          <w:bCs/>
          <w:b/>
        </w:rPr>
        <w:t xml:space="preserve">5 yılın 59 hesap sorusunun dağılımı (yaklaşık):</w:t>
      </w:r>
    </w:p>
    <w:tbl>
      <w:tblPr>
        <w:tblStyle w:val="Table"/>
        <w:tblW w:type="pct" w:w="5000"/>
        <w:tblLook w:firstRow="1" w:lastRow="0" w:firstColumn="0" w:lastColumn="0" w:noHBand="0" w:noVBand="0" w:val="0020"/>
        <w:jc w:val="start"/>
      </w:tblPr>
      <w:tblGrid>
        <w:gridCol w:w="2436"/>
        <w:gridCol w:w="852"/>
        <w:gridCol w:w="4630"/>
      </w:tblGrid>
      <w:tr>
        <w:trPr>
          <w:tblHeader w:val="true"/>
        </w:trPr>
        <w:tc>
          <w:tcPr/>
          <w:p>
            <w:pPr>
              <w:pStyle w:val="Compact"/>
              <w:jc w:val="left"/>
            </w:pPr>
            <w:r>
              <w:t xml:space="preserve">Aile</w:t>
            </w:r>
          </w:p>
        </w:tc>
        <w:tc>
          <w:tcPr/>
          <w:p>
            <w:pPr>
              <w:pStyle w:val="Compact"/>
              <w:jc w:val="left"/>
            </w:pPr>
            <w:r>
              <w:t xml:space="preserve">Pay</w:t>
            </w:r>
          </w:p>
        </w:tc>
        <w:tc>
          <w:tcPr/>
          <w:p>
            <w:pPr>
              <w:pStyle w:val="Compact"/>
              <w:jc w:val="left"/>
            </w:pPr>
            <w:r>
              <w:t xml:space="preserve">Tipik kurgu</w:t>
            </w:r>
          </w:p>
        </w:tc>
      </w:tr>
      <w:tr>
        <w:tc>
          <w:tcPr/>
          <w:p>
            <w:pPr>
              <w:pStyle w:val="Compact"/>
              <w:jc w:val="left"/>
            </w:pPr>
            <w:r>
              <w:t xml:space="preserve">Gümrük kıymeti – dahil/hariç kalem listesi</w:t>
            </w:r>
          </w:p>
        </w:tc>
        <w:tc>
          <w:tcPr/>
          <w:p>
            <w:pPr>
              <w:pStyle w:val="Compact"/>
              <w:jc w:val="left"/>
            </w:pPr>
            <w:r>
              <w:t xml:space="preserve">~%45</w:t>
            </w:r>
          </w:p>
        </w:tc>
        <w:tc>
          <w:tcPr/>
          <w:p>
            <w:pPr>
              <w:pStyle w:val="Compact"/>
              <w:jc w:val="left"/>
            </w:pPr>
            <w:r>
              <w:t xml:space="preserve">5–15 kalem; EXW/FCA/CFR/CIF teslim şekli; kur parantezi</w:t>
            </w:r>
          </w:p>
        </w:tc>
      </w:tr>
      <w:tr>
        <w:tc>
          <w:tcPr/>
          <w:p>
            <w:pPr>
              <w:pStyle w:val="Compact"/>
              <w:jc w:val="left"/>
            </w:pPr>
            <w:r>
              <w:t xml:space="preserve">Kıymet yöntemleri ve özel durumlar</w:t>
            </w:r>
          </w:p>
        </w:tc>
        <w:tc>
          <w:tcPr/>
          <w:p>
            <w:pPr>
              <w:pStyle w:val="Compact"/>
              <w:jc w:val="left"/>
            </w:pPr>
            <w:r>
              <w:t xml:space="preserve">~%15</w:t>
            </w:r>
          </w:p>
        </w:tc>
        <w:tc>
          <w:tcPr/>
          <w:p>
            <w:pPr>
              <w:pStyle w:val="Compact"/>
              <w:jc w:val="left"/>
            </w:pPr>
            <w:r>
              <w:t xml:space="preserve">Aynı eşya + miktar düzeltmesi (fiyat listesi), hesaplanmış kıymet, benzer eşya (aynı ülke), kullanılmış taşıt (yıllık indirim + tavan), serbest bölgeden ithalat, kendi kendini taşıyan gemi, taşıyıcı ortamdaki yazılım, gözetim değeri</w:t>
            </w:r>
          </w:p>
        </w:tc>
      </w:tr>
      <w:tr>
        <w:tc>
          <w:tcPr/>
          <w:p>
            <w:pPr>
              <w:pStyle w:val="Compact"/>
              <w:jc w:val="left"/>
            </w:pPr>
            <w:r>
              <w:t xml:space="preserve">Vergi zinciri</w:t>
            </w:r>
          </w:p>
        </w:tc>
        <w:tc>
          <w:tcPr/>
          <w:p>
            <w:pPr>
              <w:pStyle w:val="Compact"/>
              <w:jc w:val="left"/>
            </w:pPr>
            <w:r>
              <w:t xml:space="preserve">~%20</w:t>
            </w:r>
          </w:p>
        </w:tc>
        <w:tc>
          <w:tcPr/>
          <w:p>
            <w:pPr>
              <w:pStyle w:val="Compact"/>
              <w:jc w:val="left"/>
            </w:pPr>
            <w:r>
              <w:t xml:space="preserve">GV → İGV → (KKDF) → ÖTV matrahı → ÖTV → KDV matrahı → KDV; MIN/MAX (kalem ve adet bazında); ÖTV (I) ithalatta alınmaz; ÖTV (II) distribütör ithalatında doğmaz; ÖTV (III) sigara (perakende fiyat + asgari maktu + maktu), alkol (litre × derece × asgari maktu)</w:t>
            </w:r>
          </w:p>
        </w:tc>
      </w:tr>
      <w:tr>
        <w:tc>
          <w:tcPr/>
          <w:p>
            <w:pPr>
              <w:pStyle w:val="Compact"/>
              <w:jc w:val="left"/>
            </w:pPr>
            <w:r>
              <w:t xml:space="preserve">KDV matrahı (bağlı soru)</w:t>
            </w:r>
          </w:p>
        </w:tc>
        <w:tc>
          <w:tcPr/>
          <w:p>
            <w:pPr>
              <w:pStyle w:val="Compact"/>
              <w:jc w:val="left"/>
            </w:pPr>
            <w:r>
              <w:t xml:space="preserve">~%10</w:t>
            </w:r>
          </w:p>
        </w:tc>
        <w:tc>
          <w:tcPr/>
          <w:p>
            <w:pPr>
              <w:pStyle w:val="Compact"/>
              <w:jc w:val="left"/>
            </w:pPr>
            <w:r>
              <w:t xml:space="preserve">Kıymete girmeyen ama</w:t>
            </w:r>
            <w:r>
              <w:t xml:space="preserve"> </w:t>
            </w:r>
            <w:r>
              <w:rPr>
                <w:bCs/>
                <w:b/>
              </w:rPr>
              <w:t xml:space="preserve">tescile kadar</w:t>
            </w:r>
            <w:r>
              <w:t xml:space="preserve"> </w:t>
            </w:r>
            <w:r>
              <w:t xml:space="preserve">yapılan giderler: Türkiye limanı demurajı, ardiye, tahliye, memur yolluğu, fazla mesai, iç navlun (tescil öncesi ise)</w:t>
            </w:r>
          </w:p>
        </w:tc>
      </w:tr>
      <w:tr>
        <w:tc>
          <w:tcPr/>
          <w:p>
            <w:pPr>
              <w:pStyle w:val="Compact"/>
              <w:jc w:val="left"/>
            </w:pPr>
            <w:r>
              <w:t xml:space="preserve">Ceza / uzlaşma / zamanaşımı</w:t>
            </w:r>
          </w:p>
        </w:tc>
        <w:tc>
          <w:tcPr/>
          <w:p>
            <w:pPr>
              <w:pStyle w:val="Compact"/>
              <w:jc w:val="left"/>
            </w:pPr>
            <w:r>
              <w:t xml:space="preserve">~%12</w:t>
            </w:r>
          </w:p>
        </w:tc>
        <w:tc>
          <w:tcPr/>
          <w:p>
            <w:pPr>
              <w:pStyle w:val="Compact"/>
              <w:jc w:val="left"/>
            </w:pPr>
            <w:r>
              <w:t xml:space="preserve">GK 234/1 (3 kat; EMY ve KDV ceza matrahında), kendiliğinden bildirim (234/3; 2022/95’te 1/10), peşin ödeme indirimi ¼ (uzlaşmada uygulanmaz), kültür fonu uzlaşma dışı, 3 yıllık tebliğ süresi</w:t>
            </w:r>
          </w:p>
        </w:tc>
      </w:tr>
      <w:tr>
        <w:tc>
          <w:tcPr/>
          <w:p>
            <w:pPr>
              <w:pStyle w:val="Compact"/>
              <w:jc w:val="left"/>
            </w:pPr>
            <w:r>
              <w:t xml:space="preserve">Diğer</w:t>
            </w:r>
          </w:p>
        </w:tc>
        <w:tc>
          <w:tcPr/>
          <w:p>
            <w:pPr>
              <w:pStyle w:val="Compact"/>
              <w:jc w:val="left"/>
            </w:pPr>
            <w:r>
              <w:t xml:space="preserve">~%5</w:t>
            </w:r>
          </w:p>
        </w:tc>
        <w:tc>
          <w:tcPr/>
          <w:p>
            <w:pPr>
              <w:pStyle w:val="Compact"/>
              <w:jc w:val="left"/>
            </w:pPr>
            <w:r>
              <w:t xml:space="preserve">Antrepo götürü teminatı (alan m² / tank m³ kademesi), ihracat bedeli süresi (vade + 90), geçici ithalat faizi</w:t>
            </w:r>
          </w:p>
        </w:tc>
      </w:tr>
    </w:tbl>
    <w:p>
      <w:pPr>
        <w:pStyle w:val="BodyText"/>
      </w:pPr>
      <w:r>
        <w:rPr>
          <w:bCs/>
          <w:b/>
        </w:rPr>
        <w:t xml:space="preserve">Kıymet kalem kataloğu (sınavlarda kullanılmış kalemlerin tamamı):</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KIYMETE GİRER</w:t>
            </w:r>
          </w:p>
        </w:tc>
        <w:tc>
          <w:tcPr/>
          <w:p>
            <w:pPr>
              <w:pStyle w:val="Compact"/>
              <w:jc w:val="left"/>
            </w:pPr>
            <w:r>
              <w:t xml:space="preserve">KIYMETE GİRMEZ</w:t>
            </w:r>
          </w:p>
        </w:tc>
      </w:tr>
      <w:tr>
        <w:tc>
          <w:tcPr/>
          <w:p>
            <w:pPr>
              <w:pStyle w:val="Compact"/>
              <w:jc w:val="left"/>
            </w:pPr>
            <w:r>
              <w:t xml:space="preserve">Fiilen ödenen fiyat, avans, satıcının üçüncü kişiye borcunun alıcıca ödenmesi (dolaylı ödeme)</w:t>
            </w:r>
          </w:p>
        </w:tc>
        <w:tc>
          <w:tcPr/>
          <w:p>
            <w:pPr>
              <w:pStyle w:val="Compact"/>
              <w:jc w:val="left"/>
            </w:pPr>
            <w:r>
              <w:t xml:space="preserve">Alım (satın alma) komisyonu, alıcıyı temsil eden komisyoncu</w:t>
            </w:r>
          </w:p>
        </w:tc>
      </w:tr>
      <w:tr>
        <w:tc>
          <w:tcPr/>
          <w:p>
            <w:pPr>
              <w:pStyle w:val="Compact"/>
              <w:jc w:val="left"/>
            </w:pPr>
            <w:r>
              <w:t xml:space="preserve">Satış komisyonu / satıcı adına çalışan komisyoncu, simsarlık</w:t>
            </w:r>
          </w:p>
        </w:tc>
        <w:tc>
          <w:tcPr/>
          <w:p>
            <w:pPr>
              <w:pStyle w:val="Compact"/>
              <w:jc w:val="left"/>
            </w:pPr>
            <w:r>
              <w:t xml:space="preserve">Giriş yerinden sonraki taşıma, boşaltma, Türkiye limanı demurajı</w:t>
            </w:r>
          </w:p>
        </w:tc>
      </w:tr>
      <w:tr>
        <w:tc>
          <w:tcPr/>
          <w:p>
            <w:pPr>
              <w:pStyle w:val="Compact"/>
              <w:jc w:val="left"/>
            </w:pPr>
            <w:r>
              <w:t xml:space="preserve">Ambalaj ve kap bedeli, ambalajlama işçiliği, eşyayla birlikte işlem gören koruyucu ambalaj</w:t>
            </w:r>
          </w:p>
        </w:tc>
        <w:tc>
          <w:tcPr/>
          <w:p>
            <w:pPr>
              <w:pStyle w:val="Compact"/>
              <w:jc w:val="left"/>
            </w:pPr>
            <w:r>
              <w:t xml:space="preserve">İthalattan sonra montaj, kurulum, bakım, teknik yardım, eğitim (ayrıca gösterilmişse)</w:t>
            </w:r>
          </w:p>
        </w:tc>
      </w:tr>
      <w:tr>
        <w:tc>
          <w:tcPr/>
          <w:p>
            <w:pPr>
              <w:pStyle w:val="Compact"/>
              <w:jc w:val="left"/>
            </w:pPr>
            <w:r>
              <w:t xml:space="preserve">Bedelsiz sağlanan malzeme, parça, aksam, kılıf, alet, kalıp (assist) +</w:t>
            </w:r>
            <w:r>
              <w:t xml:space="preserve"> </w:t>
            </w:r>
            <w:r>
              <w:rPr>
                <w:bCs/>
                <w:b/>
              </w:rPr>
              <w:t xml:space="preserve">assistin satıcıya taşınma bedeli</w:t>
            </w:r>
          </w:p>
        </w:tc>
        <w:tc>
          <w:tcPr/>
          <w:p>
            <w:pPr>
              <w:pStyle w:val="Compact"/>
              <w:jc w:val="left"/>
            </w:pPr>
            <w:r>
              <w:t xml:space="preserve">Türkiye’de yapılan mühendislik, tasarım, plan, yazılım</w:t>
            </w:r>
          </w:p>
        </w:tc>
      </w:tr>
      <w:tr>
        <w:tc>
          <w:tcPr/>
          <w:p>
            <w:pPr>
              <w:pStyle w:val="Compact"/>
              <w:jc w:val="left"/>
            </w:pPr>
            <w:r>
              <w:t xml:space="preserve">Türkiye dışında yapılan mühendislik/tasarım/plan (assist)</w:t>
            </w:r>
          </w:p>
        </w:tc>
        <w:tc>
          <w:tcPr/>
          <w:p>
            <w:pPr>
              <w:pStyle w:val="Compact"/>
              <w:jc w:val="left"/>
            </w:pPr>
            <w:r>
              <w:t xml:space="preserve">Araştırma ve ilk tasarım taslakları (GY)</w:t>
            </w:r>
          </w:p>
        </w:tc>
      </w:tr>
      <w:tr>
        <w:tc>
          <w:tcPr/>
          <w:p>
            <w:pPr>
              <w:pStyle w:val="Compact"/>
              <w:jc w:val="left"/>
            </w:pPr>
            <w:r>
              <w:t xml:space="preserve">Satış şartı royalti/lisans (marka, patent, know-how);</w:t>
            </w:r>
            <w:r>
              <w:t xml:space="preserve"> </w:t>
            </w:r>
            <w:r>
              <w:rPr>
                <w:bCs/>
                <w:b/>
              </w:rPr>
              <w:t xml:space="preserve">stopajlı ödemede brüt tutar</w:t>
            </w:r>
          </w:p>
        </w:tc>
        <w:tc>
          <w:tcPr/>
          <w:p>
            <w:pPr>
              <w:pStyle w:val="Compact"/>
              <w:jc w:val="left"/>
            </w:pPr>
            <w:r>
              <w:rPr>
                <w:bCs/>
                <w:b/>
              </w:rPr>
              <w:t xml:space="preserve">Türkiye’de çoğaltma hakkı</w:t>
            </w:r>
            <w:r>
              <w:t xml:space="preserve"> </w:t>
            </w:r>
            <w:r>
              <w:t xml:space="preserve">ödemesi (her durumda)</w:t>
            </w:r>
          </w:p>
        </w:tc>
      </w:tr>
      <w:tr>
        <w:tc>
          <w:tcPr/>
          <w:p>
            <w:pPr>
              <w:pStyle w:val="Compact"/>
              <w:jc w:val="left"/>
            </w:pPr>
            <w:r>
              <w:t xml:space="preserve">Dağıtım/tekrar satış hakkı ödemesi</w:t>
            </w:r>
            <w:r>
              <w:t xml:space="preserve"> </w:t>
            </w:r>
            <w:r>
              <w:rPr>
                <w:bCs/>
                <w:b/>
              </w:rPr>
              <w:t xml:space="preserve">yalnız satış şartıysa</w:t>
            </w:r>
          </w:p>
        </w:tc>
        <w:tc>
          <w:tcPr/>
          <w:p>
            <w:pPr>
              <w:pStyle w:val="Compact"/>
              <w:jc w:val="left"/>
            </w:pPr>
            <w:r>
              <w:t xml:space="preserve">Satış şartı olmayan dağıtım/yeniden satış hakkı, bağımsız süreç lisansı, Türkiye’deki üretim için ödenen royalti</w:t>
            </w:r>
          </w:p>
        </w:tc>
      </w:tr>
      <w:tr>
        <w:tc>
          <w:tcPr/>
          <w:p>
            <w:pPr>
              <w:pStyle w:val="Compact"/>
              <w:jc w:val="left"/>
            </w:pPr>
            <w:r>
              <w:t xml:space="preserve">Yeniden satıştan satıcıya dönen hasıla payı</w:t>
            </w:r>
          </w:p>
        </w:tc>
        <w:tc>
          <w:tcPr/>
          <w:p>
            <w:pPr>
              <w:pStyle w:val="Compact"/>
              <w:jc w:val="left"/>
            </w:pPr>
            <w:r>
              <w:t xml:space="preserve">Alıcının kendi hesabına pazarlama, reklam, kontrol, test, ekspertiz</w:t>
            </w:r>
          </w:p>
        </w:tc>
      </w:tr>
      <w:tr>
        <w:tc>
          <w:tcPr/>
          <w:p>
            <w:pPr>
              <w:pStyle w:val="Compact"/>
              <w:jc w:val="left"/>
            </w:pPr>
            <w:r>
              <w:t xml:space="preserve">Giriş yerine kadar navlun, sigorta, yükleme-elleçleme; EXW’de fabrika → liman;</w:t>
            </w:r>
            <w:r>
              <w:t xml:space="preserve"> </w:t>
            </w:r>
            <w:r>
              <w:rPr>
                <w:bCs/>
                <w:b/>
              </w:rPr>
              <w:t xml:space="preserve">ihraç limanı demurajı</w:t>
            </w:r>
          </w:p>
        </w:tc>
        <w:tc>
          <w:tcPr/>
          <w:p>
            <w:pPr>
              <w:pStyle w:val="Compact"/>
              <w:jc w:val="left"/>
            </w:pPr>
            <w:r>
              <w:t xml:space="preserve">Yazılı anlaşma, ayrıca gösterilme ve piyasa oranı şartıyla finansman faizi; BSMV</w:t>
            </w:r>
          </w:p>
        </w:tc>
      </w:tr>
      <w:tr>
        <w:tc>
          <w:tcPr/>
          <w:p>
            <w:pPr>
              <w:pStyle w:val="Compact"/>
              <w:jc w:val="left"/>
            </w:pPr>
            <w:r>
              <w:t xml:space="preserve">Satış şartı eğitim (teslimden önce), satıcı garantisi</w:t>
            </w:r>
          </w:p>
        </w:tc>
        <w:tc>
          <w:tcPr/>
          <w:p>
            <w:pPr>
              <w:pStyle w:val="Compact"/>
              <w:jc w:val="left"/>
            </w:pPr>
            <w:r>
              <w:t xml:space="preserve">Banka transfer masrafı, akreditif teyit komisyonu</w:t>
            </w:r>
          </w:p>
        </w:tc>
      </w:tr>
      <w:tr>
        <w:tc>
          <w:tcPr/>
          <w:p>
            <w:pPr>
              <w:pStyle w:val="Compact"/>
              <w:jc w:val="left"/>
            </w:pPr>
            <w:r>
              <w:t xml:space="preserve">Satış şartı olarak alıcının ödediği ihracat kotası ücreti</w:t>
            </w:r>
          </w:p>
        </w:tc>
        <w:tc>
          <w:tcPr/>
          <w:p>
            <w:pPr>
              <w:pStyle w:val="Compact"/>
              <w:jc w:val="left"/>
            </w:pPr>
            <w:r>
              <w:t xml:space="preserve">Temettü, huzur hakkı, başka eşyaya ait transferler</w:t>
            </w:r>
          </w:p>
        </w:tc>
      </w:tr>
      <w:tr>
        <w:tc>
          <w:tcPr/>
          <w:p>
            <w:pPr>
              <w:pStyle w:val="Compact"/>
              <w:jc w:val="left"/>
            </w:pPr>
            <w:r>
              <w:t xml:space="preserve">Kendi kendini taşıyan eşyada yakıt, personel, liman giderleri</w:t>
            </w:r>
          </w:p>
        </w:tc>
        <w:tc>
          <w:tcPr/>
          <w:p>
            <w:pPr>
              <w:pStyle w:val="Compact"/>
              <w:jc w:val="left"/>
            </w:pPr>
            <w:r>
              <w:t xml:space="preserve">Ardiye, tahlil, müşavirlik, fazla mesai, memur yolluğu</w:t>
            </w:r>
            <w:r>
              <w:t xml:space="preserve"> </w:t>
            </w:r>
            <w:r>
              <w:rPr>
                <w:iCs/>
                <w:i/>
              </w:rPr>
              <w:t xml:space="preserve">(bunlar tescil öncesindeyse KDV matrahına girer)</w:t>
            </w:r>
          </w:p>
        </w:tc>
      </w:tr>
      <w:tr>
        <w:tc>
          <w:tcPr/>
          <w:p>
            <w:pPr>
              <w:pStyle w:val="Compact"/>
            </w:pPr>
          </w:p>
        </w:tc>
        <w:tc>
          <w:tcPr/>
          <w:p>
            <w:pPr>
              <w:pStyle w:val="Compact"/>
              <w:jc w:val="left"/>
            </w:pPr>
            <w:r>
              <w:t xml:space="preserve">İade edilen ihraç ülkesi dahili vergisi, KDV (fiyattan düşülür)</w:t>
            </w:r>
          </w:p>
        </w:tc>
      </w:tr>
      <w:tr>
        <w:tc>
          <w:tcPr/>
          <w:p>
            <w:pPr>
              <w:pStyle w:val="Compact"/>
            </w:pPr>
          </w:p>
        </w:tc>
        <w:tc>
          <w:tcPr/>
          <w:p>
            <w:pPr>
              <w:pStyle w:val="Compact"/>
              <w:jc w:val="left"/>
            </w:pPr>
            <w:r>
              <w:t xml:space="preserve">Önceki işlemlerden kazanılmış özel indirim</w:t>
            </w:r>
            <w:r>
              <w:t xml:space="preserve"> </w:t>
            </w:r>
            <w:r>
              <w:rPr>
                <w:iCs/>
                <w:i/>
              </w:rPr>
              <w:t xml:space="preserve">(bu eşyanın fiyatından düşülmez)</w:t>
            </w:r>
          </w:p>
        </w:tc>
      </w:tr>
      <w:tr>
        <w:tc>
          <w:tcPr/>
          <w:p>
            <w:pPr>
              <w:pStyle w:val="Compact"/>
            </w:pPr>
          </w:p>
        </w:tc>
        <w:tc>
          <w:tcPr/>
          <w:p>
            <w:pPr>
              <w:pStyle w:val="Compact"/>
              <w:jc w:val="left"/>
            </w:pPr>
            <w:r>
              <w:t xml:space="preserve">Serbest bölgede ayrıca gösterilen depolama gideri</w:t>
            </w:r>
          </w:p>
        </w:tc>
      </w:tr>
    </w:tbl>
    <w:p>
      <w:pPr>
        <w:pStyle w:val="BlockText"/>
      </w:pPr>
      <w:r>
        <w:rPr>
          <w:bCs/>
          <w:b/>
        </w:rPr>
        <w:t xml:space="preserve">Yazarın ana çizgileri:</w:t>
      </w:r>
      <w:r>
        <w:t xml:space="preserve"> </w:t>
      </w:r>
      <w:r>
        <w:t xml:space="preserve">Gümrük kıymetinde kesim çizgisi</w:t>
      </w:r>
      <w:r>
        <w:t xml:space="preserve"> </w:t>
      </w:r>
      <w:r>
        <w:rPr>
          <w:bCs/>
          <w:b/>
        </w:rPr>
        <w:t xml:space="preserve">giriş yeri</w:t>
      </w:r>
      <w:r>
        <w:t xml:space="preserve">, KDV matrahında kesim çizgisi</w:t>
      </w:r>
      <w:r>
        <w:t xml:space="preserve"> </w:t>
      </w:r>
      <w:r>
        <w:rPr>
          <w:bCs/>
          <w:b/>
        </w:rPr>
        <w:t xml:space="preserve">beyannamenin tescil tarihi</w:t>
      </w:r>
      <w:r>
        <w:t xml:space="preserve">dir. Kur</w:t>
      </w:r>
      <w:r>
        <w:t xml:space="preserve"> </w:t>
      </w:r>
      <w:r>
        <w:rPr>
          <w:bCs/>
          <w:b/>
        </w:rPr>
        <w:t xml:space="preserve">tescil tarihi</w:t>
      </w:r>
      <w:r>
        <w:t xml:space="preserve"> </w:t>
      </w:r>
      <w:r>
        <w:t xml:space="preserve">kurudur; ödeme tarihi kuru tuzaktır.</w:t>
      </w:r>
    </w:p>
    <w:p>
      <w:r>
        <w:pict>
          <v:rect style="width:0;height:1.5pt" o:hralign="center" o:hrstd="t" o:hr="t"/>
        </w:pict>
      </w:r>
    </w:p>
    <w:bookmarkEnd w:id="50"/>
    <w:bookmarkEnd w:id="51"/>
    <w:bookmarkStart w:id="52" w:name="trendler-2021-2025"/>
    <w:p>
      <w:pPr>
        <w:pStyle w:val="Heading2"/>
      </w:pPr>
      <w:r>
        <w:t xml:space="preserve">5. TRENDLER (2021 → 2025)</w:t>
      </w:r>
    </w:p>
    <w:tbl>
      <w:tblPr>
        <w:tblStyle w:val="Table"/>
        <w:tblW w:type="pct" w:w="5000"/>
        <w:tblLook w:firstRow="1" w:lastRow="0" w:firstColumn="0" w:lastColumn="0" w:noHBand="0" w:noVBand="0" w:val="0020"/>
        <w:jc w:val="start"/>
      </w:tblPr>
      <w:tblGrid>
        <w:gridCol w:w="2112"/>
        <w:gridCol w:w="3036"/>
        <w:gridCol w:w="2772"/>
      </w:tblGrid>
      <w:tr>
        <w:trPr>
          <w:tblHeader w:val="true"/>
        </w:trPr>
        <w:tc>
          <w:tcPr/>
          <w:p>
            <w:pPr>
              <w:pStyle w:val="Compact"/>
              <w:jc w:val="left"/>
            </w:pPr>
            <w:r>
              <w:t xml:space="preserve">Trend</w:t>
            </w:r>
          </w:p>
        </w:tc>
        <w:tc>
          <w:tcPr/>
          <w:p>
            <w:pPr>
              <w:pStyle w:val="Compact"/>
              <w:jc w:val="left"/>
            </w:pPr>
            <w:r>
              <w:t xml:space="preserve">Kanıt</w:t>
            </w:r>
          </w:p>
        </w:tc>
        <w:tc>
          <w:tcPr/>
          <w:p>
            <w:pPr>
              <w:pStyle w:val="Compact"/>
              <w:jc w:val="left"/>
            </w:pPr>
            <w:r>
              <w:t xml:space="preserve">Soru üretimine etkisi</w:t>
            </w:r>
          </w:p>
        </w:tc>
      </w:tr>
      <w:tr>
        <w:tc>
          <w:tcPr/>
          <w:p>
            <w:pPr>
              <w:pStyle w:val="Compact"/>
              <w:jc w:val="left"/>
            </w:pPr>
            <w:r>
              <w:t xml:space="preserve">Olumsuz kök azalıyor, öncüllü/boşluk/eşleştirme artıyor</w:t>
            </w:r>
          </w:p>
        </w:tc>
        <w:tc>
          <w:tcPr/>
          <w:p>
            <w:pPr>
              <w:pStyle w:val="Compact"/>
              <w:jc w:val="left"/>
            </w:pPr>
            <w:r>
              <w:t xml:space="preserve">Olumsuz %55 → %30; öncüllü 4 → 17; boşluk 0 → 5; eşleştirme 1 → 5</w:t>
            </w:r>
          </w:p>
        </w:tc>
        <w:tc>
          <w:tcPr/>
          <w:p>
            <w:pPr>
              <w:pStyle w:val="Compact"/>
              <w:jc w:val="left"/>
            </w:pPr>
            <w:r>
              <w:t xml:space="preserve">Bankada öncüllü ~%15–18, boşluk + eşleştirme ~%8–10 olmalı</w:t>
            </w:r>
          </w:p>
        </w:tc>
      </w:tr>
      <w:tr>
        <w:tc>
          <w:tcPr/>
          <w:p>
            <w:pPr>
              <w:pStyle w:val="Compact"/>
              <w:jc w:val="left"/>
            </w:pPr>
            <w:r>
              <w:t xml:space="preserve">Tarife büyüdü</w:t>
            </w:r>
          </w:p>
        </w:tc>
        <w:tc>
          <w:tcPr/>
          <w:p>
            <w:pPr>
              <w:pStyle w:val="Compact"/>
              <w:jc w:val="left"/>
            </w:pPr>
            <w:r>
              <w:t xml:space="preserve">10 → 17–18</w:t>
            </w:r>
          </w:p>
        </w:tc>
        <w:tc>
          <w:tcPr/>
          <w:p>
            <w:pPr>
              <w:pStyle w:val="Compact"/>
              <w:jc w:val="left"/>
            </w:pPr>
            <w:r>
              <w:t xml:space="preserve">Tarife bankası 1/5 ağırlıkta; not, hariç ve HS değişikliği odaklı</w:t>
            </w:r>
          </w:p>
        </w:tc>
      </w:tr>
      <w:tr>
        <w:tc>
          <w:tcPr/>
          <w:p>
            <w:pPr>
              <w:pStyle w:val="Compact"/>
              <w:jc w:val="left"/>
            </w:pPr>
            <w:r>
              <w:t xml:space="preserve">Yönetmelik/tebliğ ağırlığı</w:t>
            </w:r>
          </w:p>
        </w:tc>
        <w:tc>
          <w:tcPr/>
          <w:p>
            <w:pPr>
              <w:pStyle w:val="Compact"/>
              <w:jc w:val="left"/>
            </w:pPr>
            <w:r>
              <w:t xml:space="preserve">2025’te GK’ya doğrudan atıflı kök sadece 6</w:t>
            </w:r>
          </w:p>
        </w:tc>
        <w:tc>
          <w:tcPr/>
          <w:p>
            <w:pPr>
              <w:pStyle w:val="Compact"/>
              <w:jc w:val="left"/>
            </w:pPr>
            <w:r>
              <w:t xml:space="preserve">GM sorularının çoğu GY ve tebliğlerden</w:t>
            </w:r>
          </w:p>
        </w:tc>
      </w:tr>
      <w:tr>
        <w:tc>
          <w:tcPr/>
          <w:p>
            <w:pPr>
              <w:pStyle w:val="Compact"/>
              <w:jc w:val="left"/>
            </w:pPr>
            <w:r>
              <w:t xml:space="preserve">Hesap blokları ortak veriyle</w:t>
            </w:r>
          </w:p>
        </w:tc>
        <w:tc>
          <w:tcPr/>
          <w:p>
            <w:pPr>
              <w:pStyle w:val="Compact"/>
              <w:jc w:val="left"/>
            </w:pPr>
            <w:r>
              <w:t xml:space="preserve">Her yıl en az bir bağlı soru</w:t>
            </w:r>
          </w:p>
        </w:tc>
        <w:tc>
          <w:tcPr/>
          <w:p>
            <w:pPr>
              <w:pStyle w:val="Compact"/>
              <w:jc w:val="left"/>
            </w:pPr>
            <w:r>
              <w:t xml:space="preserve">Bağlı soru setleri (kıymet → KDV matrahı)</w:t>
            </w:r>
          </w:p>
        </w:tc>
      </w:tr>
      <w:tr>
        <w:tc>
          <w:tcPr/>
          <w:p>
            <w:pPr>
              <w:pStyle w:val="Compact"/>
              <w:jc w:val="left"/>
            </w:pPr>
            <w:r>
              <w:t xml:space="preserve">Güncellik</w:t>
            </w:r>
          </w:p>
        </w:tc>
        <w:tc>
          <w:tcPr/>
          <w:p>
            <w:pPr>
              <w:pStyle w:val="Compact"/>
              <w:jc w:val="left"/>
            </w:pPr>
            <w:r>
              <w:t xml:space="preserve">Her yıl 8–12 soru</w:t>
            </w:r>
          </w:p>
        </w:tc>
        <w:tc>
          <w:tcPr/>
          <w:p>
            <w:pPr>
              <w:pStyle w:val="Compact"/>
              <w:jc w:val="left"/>
            </w:pPr>
            <w:r>
              <w:t xml:space="preserve">Yıllık güncellenen rakamlar ve yeni düzenlemeler için ayrı</w:t>
            </w:r>
            <w:r>
              <w:t xml:space="preserve"> </w:t>
            </w:r>
            <w:r>
              <w:t xml:space="preserve">“</w:t>
            </w:r>
            <w:r>
              <w:t xml:space="preserve">güncel</w:t>
            </w:r>
            <w:r>
              <w:t xml:space="preserve">”</w:t>
            </w:r>
            <w:r>
              <w:t xml:space="preserve"> </w:t>
            </w:r>
            <w:r>
              <w:t xml:space="preserve">modülü</w:t>
            </w:r>
          </w:p>
        </w:tc>
      </w:tr>
      <w:tr>
        <w:tc>
          <w:tcPr/>
          <w:p>
            <w:pPr>
              <w:pStyle w:val="Compact"/>
              <w:jc w:val="left"/>
            </w:pPr>
            <w:r>
              <w:t xml:space="preserve">Kenar konular</w:t>
            </w:r>
          </w:p>
        </w:tc>
        <w:tc>
          <w:tcPr/>
          <w:p>
            <w:pPr>
              <w:pStyle w:val="Compact"/>
              <w:jc w:val="left"/>
            </w:pPr>
            <w:r>
              <w:t xml:space="preserve">BS kodu, YGM kodları, ücret tarifesi, GSM</w:t>
            </w:r>
          </w:p>
        </w:tc>
        <w:tc>
          <w:tcPr/>
          <w:p>
            <w:pPr>
              <w:pStyle w:val="Compact"/>
              <w:jc w:val="left"/>
            </w:pPr>
            <w:r>
              <w:t xml:space="preserve">Ana rejimlerin dışındaki küçük tebliğler atlanmamalı</w:t>
            </w:r>
          </w:p>
        </w:tc>
      </w:tr>
      <w:tr>
        <w:tc>
          <w:tcPr/>
          <w:p>
            <w:pPr>
              <w:pStyle w:val="Compact"/>
              <w:jc w:val="left"/>
            </w:pPr>
            <w:r>
              <w:t xml:space="preserve">Uygulamaya dönüklük arttı</w:t>
            </w:r>
          </w:p>
        </w:tc>
        <w:tc>
          <w:tcPr/>
          <w:p>
            <w:pPr>
              <w:pStyle w:val="Compact"/>
              <w:jc w:val="left"/>
            </w:pPr>
            <w:r>
              <w:t xml:space="preserve">Analizlerin tahmini: uygulama/pratik payı 2021 ~%35, 2022 ~%33, 2023 ~%40, 2025 ~%60</w:t>
            </w:r>
          </w:p>
        </w:tc>
        <w:tc>
          <w:tcPr/>
          <w:p>
            <w:pPr>
              <w:pStyle w:val="Compact"/>
              <w:jc w:val="left"/>
            </w:pPr>
            <w:r>
              <w:t xml:space="preserve">Vaka ve mizansen payı artırılmalı</w:t>
            </w:r>
          </w:p>
        </w:tc>
      </w:tr>
    </w:tbl>
    <w:p>
      <w:r>
        <w:pict>
          <v:rect style="width:0;height:1.5pt" o:hralign="center" o:hrstd="t" o:hr="t"/>
        </w:pict>
      </w:r>
    </w:p>
    <w:bookmarkEnd w:id="52"/>
    <w:bookmarkStart w:id="53" w:name="sinavi-için-çikarimlar"/>
    <w:p>
      <w:pPr>
        <w:pStyle w:val="Heading2"/>
      </w:pPr>
      <w:r>
        <w:t xml:space="preserve">6. 2026–2027 SINAVI İÇİN ÇIKARIMLAR</w:t>
      </w:r>
    </w:p>
    <w:p>
      <w:pPr>
        <w:pStyle w:val="FirstParagraph"/>
      </w:pPr>
      <w:r>
        <w:rPr>
          <w:bCs/>
          <w:b/>
        </w:rPr>
        <w:t xml:space="preserve">Neredeyse kesin gelecekler (5/5 yıl sorulan çekirdek):</w:t>
      </w:r>
      <w:r>
        <w:t xml:space="preserve"> </w:t>
      </w:r>
      <w:r>
        <w:t xml:space="preserve">kıymet (sözel + hesap; dahil/hariç eleği + KDV matrahı bağlı sorusu), tarife bloğu (84-85 + gıda fasılları + fasıl notları + GYKK 3(b)), tercihli menşe belgeleri ve taraf ülkeler, transit, antrepo/geçici depolama, 2009/15481 muafiyetleri, KDV/ÖTV listeleri, kambiyo, 5607, menşe şahadetnamesi.</w:t>
      </w:r>
    </w:p>
    <w:p>
      <w:pPr>
        <w:pStyle w:val="BodyText"/>
      </w:pPr>
      <w:r>
        <w:rPr>
          <w:bCs/>
          <w:b/>
        </w:rPr>
        <w:t xml:space="preserve">Güncellik takibi yapılması gerekenler</w:t>
      </w:r>
      <w:r>
        <w:t xml:space="preserve"> </w:t>
      </w:r>
      <w:r>
        <w:t xml:space="preserve">(Bakanlığın</w:t>
      </w:r>
      <w:r>
        <w:t xml:space="preserve"> </w:t>
      </w:r>
      <w:r>
        <w:t xml:space="preserve">“</w:t>
      </w:r>
      <w:r>
        <w:t xml:space="preserve">güncel değişiklik</w:t>
      </w:r>
      <w:r>
        <w:t xml:space="preserve">”</w:t>
      </w:r>
      <w:r>
        <w:t xml:space="preserve"> </w:t>
      </w:r>
      <w:r>
        <w:t xml:space="preserve">refleksine göre; yürürlük ve içerik mutlaka Resmî Gazete’den teyit edilmeli):</w:t>
      </w:r>
    </w:p>
    <w:p>
      <w:pPr>
        <w:numPr>
          <w:ilvl w:val="0"/>
          <w:numId w:val="1018"/>
        </w:numPr>
        <w:pStyle w:val="Compact"/>
      </w:pPr>
      <w:r>
        <w:t xml:space="preserve">O yılın</w:t>
      </w:r>
      <w:r>
        <w:t xml:space="preserve"> </w:t>
      </w:r>
      <w:r>
        <w:rPr>
          <w:bCs/>
          <w:b/>
        </w:rPr>
        <w:t xml:space="preserve">Gümrük Müşavirliği Asgari Ücret Tarifesi</w:t>
      </w:r>
      <w:r>
        <w:t xml:space="preserve"> </w:t>
      </w:r>
      <w:r>
        <w:t xml:space="preserve">(2022 ve 2024’te rakam soruldu)</w:t>
      </w:r>
    </w:p>
    <w:p>
      <w:pPr>
        <w:numPr>
          <w:ilvl w:val="0"/>
          <w:numId w:val="1018"/>
        </w:numPr>
        <w:pStyle w:val="Compact"/>
      </w:pPr>
      <w:r>
        <w:rPr>
          <w:bCs/>
          <w:b/>
        </w:rPr>
        <w:t xml:space="preserve">Yeniden değerleme ile güncellenen tutarlar:</w:t>
      </w:r>
      <w:r>
        <w:t xml:space="preserve"> </w:t>
      </w:r>
      <w:r>
        <w:t xml:space="preserve">götürü teminat tutarları, GK 241 usulsüzlük cezaları, tecilde teminat eşiği, nakit beyan eşiği, posta/hızlı kargo eşikleri</w:t>
      </w:r>
    </w:p>
    <w:p>
      <w:pPr>
        <w:numPr>
          <w:ilvl w:val="0"/>
          <w:numId w:val="1018"/>
        </w:numPr>
        <w:pStyle w:val="Compact"/>
      </w:pPr>
      <w:r>
        <w:t xml:space="preserve">O yılın</w:t>
      </w:r>
      <w:r>
        <w:t xml:space="preserve"> </w:t>
      </w:r>
      <w:r>
        <w:rPr>
          <w:bCs/>
          <w:b/>
        </w:rPr>
        <w:t xml:space="preserve">ithalat ürün güvenliği ve denetimi tebliğleri</w:t>
      </w:r>
      <w:r>
        <w:t xml:space="preserve"> </w:t>
      </w:r>
      <w:r>
        <w:t xml:space="preserve">(numara ↔ denetim kurumu eşleştirmesi 2025’te soruldu)</w:t>
      </w:r>
    </w:p>
    <w:p>
      <w:pPr>
        <w:numPr>
          <w:ilvl w:val="0"/>
          <w:numId w:val="1018"/>
        </w:numPr>
        <w:pStyle w:val="Compact"/>
      </w:pPr>
      <w:r>
        <w:rPr>
          <w:bCs/>
          <w:b/>
        </w:rPr>
        <w:t xml:space="preserve">Yatırımlarda Devlet Yardımları Hakkında Karar (2025/9903)</w:t>
      </w:r>
      <w:r>
        <w:t xml:space="preserve"> </w:t>
      </w:r>
      <w:r>
        <w:t xml:space="preserve">ve uygulama tebliği: yeni teşvik sistemi. Teşvik soruları 2021–2023’te vardı; yeni sistem güçlü aday.</w:t>
      </w:r>
    </w:p>
    <w:p>
      <w:pPr>
        <w:numPr>
          <w:ilvl w:val="0"/>
          <w:numId w:val="1018"/>
        </w:numPr>
        <w:pStyle w:val="Compact"/>
      </w:pPr>
      <w:r>
        <w:rPr>
          <w:bCs/>
          <w:b/>
        </w:rPr>
        <w:t xml:space="preserve">Revize PEM menşe kuralları</w:t>
      </w:r>
      <w:r>
        <w:t xml:space="preserve"> </w:t>
      </w:r>
      <w:r>
        <w:t xml:space="preserve">ve telafi edici vergi uygulamaları (depoda 27.03.2026 tarihli belge var)</w:t>
      </w:r>
    </w:p>
    <w:p>
      <w:pPr>
        <w:numPr>
          <w:ilvl w:val="0"/>
          <w:numId w:val="1018"/>
        </w:numPr>
        <w:pStyle w:val="Compact"/>
      </w:pPr>
      <w:r>
        <w:rPr>
          <w:bCs/>
          <w:b/>
        </w:rPr>
        <w:t xml:space="preserve">2026/1 Yurt içinde düzenlenen uluslararası fuarlara ilişkin ithalat tebliği</w:t>
      </w:r>
      <w:r>
        <w:t xml:space="preserve">,</w:t>
      </w:r>
      <w:r>
        <w:t xml:space="preserve"> </w:t>
      </w:r>
      <w:r>
        <w:rPr>
          <w:bCs/>
          <w:b/>
        </w:rPr>
        <w:t xml:space="preserve">Dış Ticaret Sermaye Şirketi Tebliği (2025/7)</w:t>
      </w:r>
      <w:r>
        <w:t xml:space="preserve">,</w:t>
      </w:r>
      <w:r>
        <w:t xml:space="preserve"> </w:t>
      </w:r>
      <w:r>
        <w:rPr>
          <w:bCs/>
          <w:b/>
        </w:rPr>
        <w:t xml:space="preserve">e-ihracat destekleri</w:t>
      </w:r>
      <w:r>
        <w:t xml:space="preserve">: depodaki güncel metinler</w:t>
      </w:r>
    </w:p>
    <w:p>
      <w:pPr>
        <w:numPr>
          <w:ilvl w:val="0"/>
          <w:numId w:val="1018"/>
        </w:numPr>
        <w:pStyle w:val="Compact"/>
      </w:pPr>
      <w:r>
        <w:rPr>
          <w:bCs/>
          <w:b/>
        </w:rPr>
        <w:t xml:space="preserve">HS 2027 nomenklatür değişiklikleri</w:t>
      </w:r>
      <w:r>
        <w:t xml:space="preserve"> </w:t>
      </w:r>
      <w:r>
        <w:t xml:space="preserve">(1 Ocak 2027’de yürürlüğe girmesi beklenen 8. değişiklik): HS 2022’nin 2022, 2024 ve 2025 sınavlarında sorulmasına bakılırsa 2027 tarife bloğunun güçlü adayı</w:t>
      </w:r>
    </w:p>
    <w:p>
      <w:pPr>
        <w:numPr>
          <w:ilvl w:val="0"/>
          <w:numId w:val="1018"/>
        </w:numPr>
        <w:pStyle w:val="Compact"/>
      </w:pPr>
      <w:r>
        <w:t xml:space="preserve">Yeni yürürlüğe giren veya taraf değiştiren</w:t>
      </w:r>
      <w:r>
        <w:t xml:space="preserve"> </w:t>
      </w:r>
      <w:r>
        <w:rPr>
          <w:bCs/>
          <w:b/>
        </w:rPr>
        <w:t xml:space="preserve">STA/TTA’lar</w:t>
      </w:r>
      <w:r>
        <w:t xml:space="preserve"> </w:t>
      </w:r>
      <w:r>
        <w:t xml:space="preserve">ve TIR/ATA taraf listesi</w:t>
      </w:r>
    </w:p>
    <w:p>
      <w:pPr>
        <w:numPr>
          <w:ilvl w:val="0"/>
          <w:numId w:val="1018"/>
        </w:numPr>
        <w:pStyle w:val="Compact"/>
      </w:pPr>
      <w:r>
        <w:t xml:space="preserve">KDV/ÖTV oran ve liste değişiklikleri</w:t>
      </w:r>
    </w:p>
    <w:p>
      <w:r>
        <w:pict>
          <v:rect style="width:0;height:1.5pt" o:hralign="center" o:hrstd="t" o:hr="t"/>
        </w:pict>
      </w:r>
    </w:p>
    <w:bookmarkEnd w:id="53"/>
    <w:bookmarkStart w:id="54" w:name="Xa2277bedd220d5b1bad9d5ae518a1162aba3a16"/>
    <w:p>
      <w:pPr>
        <w:pStyle w:val="Heading2"/>
      </w:pPr>
      <w:r>
        <w:t xml:space="preserve">7. SORU HAZIRLARKEN KAÇINILACAK HATALAR (Bakanlığın kendi hatalarından ders)</w:t>
      </w:r>
    </w:p>
    <w:tbl>
      <w:tblPr>
        <w:tblStyle w:val="Table"/>
        <w:tblW w:type="pct" w:w="5000"/>
        <w:tblLook w:firstRow="1" w:lastRow="0" w:firstColumn="0" w:lastColumn="0" w:noHBand="0" w:noVBand="0" w:val="0020"/>
        <w:jc w:val="start"/>
      </w:tblPr>
      <w:tblGrid>
        <w:gridCol w:w="880"/>
        <w:gridCol w:w="3520"/>
        <w:gridCol w:w="3520"/>
      </w:tblGrid>
      <w:tr>
        <w:trPr>
          <w:tblHeader w:val="true"/>
        </w:trPr>
        <w:tc>
          <w:tcPr/>
          <w:p>
            <w:pPr>
              <w:pStyle w:val="Compact"/>
              <w:jc w:val="left"/>
            </w:pPr>
            <w:r>
              <w:t xml:space="preserve">Sınav</w:t>
            </w:r>
          </w:p>
        </w:tc>
        <w:tc>
          <w:tcPr/>
          <w:p>
            <w:pPr>
              <w:pStyle w:val="Compact"/>
              <w:jc w:val="left"/>
            </w:pPr>
            <w:r>
              <w:t xml:space="preserve">Sorun</w:t>
            </w:r>
          </w:p>
        </w:tc>
        <w:tc>
          <w:tcPr/>
          <w:p>
            <w:pPr>
              <w:pStyle w:val="Compact"/>
              <w:jc w:val="left"/>
            </w:pPr>
            <w:r>
              <w:t xml:space="preserve">Ders</w:t>
            </w:r>
          </w:p>
        </w:tc>
      </w:tr>
      <w:tr>
        <w:tc>
          <w:tcPr/>
          <w:p>
            <w:pPr>
              <w:pStyle w:val="Compact"/>
              <w:jc w:val="left"/>
            </w:pPr>
            <w:r>
              <w:t xml:space="preserve">2021/89-90</w:t>
            </w:r>
          </w:p>
        </w:tc>
        <w:tc>
          <w:tcPr/>
          <w:p>
            <w:pPr>
              <w:pStyle w:val="Compact"/>
              <w:jc w:val="left"/>
            </w:pPr>
            <w:r>
              <w:t xml:space="preserve">AB içi liman (Amsterdam) üzerinden gelen eşyada giriş yeri belirsiz; Türk limanı demurajı KDV matrahına alınmamış</w:t>
            </w:r>
          </w:p>
        </w:tc>
        <w:tc>
          <w:tcPr/>
          <w:p>
            <w:pPr>
              <w:pStyle w:val="Compact"/>
              <w:jc w:val="left"/>
            </w:pPr>
            <w:r>
              <w:t xml:space="preserve">Vakada giriş yeri ve her giderin tescilden önce mi sonra mı olduğu</w:t>
            </w:r>
            <w:r>
              <w:t xml:space="preserve"> </w:t>
            </w:r>
            <w:r>
              <w:rPr>
                <w:bCs/>
                <w:b/>
              </w:rPr>
              <w:t xml:space="preserve">açıkça</w:t>
            </w:r>
            <w:r>
              <w:t xml:space="preserve"> </w:t>
            </w:r>
            <w:r>
              <w:t xml:space="preserve">yazılmalı</w:t>
            </w:r>
          </w:p>
        </w:tc>
      </w:tr>
      <w:tr>
        <w:tc>
          <w:tcPr/>
          <w:p>
            <w:pPr>
              <w:pStyle w:val="Compact"/>
              <w:jc w:val="left"/>
            </w:pPr>
            <w:r>
              <w:t xml:space="preserve">2022/94</w:t>
            </w:r>
          </w:p>
        </w:tc>
        <w:tc>
          <w:tcPr/>
          <w:p>
            <w:pPr>
              <w:pStyle w:val="Compact"/>
              <w:jc w:val="left"/>
            </w:pPr>
            <w:r>
              <w:t xml:space="preserve">Anahtar (466.200) standart vergi zinciriyle elde edilemiyor; standart hesap 452.000 veriyor</w:t>
            </w:r>
          </w:p>
        </w:tc>
        <w:tc>
          <w:tcPr/>
          <w:p>
            <w:pPr>
              <w:pStyle w:val="Compact"/>
              <w:jc w:val="left"/>
            </w:pPr>
            <w:r>
              <w:t xml:space="preserve">Her hesap sorusunda</w:t>
            </w:r>
            <w:r>
              <w:t xml:space="preserve"> </w:t>
            </w:r>
            <w:r>
              <w:rPr>
                <w:bCs/>
                <w:b/>
              </w:rPr>
              <w:t xml:space="preserve">5 şıkkın türetimi</w:t>
            </w:r>
            <w:r>
              <w:t xml:space="preserve"> </w:t>
            </w:r>
            <w:r>
              <w:t xml:space="preserve">yazılmalı; türetilemeyen şık bırakılmamalı</w:t>
            </w:r>
          </w:p>
        </w:tc>
      </w:tr>
      <w:tr>
        <w:tc>
          <w:tcPr/>
          <w:p>
            <w:pPr>
              <w:pStyle w:val="Compact"/>
              <w:jc w:val="left"/>
            </w:pPr>
            <w:r>
              <w:t xml:space="preserve">2023/72-73</w:t>
            </w:r>
          </w:p>
        </w:tc>
        <w:tc>
          <w:tcPr/>
          <w:p>
            <w:pPr>
              <w:pStyle w:val="Compact"/>
              <w:jc w:val="left"/>
            </w:pPr>
            <w:r>
              <w:t xml:space="preserve">Metindeki tutarlar ile şıklar arasında 10 kat fark (kur/ölçek hatası)</w:t>
            </w:r>
          </w:p>
        </w:tc>
        <w:tc>
          <w:tcPr/>
          <w:p>
            <w:pPr>
              <w:pStyle w:val="Compact"/>
              <w:jc w:val="left"/>
            </w:pPr>
            <w:r>
              <w:t xml:space="preserve">Kur ve birim parantezi tek ve net olmalı; son kontrolde ölçek doğrulanmalı</w:t>
            </w:r>
          </w:p>
        </w:tc>
      </w:tr>
      <w:tr>
        <w:tc>
          <w:tcPr/>
          <w:p>
            <w:pPr>
              <w:pStyle w:val="Compact"/>
              <w:jc w:val="left"/>
            </w:pPr>
            <w:r>
              <w:t xml:space="preserve">2024/46</w:t>
            </w:r>
          </w:p>
        </w:tc>
        <w:tc>
          <w:tcPr/>
          <w:p>
            <w:pPr>
              <w:pStyle w:val="Compact"/>
              <w:jc w:val="left"/>
            </w:pPr>
            <w:r>
              <w:t xml:space="preserve">“</w:t>
            </w:r>
            <w:r>
              <w:t xml:space="preserve">Kahve</w:t>
            </w:r>
            <w:r>
              <w:t xml:space="preserve">”</w:t>
            </w:r>
            <w:r>
              <w:t xml:space="preserve"> </w:t>
            </w:r>
            <w:r>
              <w:t xml:space="preserve">(09.01 mi 21.01 mi?) belirsiz</w:t>
            </w:r>
          </w:p>
        </w:tc>
        <w:tc>
          <w:tcPr/>
          <w:p>
            <w:pPr>
              <w:pStyle w:val="Compact"/>
              <w:jc w:val="left"/>
            </w:pPr>
            <w:r>
              <w:t xml:space="preserve">Tarifede eşya adı teknik ve tek anlamlı yazılmalı (kavrulmuş/hazır/ekstrakt)</w:t>
            </w:r>
          </w:p>
        </w:tc>
      </w:tr>
      <w:tr>
        <w:tc>
          <w:tcPr/>
          <w:p>
            <w:pPr>
              <w:pStyle w:val="Compact"/>
              <w:jc w:val="left"/>
            </w:pPr>
            <w:r>
              <w:t xml:space="preserve">2025/12, 16</w:t>
            </w:r>
          </w:p>
        </w:tc>
        <w:tc>
          <w:tcPr/>
          <w:p>
            <w:pPr>
              <w:pStyle w:val="Compact"/>
              <w:jc w:val="left"/>
            </w:pPr>
            <w:r>
              <w:t xml:space="preserve">Ardiye KDV mahsubu ve kullanılmış taşıt indirim oranı mevzuattan net izlenemiyor</w:t>
            </w:r>
          </w:p>
        </w:tc>
        <w:tc>
          <w:tcPr/>
          <w:p>
            <w:pPr>
              <w:pStyle w:val="Compact"/>
              <w:jc w:val="left"/>
            </w:pPr>
            <w:r>
              <w:t xml:space="preserve">Hesap sorusu yalnız</w:t>
            </w:r>
            <w:r>
              <w:t xml:space="preserve"> </w:t>
            </w:r>
            <w:r>
              <w:rPr>
                <w:bCs/>
                <w:b/>
              </w:rPr>
              <w:t xml:space="preserve">açık hükme</w:t>
            </w:r>
            <w:r>
              <w:t xml:space="preserve"> </w:t>
            </w:r>
            <w:r>
              <w:t xml:space="preserve">dayanmalı; yoruma açık oran kullanılmamalı</w:t>
            </w:r>
          </w:p>
        </w:tc>
      </w:tr>
    </w:tbl>
    <w:p>
      <w:r>
        <w:pict>
          <v:rect style="width:0;height:1.5pt" o:hralign="center" o:hrstd="t" o:hr="t"/>
        </w:pict>
      </w:r>
    </w:p>
    <w:bookmarkEnd w:id="54"/>
    <w:bookmarkStart w:id="55" w:name="öğrenciye-strateji-özeti-bonus"/>
    <w:p>
      <w:pPr>
        <w:pStyle w:val="Heading2"/>
      </w:pPr>
      <w:r>
        <w:t xml:space="preserve">8. ÖĞRENCİYE STRATEJİ ÖZETİ (bonus)</w:t>
      </w:r>
    </w:p>
    <w:p>
      <w:pPr>
        <w:numPr>
          <w:ilvl w:val="0"/>
          <w:numId w:val="1019"/>
        </w:numPr>
        <w:pStyle w:val="Compact"/>
      </w:pPr>
      <w:r>
        <w:t xml:space="preserve">Olumsuz kökte önce</w:t>
      </w:r>
      <w:r>
        <w:t xml:space="preserve"> </w:t>
      </w:r>
      <w:r>
        <w:rPr>
          <w:bCs/>
          <w:b/>
        </w:rPr>
        <w:t xml:space="preserve">mutlak ifadeli ve kısa</w:t>
      </w:r>
      <w:r>
        <w:t xml:space="preserve"> </w:t>
      </w:r>
      <w:r>
        <w:t xml:space="preserve">şıkkı kontrol et.</w:t>
      </w:r>
    </w:p>
    <w:p>
      <w:pPr>
        <w:numPr>
          <w:ilvl w:val="0"/>
          <w:numId w:val="1019"/>
        </w:numPr>
        <w:pStyle w:val="Compact"/>
      </w:pPr>
      <w:r>
        <w:t xml:space="preserve">Olumlu kökte (</w:t>
      </w:r>
      <w:r>
        <w:t xml:space="preserve">“</w:t>
      </w:r>
      <w:r>
        <w:t xml:space="preserve">hangisi doğrudur</w:t>
      </w:r>
      <w:r>
        <w:t xml:space="preserve">”</w:t>
      </w:r>
      <w:r>
        <w:t xml:space="preserve">) en eksiksiz, mevzuat cümlesi gibi duran şık çoğu zaman doğrudur. Bu bir eğilimdir, kural değildir.</w:t>
      </w:r>
    </w:p>
    <w:p>
      <w:pPr>
        <w:numPr>
          <w:ilvl w:val="0"/>
          <w:numId w:val="1019"/>
        </w:numPr>
        <w:pStyle w:val="Compact"/>
      </w:pPr>
      <w:r>
        <w:t xml:space="preserve">Öncüllüde</w:t>
      </w:r>
      <w:r>
        <w:t xml:space="preserve"> </w:t>
      </w:r>
      <w:r>
        <w:t xml:space="preserve">“</w:t>
      </w:r>
      <w:r>
        <w:t xml:space="preserve">hepsi doğru</w:t>
      </w:r>
      <w:r>
        <w:t xml:space="preserve">”</w:t>
      </w:r>
      <w:r>
        <w:t xml:space="preserve"> </w:t>
      </w:r>
      <w:r>
        <w:t xml:space="preserve">ya da</w:t>
      </w:r>
      <w:r>
        <w:t xml:space="preserve"> </w:t>
      </w:r>
      <w:r>
        <w:t xml:space="preserve">“</w:t>
      </w:r>
      <w:r>
        <w:t xml:space="preserve">yalnız I</w:t>
      </w:r>
      <w:r>
        <w:t xml:space="preserve">”</w:t>
      </w:r>
      <w:r>
        <w:t xml:space="preserve"> </w:t>
      </w:r>
      <w:r>
        <w:t xml:space="preserve">cevabından korkma; Bakanlık bunları bilerek kullanıyor.</w:t>
      </w:r>
    </w:p>
    <w:p>
      <w:pPr>
        <w:numPr>
          <w:ilvl w:val="0"/>
          <w:numId w:val="1019"/>
        </w:numPr>
        <w:pStyle w:val="Compact"/>
      </w:pPr>
      <w:r>
        <w:t xml:space="preserve">Hesapta önce kalemleri</w:t>
      </w:r>
      <w:r>
        <w:t xml:space="preserve"> </w:t>
      </w:r>
      <w:r>
        <w:rPr>
          <w:bCs/>
          <w:b/>
        </w:rPr>
        <w:t xml:space="preserve">dahil/hariç</w:t>
      </w:r>
      <w:r>
        <w:t xml:space="preserve"> </w:t>
      </w:r>
      <w:r>
        <w:t xml:space="preserve">diye işaretle, sonra topla. Şıklar merdiven gibiyse doğru cevap genelde alt basamaklardadır, çünkü üst basamaklar fazladan kalem eklenmiş hâllerdir.</w:t>
      </w:r>
    </w:p>
    <w:p>
      <w:pPr>
        <w:numPr>
          <w:ilvl w:val="0"/>
          <w:numId w:val="1019"/>
        </w:numPr>
        <w:pStyle w:val="Compact"/>
      </w:pPr>
      <w:r>
        <w:t xml:space="preserve">Tarifede adın çağrıştırdığı fasla gitmeden önce</w:t>
      </w:r>
      <w:r>
        <w:t xml:space="preserve"> </w:t>
      </w:r>
      <w:r>
        <w:rPr>
          <w:bCs/>
          <w:b/>
        </w:rPr>
        <w:t xml:space="preserve">notlardaki hariçleri</w:t>
      </w:r>
      <w:r>
        <w:t xml:space="preserve"> </w:t>
      </w:r>
      <w:r>
        <w:t xml:space="preserve">düşün.</w:t>
      </w:r>
    </w:p>
    <w:p>
      <w:pPr>
        <w:numPr>
          <w:ilvl w:val="0"/>
          <w:numId w:val="1019"/>
        </w:numPr>
        <w:pStyle w:val="Compact"/>
      </w:pPr>
      <w:r>
        <w:t xml:space="preserve">Sınav içinde aynı hüküm iki kez geçebilir; kökler ve doğru öncüller birbirine ipucu verebilir.</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2026-10-08T07:47:40Z</dcterms:created>
  <dcterms:modified xsi:type="dcterms:W3CDTF">2026-10-08T07:47:40Z</dcterms:modified>
</cp:coreProperties>
</file>

<file path=docProps/custom.xml><?xml version="1.0" encoding="utf-8"?>
<Properties xmlns="http://schemas.openxmlformats.org/officeDocument/2006/custom-properties" xmlns:vt="http://schemas.openxmlformats.org/officeDocument/2006/docPropsVTypes"/>
</file>