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gümrük-müşavirliği-sinavi-deneme-1"/>
    <w:p>
      <w:pPr>
        <w:pStyle w:val="Heading1"/>
      </w:pPr>
      <w:r>
        <w:t xml:space="preserve">GÜMRÜK MÜŞAVİRLİĞİ SINAVI — DENEME 1</w:t>
      </w:r>
    </w:p>
    <w:bookmarkStart w:id="123" w:name="cevap-anahtari-ve-açiklamali-çözümler"/>
    <w:p>
      <w:pPr>
        <w:pStyle w:val="Heading2"/>
      </w:pPr>
      <w:r>
        <w:t xml:space="preserve">CEVAP ANAHTARI VE AÇIKLAMALI ÇÖZÜMLER</w:t>
      </w:r>
    </w:p>
    <w:bookmarkStart w:id="20" w:name="cevap-anahtarı"/>
    <w:p>
      <w:pPr>
        <w:pStyle w:val="Heading3"/>
      </w:pPr>
      <w:r>
        <w:t xml:space="preserve">1. Cevap anahtarı</w:t>
      </w:r>
    </w:p>
    <w:tbl>
      <w:tblPr>
        <w:tblStyle w:val="Table"/>
        <w:tblW w:type="pct" w:w="5000"/>
        <w:tblLook w:firstRow="1" w:lastRow="0" w:firstColumn="0" w:lastColumn="0" w:noHBand="0" w:noVBand="0" w:val="0020"/>
        <w:jc w:val="start"/>
      </w:tblPr>
      <w:tblGrid>
        <w:gridCol w:w="739"/>
        <w:gridCol w:w="844"/>
        <w:gridCol w:w="739"/>
        <w:gridCol w:w="844"/>
        <w:gridCol w:w="739"/>
        <w:gridCol w:w="844"/>
        <w:gridCol w:w="739"/>
        <w:gridCol w:w="844"/>
        <w:gridCol w:w="739"/>
        <w:gridCol w:w="844"/>
      </w:tblGrid>
      <w:tr>
        <w:trPr>
          <w:tblHeader w:val="true"/>
        </w:trPr>
        <w:tc>
          <w:tcPr/>
          <w:p>
            <w:pPr>
              <w:pStyle w:val="Compact"/>
              <w:jc w:val="left"/>
            </w:pPr>
            <w:r>
              <w:t xml:space="preserve">No</w:t>
            </w:r>
          </w:p>
        </w:tc>
        <w:tc>
          <w:tcPr/>
          <w:p>
            <w:pPr>
              <w:pStyle w:val="Compact"/>
              <w:jc w:val="left"/>
            </w:pPr>
            <w:r>
              <w:t xml:space="preserve">Cevap</w:t>
            </w:r>
          </w:p>
        </w:tc>
        <w:tc>
          <w:tcPr/>
          <w:p>
            <w:pPr>
              <w:pStyle w:val="Compact"/>
              <w:jc w:val="left"/>
            </w:pPr>
            <w:r>
              <w:t xml:space="preserve">No</w:t>
            </w:r>
          </w:p>
        </w:tc>
        <w:tc>
          <w:tcPr/>
          <w:p>
            <w:pPr>
              <w:pStyle w:val="Compact"/>
              <w:jc w:val="left"/>
            </w:pPr>
            <w:r>
              <w:t xml:space="preserve">Cevap</w:t>
            </w:r>
          </w:p>
        </w:tc>
        <w:tc>
          <w:tcPr/>
          <w:p>
            <w:pPr>
              <w:pStyle w:val="Compact"/>
              <w:jc w:val="left"/>
            </w:pPr>
            <w:r>
              <w:t xml:space="preserve">No</w:t>
            </w:r>
          </w:p>
        </w:tc>
        <w:tc>
          <w:tcPr/>
          <w:p>
            <w:pPr>
              <w:pStyle w:val="Compact"/>
              <w:jc w:val="left"/>
            </w:pPr>
            <w:r>
              <w:t xml:space="preserve">Cevap</w:t>
            </w:r>
          </w:p>
        </w:tc>
        <w:tc>
          <w:tcPr/>
          <w:p>
            <w:pPr>
              <w:pStyle w:val="Compact"/>
              <w:jc w:val="left"/>
            </w:pPr>
            <w:r>
              <w:t xml:space="preserve">No</w:t>
            </w:r>
          </w:p>
        </w:tc>
        <w:tc>
          <w:tcPr/>
          <w:p>
            <w:pPr>
              <w:pStyle w:val="Compact"/>
              <w:jc w:val="left"/>
            </w:pPr>
            <w:r>
              <w:t xml:space="preserve">Cevap</w:t>
            </w:r>
          </w:p>
        </w:tc>
        <w:tc>
          <w:tcPr/>
          <w:p>
            <w:pPr>
              <w:pStyle w:val="Compact"/>
              <w:jc w:val="left"/>
            </w:pPr>
            <w:r>
              <w:t xml:space="preserve">No</w:t>
            </w:r>
          </w:p>
        </w:tc>
        <w:tc>
          <w:tcPr/>
          <w:p>
            <w:pPr>
              <w:pStyle w:val="Compact"/>
              <w:jc w:val="left"/>
            </w:pPr>
            <w:r>
              <w:t xml:space="preserve">Cevap</w:t>
            </w:r>
          </w:p>
        </w:tc>
      </w:tr>
      <w:tr>
        <w:tc>
          <w:tcPr/>
          <w:p>
            <w:pPr>
              <w:pStyle w:val="Compact"/>
              <w:jc w:val="left"/>
            </w:pPr>
            <w:r>
              <w:t xml:space="preserve">1</w:t>
            </w:r>
          </w:p>
        </w:tc>
        <w:tc>
          <w:tcPr/>
          <w:p>
            <w:pPr>
              <w:pStyle w:val="Compact"/>
              <w:jc w:val="left"/>
            </w:pPr>
            <w:r>
              <w:t xml:space="preserve">A</w:t>
            </w:r>
          </w:p>
        </w:tc>
        <w:tc>
          <w:tcPr/>
          <w:p>
            <w:pPr>
              <w:pStyle w:val="Compact"/>
              <w:jc w:val="left"/>
            </w:pPr>
            <w:r>
              <w:t xml:space="preserve">21</w:t>
            </w:r>
          </w:p>
        </w:tc>
        <w:tc>
          <w:tcPr/>
          <w:p>
            <w:pPr>
              <w:pStyle w:val="Compact"/>
              <w:jc w:val="left"/>
            </w:pPr>
            <w:r>
              <w:t xml:space="preserve">D</w:t>
            </w:r>
          </w:p>
        </w:tc>
        <w:tc>
          <w:tcPr/>
          <w:p>
            <w:pPr>
              <w:pStyle w:val="Compact"/>
              <w:jc w:val="left"/>
            </w:pPr>
            <w:r>
              <w:t xml:space="preserve">41</w:t>
            </w:r>
          </w:p>
        </w:tc>
        <w:tc>
          <w:tcPr/>
          <w:p>
            <w:pPr>
              <w:pStyle w:val="Compact"/>
              <w:jc w:val="left"/>
            </w:pPr>
            <w:r>
              <w:t xml:space="preserve">C</w:t>
            </w:r>
          </w:p>
        </w:tc>
        <w:tc>
          <w:tcPr/>
          <w:p>
            <w:pPr>
              <w:pStyle w:val="Compact"/>
              <w:jc w:val="left"/>
            </w:pPr>
            <w:r>
              <w:t xml:space="preserve">61</w:t>
            </w:r>
          </w:p>
        </w:tc>
        <w:tc>
          <w:tcPr/>
          <w:p>
            <w:pPr>
              <w:pStyle w:val="Compact"/>
              <w:jc w:val="left"/>
            </w:pPr>
            <w:r>
              <w:t xml:space="preserve">E</w:t>
            </w:r>
          </w:p>
        </w:tc>
        <w:tc>
          <w:tcPr/>
          <w:p>
            <w:pPr>
              <w:pStyle w:val="Compact"/>
              <w:jc w:val="left"/>
            </w:pPr>
            <w:r>
              <w:t xml:space="preserve">81</w:t>
            </w:r>
          </w:p>
        </w:tc>
        <w:tc>
          <w:tcPr/>
          <w:p>
            <w:pPr>
              <w:pStyle w:val="Compact"/>
              <w:jc w:val="left"/>
            </w:pPr>
            <w:r>
              <w:t xml:space="preserve">C</w:t>
            </w:r>
          </w:p>
        </w:tc>
      </w:tr>
      <w:tr>
        <w:tc>
          <w:tcPr/>
          <w:p>
            <w:pPr>
              <w:pStyle w:val="Compact"/>
              <w:jc w:val="left"/>
            </w:pPr>
            <w:r>
              <w:t xml:space="preserve">2</w:t>
            </w:r>
          </w:p>
        </w:tc>
        <w:tc>
          <w:tcPr/>
          <w:p>
            <w:pPr>
              <w:pStyle w:val="Compact"/>
              <w:jc w:val="left"/>
            </w:pPr>
            <w:r>
              <w:t xml:space="preserve">E</w:t>
            </w:r>
          </w:p>
        </w:tc>
        <w:tc>
          <w:tcPr/>
          <w:p>
            <w:pPr>
              <w:pStyle w:val="Compact"/>
              <w:jc w:val="left"/>
            </w:pPr>
            <w:r>
              <w:t xml:space="preserve">22</w:t>
            </w:r>
          </w:p>
        </w:tc>
        <w:tc>
          <w:tcPr/>
          <w:p>
            <w:pPr>
              <w:pStyle w:val="Compact"/>
              <w:jc w:val="left"/>
            </w:pPr>
            <w:r>
              <w:t xml:space="preserve">B</w:t>
            </w:r>
          </w:p>
        </w:tc>
        <w:tc>
          <w:tcPr/>
          <w:p>
            <w:pPr>
              <w:pStyle w:val="Compact"/>
              <w:jc w:val="left"/>
            </w:pPr>
            <w:r>
              <w:t xml:space="preserve">42</w:t>
            </w:r>
          </w:p>
        </w:tc>
        <w:tc>
          <w:tcPr/>
          <w:p>
            <w:pPr>
              <w:pStyle w:val="Compact"/>
              <w:jc w:val="left"/>
            </w:pPr>
            <w:r>
              <w:t xml:space="preserve">D</w:t>
            </w:r>
          </w:p>
        </w:tc>
        <w:tc>
          <w:tcPr/>
          <w:p>
            <w:pPr>
              <w:pStyle w:val="Compact"/>
              <w:jc w:val="left"/>
            </w:pPr>
            <w:r>
              <w:t xml:space="preserve">62</w:t>
            </w:r>
          </w:p>
        </w:tc>
        <w:tc>
          <w:tcPr/>
          <w:p>
            <w:pPr>
              <w:pStyle w:val="Compact"/>
              <w:jc w:val="left"/>
            </w:pPr>
            <w:r>
              <w:t xml:space="preserve">C</w:t>
            </w:r>
          </w:p>
        </w:tc>
        <w:tc>
          <w:tcPr/>
          <w:p>
            <w:pPr>
              <w:pStyle w:val="Compact"/>
              <w:jc w:val="left"/>
            </w:pPr>
            <w:r>
              <w:t xml:space="preserve">82</w:t>
            </w:r>
          </w:p>
        </w:tc>
        <w:tc>
          <w:tcPr/>
          <w:p>
            <w:pPr>
              <w:pStyle w:val="Compact"/>
              <w:jc w:val="left"/>
            </w:pPr>
            <w:r>
              <w:t xml:space="preserve">B</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23</w:t>
            </w:r>
          </w:p>
        </w:tc>
        <w:tc>
          <w:tcPr/>
          <w:p>
            <w:pPr>
              <w:pStyle w:val="Compact"/>
              <w:jc w:val="left"/>
            </w:pPr>
            <w:r>
              <w:t xml:space="preserve">A</w:t>
            </w:r>
          </w:p>
        </w:tc>
        <w:tc>
          <w:tcPr/>
          <w:p>
            <w:pPr>
              <w:pStyle w:val="Compact"/>
              <w:jc w:val="left"/>
            </w:pPr>
            <w:r>
              <w:t xml:space="preserve">43</w:t>
            </w:r>
          </w:p>
        </w:tc>
        <w:tc>
          <w:tcPr/>
          <w:p>
            <w:pPr>
              <w:pStyle w:val="Compact"/>
              <w:jc w:val="left"/>
            </w:pPr>
            <w:r>
              <w:t xml:space="preserve">A</w:t>
            </w:r>
          </w:p>
        </w:tc>
        <w:tc>
          <w:tcPr/>
          <w:p>
            <w:pPr>
              <w:pStyle w:val="Compact"/>
              <w:jc w:val="left"/>
            </w:pPr>
            <w:r>
              <w:t xml:space="preserve">63</w:t>
            </w:r>
          </w:p>
        </w:tc>
        <w:tc>
          <w:tcPr/>
          <w:p>
            <w:pPr>
              <w:pStyle w:val="Compact"/>
              <w:jc w:val="left"/>
            </w:pPr>
            <w:r>
              <w:t xml:space="preserve">A</w:t>
            </w:r>
          </w:p>
        </w:tc>
        <w:tc>
          <w:tcPr/>
          <w:p>
            <w:pPr>
              <w:pStyle w:val="Compact"/>
              <w:jc w:val="left"/>
            </w:pPr>
            <w:r>
              <w:t xml:space="preserve">83</w:t>
            </w:r>
          </w:p>
        </w:tc>
        <w:tc>
          <w:tcPr/>
          <w:p>
            <w:pPr>
              <w:pStyle w:val="Compact"/>
              <w:jc w:val="left"/>
            </w:pPr>
            <w:r>
              <w:t xml:space="preserve">E</w:t>
            </w:r>
          </w:p>
        </w:tc>
      </w:tr>
      <w:tr>
        <w:tc>
          <w:tcPr/>
          <w:p>
            <w:pPr>
              <w:pStyle w:val="Compact"/>
              <w:jc w:val="left"/>
            </w:pPr>
            <w:r>
              <w:t xml:space="preserve">4</w:t>
            </w:r>
          </w:p>
        </w:tc>
        <w:tc>
          <w:tcPr/>
          <w:p>
            <w:pPr>
              <w:pStyle w:val="Compact"/>
              <w:jc w:val="left"/>
            </w:pPr>
            <w:r>
              <w:t xml:space="preserve">E</w:t>
            </w:r>
          </w:p>
        </w:tc>
        <w:tc>
          <w:tcPr/>
          <w:p>
            <w:pPr>
              <w:pStyle w:val="Compact"/>
              <w:jc w:val="left"/>
            </w:pPr>
            <w:r>
              <w:t xml:space="preserve">24</w:t>
            </w:r>
          </w:p>
        </w:tc>
        <w:tc>
          <w:tcPr/>
          <w:p>
            <w:pPr>
              <w:pStyle w:val="Compact"/>
              <w:jc w:val="left"/>
            </w:pPr>
            <w:r>
              <w:t xml:space="preserve">A</w:t>
            </w:r>
          </w:p>
        </w:tc>
        <w:tc>
          <w:tcPr/>
          <w:p>
            <w:pPr>
              <w:pStyle w:val="Compact"/>
              <w:jc w:val="left"/>
            </w:pPr>
            <w:r>
              <w:t xml:space="preserve">44</w:t>
            </w:r>
          </w:p>
        </w:tc>
        <w:tc>
          <w:tcPr/>
          <w:p>
            <w:pPr>
              <w:pStyle w:val="Compact"/>
              <w:jc w:val="left"/>
            </w:pPr>
            <w:r>
              <w:t xml:space="preserve">B</w:t>
            </w:r>
          </w:p>
        </w:tc>
        <w:tc>
          <w:tcPr/>
          <w:p>
            <w:pPr>
              <w:pStyle w:val="Compact"/>
              <w:jc w:val="left"/>
            </w:pPr>
            <w:r>
              <w:t xml:space="preserve">64</w:t>
            </w:r>
          </w:p>
        </w:tc>
        <w:tc>
          <w:tcPr/>
          <w:p>
            <w:pPr>
              <w:pStyle w:val="Compact"/>
              <w:jc w:val="left"/>
            </w:pPr>
            <w:r>
              <w:t xml:space="preserve">D</w:t>
            </w:r>
          </w:p>
        </w:tc>
        <w:tc>
          <w:tcPr/>
          <w:p>
            <w:pPr>
              <w:pStyle w:val="Compact"/>
              <w:jc w:val="left"/>
            </w:pPr>
            <w:r>
              <w:t xml:space="preserve">84</w:t>
            </w:r>
          </w:p>
        </w:tc>
        <w:tc>
          <w:tcPr/>
          <w:p>
            <w:pPr>
              <w:pStyle w:val="Compact"/>
              <w:jc w:val="left"/>
            </w:pPr>
            <w:r>
              <w:t xml:space="preserve">D</w:t>
            </w:r>
          </w:p>
        </w:tc>
      </w:tr>
      <w:tr>
        <w:tc>
          <w:tcPr/>
          <w:p>
            <w:pPr>
              <w:pStyle w:val="Compact"/>
              <w:jc w:val="left"/>
            </w:pPr>
            <w:r>
              <w:t xml:space="preserve">5</w:t>
            </w:r>
          </w:p>
        </w:tc>
        <w:tc>
          <w:tcPr/>
          <w:p>
            <w:pPr>
              <w:pStyle w:val="Compact"/>
              <w:jc w:val="left"/>
            </w:pPr>
            <w:r>
              <w:t xml:space="preserve">A</w:t>
            </w:r>
          </w:p>
        </w:tc>
        <w:tc>
          <w:tcPr/>
          <w:p>
            <w:pPr>
              <w:pStyle w:val="Compact"/>
              <w:jc w:val="left"/>
            </w:pPr>
            <w:r>
              <w:t xml:space="preserve">25</w:t>
            </w:r>
          </w:p>
        </w:tc>
        <w:tc>
          <w:tcPr/>
          <w:p>
            <w:pPr>
              <w:pStyle w:val="Compact"/>
              <w:jc w:val="left"/>
            </w:pPr>
            <w:r>
              <w:t xml:space="preserve">D</w:t>
            </w:r>
          </w:p>
        </w:tc>
        <w:tc>
          <w:tcPr/>
          <w:p>
            <w:pPr>
              <w:pStyle w:val="Compact"/>
              <w:jc w:val="left"/>
            </w:pPr>
            <w:r>
              <w:t xml:space="preserve">45</w:t>
            </w:r>
          </w:p>
        </w:tc>
        <w:tc>
          <w:tcPr/>
          <w:p>
            <w:pPr>
              <w:pStyle w:val="Compact"/>
              <w:jc w:val="left"/>
            </w:pPr>
            <w:r>
              <w:t xml:space="preserve">E</w:t>
            </w:r>
          </w:p>
        </w:tc>
        <w:tc>
          <w:tcPr/>
          <w:p>
            <w:pPr>
              <w:pStyle w:val="Compact"/>
              <w:jc w:val="left"/>
            </w:pPr>
            <w:r>
              <w:t xml:space="preserve">65</w:t>
            </w:r>
          </w:p>
        </w:tc>
        <w:tc>
          <w:tcPr/>
          <w:p>
            <w:pPr>
              <w:pStyle w:val="Compact"/>
              <w:jc w:val="left"/>
            </w:pPr>
            <w:r>
              <w:t xml:space="preserve">D</w:t>
            </w:r>
          </w:p>
        </w:tc>
        <w:tc>
          <w:tcPr/>
          <w:p>
            <w:pPr>
              <w:pStyle w:val="Compact"/>
              <w:jc w:val="left"/>
            </w:pPr>
            <w:r>
              <w:t xml:space="preserve">85</w:t>
            </w:r>
          </w:p>
        </w:tc>
        <w:tc>
          <w:tcPr/>
          <w:p>
            <w:pPr>
              <w:pStyle w:val="Compact"/>
              <w:jc w:val="left"/>
            </w:pPr>
            <w:r>
              <w:t xml:space="preserve">D</w:t>
            </w:r>
          </w:p>
        </w:tc>
      </w:tr>
      <w:tr>
        <w:tc>
          <w:tcPr/>
          <w:p>
            <w:pPr>
              <w:pStyle w:val="Compact"/>
              <w:jc w:val="left"/>
            </w:pPr>
            <w:r>
              <w:t xml:space="preserve">6</w:t>
            </w:r>
          </w:p>
        </w:tc>
        <w:tc>
          <w:tcPr/>
          <w:p>
            <w:pPr>
              <w:pStyle w:val="Compact"/>
              <w:jc w:val="left"/>
            </w:pPr>
            <w:r>
              <w:t xml:space="preserve">C</w:t>
            </w:r>
          </w:p>
        </w:tc>
        <w:tc>
          <w:tcPr/>
          <w:p>
            <w:pPr>
              <w:pStyle w:val="Compact"/>
              <w:jc w:val="left"/>
            </w:pPr>
            <w:r>
              <w:t xml:space="preserve">26</w:t>
            </w:r>
          </w:p>
        </w:tc>
        <w:tc>
          <w:tcPr/>
          <w:p>
            <w:pPr>
              <w:pStyle w:val="Compact"/>
              <w:jc w:val="left"/>
            </w:pPr>
            <w:r>
              <w:t xml:space="preserve">E</w:t>
            </w:r>
          </w:p>
        </w:tc>
        <w:tc>
          <w:tcPr/>
          <w:p>
            <w:pPr>
              <w:pStyle w:val="Compact"/>
              <w:jc w:val="left"/>
            </w:pPr>
            <w:r>
              <w:t xml:space="preserve">46</w:t>
            </w:r>
          </w:p>
        </w:tc>
        <w:tc>
          <w:tcPr/>
          <w:p>
            <w:pPr>
              <w:pStyle w:val="Compact"/>
              <w:jc w:val="left"/>
            </w:pPr>
            <w:r>
              <w:t xml:space="preserve">D</w:t>
            </w:r>
          </w:p>
        </w:tc>
        <w:tc>
          <w:tcPr/>
          <w:p>
            <w:pPr>
              <w:pStyle w:val="Compact"/>
              <w:jc w:val="left"/>
            </w:pPr>
            <w:r>
              <w:t xml:space="preserve">66</w:t>
            </w:r>
          </w:p>
        </w:tc>
        <w:tc>
          <w:tcPr/>
          <w:p>
            <w:pPr>
              <w:pStyle w:val="Compact"/>
              <w:jc w:val="left"/>
            </w:pPr>
            <w:r>
              <w:t xml:space="preserve">B</w:t>
            </w:r>
          </w:p>
        </w:tc>
        <w:tc>
          <w:tcPr/>
          <w:p>
            <w:pPr>
              <w:pStyle w:val="Compact"/>
              <w:jc w:val="left"/>
            </w:pPr>
            <w:r>
              <w:t xml:space="preserve">86</w:t>
            </w:r>
          </w:p>
        </w:tc>
        <w:tc>
          <w:tcPr/>
          <w:p>
            <w:pPr>
              <w:pStyle w:val="Compact"/>
              <w:jc w:val="left"/>
            </w:pPr>
            <w:r>
              <w:t xml:space="preserve">B</w:t>
            </w:r>
          </w:p>
        </w:tc>
      </w:tr>
      <w:tr>
        <w:tc>
          <w:tcPr/>
          <w:p>
            <w:pPr>
              <w:pStyle w:val="Compact"/>
              <w:jc w:val="left"/>
            </w:pPr>
            <w:r>
              <w:t xml:space="preserve">7</w:t>
            </w:r>
          </w:p>
        </w:tc>
        <w:tc>
          <w:tcPr/>
          <w:p>
            <w:pPr>
              <w:pStyle w:val="Compact"/>
              <w:jc w:val="left"/>
            </w:pPr>
            <w:r>
              <w:t xml:space="preserve">E</w:t>
            </w:r>
          </w:p>
        </w:tc>
        <w:tc>
          <w:tcPr/>
          <w:p>
            <w:pPr>
              <w:pStyle w:val="Compact"/>
              <w:jc w:val="left"/>
            </w:pPr>
            <w:r>
              <w:t xml:space="preserve">27</w:t>
            </w:r>
          </w:p>
        </w:tc>
        <w:tc>
          <w:tcPr/>
          <w:p>
            <w:pPr>
              <w:pStyle w:val="Compact"/>
              <w:jc w:val="left"/>
            </w:pPr>
            <w:r>
              <w:t xml:space="preserve">A</w:t>
            </w:r>
          </w:p>
        </w:tc>
        <w:tc>
          <w:tcPr/>
          <w:p>
            <w:pPr>
              <w:pStyle w:val="Compact"/>
              <w:jc w:val="left"/>
            </w:pPr>
            <w:r>
              <w:t xml:space="preserve">47</w:t>
            </w:r>
          </w:p>
        </w:tc>
        <w:tc>
          <w:tcPr/>
          <w:p>
            <w:pPr>
              <w:pStyle w:val="Compact"/>
              <w:jc w:val="left"/>
            </w:pPr>
            <w:r>
              <w:t xml:space="preserve">C</w:t>
            </w:r>
          </w:p>
        </w:tc>
        <w:tc>
          <w:tcPr/>
          <w:p>
            <w:pPr>
              <w:pStyle w:val="Compact"/>
              <w:jc w:val="left"/>
            </w:pPr>
            <w:r>
              <w:t xml:space="preserve">67</w:t>
            </w:r>
          </w:p>
        </w:tc>
        <w:tc>
          <w:tcPr/>
          <w:p>
            <w:pPr>
              <w:pStyle w:val="Compact"/>
              <w:jc w:val="left"/>
            </w:pPr>
            <w:r>
              <w:t xml:space="preserve">C</w:t>
            </w:r>
          </w:p>
        </w:tc>
        <w:tc>
          <w:tcPr/>
          <w:p>
            <w:pPr>
              <w:pStyle w:val="Compact"/>
              <w:jc w:val="left"/>
            </w:pPr>
            <w:r>
              <w:t xml:space="preserve">87</w:t>
            </w:r>
          </w:p>
        </w:tc>
        <w:tc>
          <w:tcPr/>
          <w:p>
            <w:pPr>
              <w:pStyle w:val="Compact"/>
              <w:jc w:val="left"/>
            </w:pPr>
            <w:r>
              <w:t xml:space="preserve">D</w:t>
            </w:r>
          </w:p>
        </w:tc>
      </w:tr>
      <w:tr>
        <w:tc>
          <w:tcPr/>
          <w:p>
            <w:pPr>
              <w:pStyle w:val="Compact"/>
              <w:jc w:val="left"/>
            </w:pPr>
            <w:r>
              <w:t xml:space="preserve">8</w:t>
            </w:r>
          </w:p>
        </w:tc>
        <w:tc>
          <w:tcPr/>
          <w:p>
            <w:pPr>
              <w:pStyle w:val="Compact"/>
              <w:jc w:val="left"/>
            </w:pPr>
            <w:r>
              <w:t xml:space="preserve">A</w:t>
            </w:r>
          </w:p>
        </w:tc>
        <w:tc>
          <w:tcPr/>
          <w:p>
            <w:pPr>
              <w:pStyle w:val="Compact"/>
              <w:jc w:val="left"/>
            </w:pPr>
            <w:r>
              <w:t xml:space="preserve">28</w:t>
            </w:r>
          </w:p>
        </w:tc>
        <w:tc>
          <w:tcPr/>
          <w:p>
            <w:pPr>
              <w:pStyle w:val="Compact"/>
              <w:jc w:val="left"/>
            </w:pPr>
            <w:r>
              <w:t xml:space="preserve">E</w:t>
            </w:r>
          </w:p>
        </w:tc>
        <w:tc>
          <w:tcPr/>
          <w:p>
            <w:pPr>
              <w:pStyle w:val="Compact"/>
              <w:jc w:val="left"/>
            </w:pPr>
            <w:r>
              <w:t xml:space="preserve">48</w:t>
            </w:r>
          </w:p>
        </w:tc>
        <w:tc>
          <w:tcPr/>
          <w:p>
            <w:pPr>
              <w:pStyle w:val="Compact"/>
              <w:jc w:val="left"/>
            </w:pPr>
            <w:r>
              <w:t xml:space="preserve">E</w:t>
            </w:r>
          </w:p>
        </w:tc>
        <w:tc>
          <w:tcPr/>
          <w:p>
            <w:pPr>
              <w:pStyle w:val="Compact"/>
              <w:jc w:val="left"/>
            </w:pPr>
            <w:r>
              <w:t xml:space="preserve">68</w:t>
            </w:r>
          </w:p>
        </w:tc>
        <w:tc>
          <w:tcPr/>
          <w:p>
            <w:pPr>
              <w:pStyle w:val="Compact"/>
              <w:jc w:val="left"/>
            </w:pPr>
            <w:r>
              <w:t xml:space="preserve">C</w:t>
            </w:r>
          </w:p>
        </w:tc>
        <w:tc>
          <w:tcPr/>
          <w:p>
            <w:pPr>
              <w:pStyle w:val="Compact"/>
              <w:jc w:val="left"/>
            </w:pPr>
            <w:r>
              <w:t xml:space="preserve">88</w:t>
            </w:r>
          </w:p>
        </w:tc>
        <w:tc>
          <w:tcPr/>
          <w:p>
            <w:pPr>
              <w:pStyle w:val="Compact"/>
              <w:jc w:val="left"/>
            </w:pPr>
            <w:r>
              <w:t xml:space="preserve">D</w:t>
            </w:r>
          </w:p>
        </w:tc>
      </w:tr>
      <w:tr>
        <w:tc>
          <w:tcPr/>
          <w:p>
            <w:pPr>
              <w:pStyle w:val="Compact"/>
              <w:jc w:val="left"/>
            </w:pPr>
            <w:r>
              <w:t xml:space="preserve">9</w:t>
            </w:r>
          </w:p>
        </w:tc>
        <w:tc>
          <w:tcPr/>
          <w:p>
            <w:pPr>
              <w:pStyle w:val="Compact"/>
              <w:jc w:val="left"/>
            </w:pPr>
            <w:r>
              <w:t xml:space="preserve">E</w:t>
            </w:r>
          </w:p>
        </w:tc>
        <w:tc>
          <w:tcPr/>
          <w:p>
            <w:pPr>
              <w:pStyle w:val="Compact"/>
              <w:jc w:val="left"/>
            </w:pPr>
            <w:r>
              <w:t xml:space="preserve">29</w:t>
            </w:r>
          </w:p>
        </w:tc>
        <w:tc>
          <w:tcPr/>
          <w:p>
            <w:pPr>
              <w:pStyle w:val="Compact"/>
              <w:jc w:val="left"/>
            </w:pPr>
            <w:r>
              <w:t xml:space="preserve">D</w:t>
            </w:r>
          </w:p>
        </w:tc>
        <w:tc>
          <w:tcPr/>
          <w:p>
            <w:pPr>
              <w:pStyle w:val="Compact"/>
              <w:jc w:val="left"/>
            </w:pPr>
            <w:r>
              <w:t xml:space="preserve">49</w:t>
            </w:r>
          </w:p>
        </w:tc>
        <w:tc>
          <w:tcPr/>
          <w:p>
            <w:pPr>
              <w:pStyle w:val="Compact"/>
              <w:jc w:val="left"/>
            </w:pPr>
            <w:r>
              <w:t xml:space="preserve">B</w:t>
            </w:r>
          </w:p>
        </w:tc>
        <w:tc>
          <w:tcPr/>
          <w:p>
            <w:pPr>
              <w:pStyle w:val="Compact"/>
              <w:jc w:val="left"/>
            </w:pPr>
            <w:r>
              <w:t xml:space="preserve">69</w:t>
            </w:r>
          </w:p>
        </w:tc>
        <w:tc>
          <w:tcPr/>
          <w:p>
            <w:pPr>
              <w:pStyle w:val="Compact"/>
              <w:jc w:val="left"/>
            </w:pPr>
            <w:r>
              <w:t xml:space="preserve">B</w:t>
            </w:r>
          </w:p>
        </w:tc>
        <w:tc>
          <w:tcPr/>
          <w:p>
            <w:pPr>
              <w:pStyle w:val="Compact"/>
              <w:jc w:val="left"/>
            </w:pPr>
            <w:r>
              <w:t xml:space="preserve">89</w:t>
            </w:r>
          </w:p>
        </w:tc>
        <w:tc>
          <w:tcPr/>
          <w:p>
            <w:pPr>
              <w:pStyle w:val="Compact"/>
              <w:jc w:val="left"/>
            </w:pPr>
            <w:r>
              <w:t xml:space="preserve">C</w:t>
            </w:r>
          </w:p>
        </w:tc>
      </w:tr>
      <w:tr>
        <w:tc>
          <w:tcPr/>
          <w:p>
            <w:pPr>
              <w:pStyle w:val="Compact"/>
              <w:jc w:val="left"/>
            </w:pPr>
            <w:r>
              <w:t xml:space="preserve">10</w:t>
            </w:r>
          </w:p>
        </w:tc>
        <w:tc>
          <w:tcPr/>
          <w:p>
            <w:pPr>
              <w:pStyle w:val="Compact"/>
              <w:jc w:val="left"/>
            </w:pPr>
            <w:r>
              <w:t xml:space="preserve">A</w:t>
            </w:r>
          </w:p>
        </w:tc>
        <w:tc>
          <w:tcPr/>
          <w:p>
            <w:pPr>
              <w:pStyle w:val="Compact"/>
              <w:jc w:val="left"/>
            </w:pPr>
            <w:r>
              <w:t xml:space="preserve">30</w:t>
            </w:r>
          </w:p>
        </w:tc>
        <w:tc>
          <w:tcPr/>
          <w:p>
            <w:pPr>
              <w:pStyle w:val="Compact"/>
              <w:jc w:val="left"/>
            </w:pPr>
            <w:r>
              <w:t xml:space="preserve">E</w:t>
            </w:r>
          </w:p>
        </w:tc>
        <w:tc>
          <w:tcPr/>
          <w:p>
            <w:pPr>
              <w:pStyle w:val="Compact"/>
              <w:jc w:val="left"/>
            </w:pPr>
            <w:r>
              <w:t xml:space="preserve">50</w:t>
            </w:r>
          </w:p>
        </w:tc>
        <w:tc>
          <w:tcPr/>
          <w:p>
            <w:pPr>
              <w:pStyle w:val="Compact"/>
              <w:jc w:val="left"/>
            </w:pPr>
            <w:r>
              <w:t xml:space="preserve">C</w:t>
            </w:r>
          </w:p>
        </w:tc>
        <w:tc>
          <w:tcPr/>
          <w:p>
            <w:pPr>
              <w:pStyle w:val="Compact"/>
              <w:jc w:val="left"/>
            </w:pPr>
            <w:r>
              <w:t xml:space="preserve">70</w:t>
            </w:r>
          </w:p>
        </w:tc>
        <w:tc>
          <w:tcPr/>
          <w:p>
            <w:pPr>
              <w:pStyle w:val="Compact"/>
              <w:jc w:val="left"/>
            </w:pPr>
            <w:r>
              <w:t xml:space="preserve">E</w:t>
            </w:r>
          </w:p>
        </w:tc>
        <w:tc>
          <w:tcPr/>
          <w:p>
            <w:pPr>
              <w:pStyle w:val="Compact"/>
              <w:jc w:val="left"/>
            </w:pPr>
            <w:r>
              <w:t xml:space="preserve">90</w:t>
            </w:r>
          </w:p>
        </w:tc>
        <w:tc>
          <w:tcPr/>
          <w:p>
            <w:pPr>
              <w:pStyle w:val="Compact"/>
              <w:jc w:val="left"/>
            </w:pPr>
            <w:r>
              <w:t xml:space="preserve">B</w:t>
            </w:r>
          </w:p>
        </w:tc>
      </w:tr>
      <w:tr>
        <w:tc>
          <w:tcPr/>
          <w:p>
            <w:pPr>
              <w:pStyle w:val="Compact"/>
              <w:jc w:val="left"/>
            </w:pPr>
            <w:r>
              <w:t xml:space="preserve">11</w:t>
            </w:r>
          </w:p>
        </w:tc>
        <w:tc>
          <w:tcPr/>
          <w:p>
            <w:pPr>
              <w:pStyle w:val="Compact"/>
              <w:jc w:val="left"/>
            </w:pPr>
            <w:r>
              <w:t xml:space="preserve">A</w:t>
            </w:r>
          </w:p>
        </w:tc>
        <w:tc>
          <w:tcPr/>
          <w:p>
            <w:pPr>
              <w:pStyle w:val="Compact"/>
              <w:jc w:val="left"/>
            </w:pPr>
            <w:r>
              <w:t xml:space="preserve">31</w:t>
            </w:r>
          </w:p>
        </w:tc>
        <w:tc>
          <w:tcPr/>
          <w:p>
            <w:pPr>
              <w:pStyle w:val="Compact"/>
              <w:jc w:val="left"/>
            </w:pPr>
            <w:r>
              <w:t xml:space="preserve">A</w:t>
            </w:r>
          </w:p>
        </w:tc>
        <w:tc>
          <w:tcPr/>
          <w:p>
            <w:pPr>
              <w:pStyle w:val="Compact"/>
              <w:jc w:val="left"/>
            </w:pPr>
            <w:r>
              <w:t xml:space="preserve">51</w:t>
            </w:r>
          </w:p>
        </w:tc>
        <w:tc>
          <w:tcPr/>
          <w:p>
            <w:pPr>
              <w:pStyle w:val="Compact"/>
              <w:jc w:val="left"/>
            </w:pPr>
            <w:r>
              <w:t xml:space="preserve">D</w:t>
            </w:r>
          </w:p>
        </w:tc>
        <w:tc>
          <w:tcPr/>
          <w:p>
            <w:pPr>
              <w:pStyle w:val="Compact"/>
              <w:jc w:val="left"/>
            </w:pPr>
            <w:r>
              <w:t xml:space="preserve">71</w:t>
            </w:r>
          </w:p>
        </w:tc>
        <w:tc>
          <w:tcPr/>
          <w:p>
            <w:pPr>
              <w:pStyle w:val="Compact"/>
              <w:jc w:val="left"/>
            </w:pPr>
            <w:r>
              <w:t xml:space="preserve">E</w:t>
            </w:r>
          </w:p>
        </w:tc>
        <w:tc>
          <w:tcPr/>
          <w:p>
            <w:pPr>
              <w:pStyle w:val="Compact"/>
              <w:jc w:val="left"/>
            </w:pPr>
            <w:r>
              <w:t xml:space="preserve">91</w:t>
            </w:r>
          </w:p>
        </w:tc>
        <w:tc>
          <w:tcPr/>
          <w:p>
            <w:pPr>
              <w:pStyle w:val="Compact"/>
              <w:jc w:val="left"/>
            </w:pPr>
            <w:r>
              <w:t xml:space="preserve">E</w:t>
            </w:r>
          </w:p>
        </w:tc>
      </w:tr>
      <w:tr>
        <w:tc>
          <w:tcPr/>
          <w:p>
            <w:pPr>
              <w:pStyle w:val="Compact"/>
              <w:jc w:val="left"/>
            </w:pPr>
            <w:r>
              <w:t xml:space="preserve">12</w:t>
            </w:r>
          </w:p>
        </w:tc>
        <w:tc>
          <w:tcPr/>
          <w:p>
            <w:pPr>
              <w:pStyle w:val="Compact"/>
              <w:jc w:val="left"/>
            </w:pPr>
            <w:r>
              <w:t xml:space="preserve">B</w:t>
            </w:r>
          </w:p>
        </w:tc>
        <w:tc>
          <w:tcPr/>
          <w:p>
            <w:pPr>
              <w:pStyle w:val="Compact"/>
              <w:jc w:val="left"/>
            </w:pPr>
            <w:r>
              <w:t xml:space="preserve">32</w:t>
            </w:r>
          </w:p>
        </w:tc>
        <w:tc>
          <w:tcPr/>
          <w:p>
            <w:pPr>
              <w:pStyle w:val="Compact"/>
              <w:jc w:val="left"/>
            </w:pPr>
            <w:r>
              <w:t xml:space="preserve">D</w:t>
            </w:r>
          </w:p>
        </w:tc>
        <w:tc>
          <w:tcPr/>
          <w:p>
            <w:pPr>
              <w:pStyle w:val="Compact"/>
              <w:jc w:val="left"/>
            </w:pPr>
            <w:r>
              <w:t xml:space="preserve">52</w:t>
            </w:r>
          </w:p>
        </w:tc>
        <w:tc>
          <w:tcPr/>
          <w:p>
            <w:pPr>
              <w:pStyle w:val="Compact"/>
              <w:jc w:val="left"/>
            </w:pPr>
            <w:r>
              <w:t xml:space="preserve">E</w:t>
            </w:r>
          </w:p>
        </w:tc>
        <w:tc>
          <w:tcPr/>
          <w:p>
            <w:pPr>
              <w:pStyle w:val="Compact"/>
              <w:jc w:val="left"/>
            </w:pPr>
            <w:r>
              <w:t xml:space="preserve">72</w:t>
            </w:r>
          </w:p>
        </w:tc>
        <w:tc>
          <w:tcPr/>
          <w:p>
            <w:pPr>
              <w:pStyle w:val="Compact"/>
              <w:jc w:val="left"/>
            </w:pPr>
            <w:r>
              <w:t xml:space="preserve">D</w:t>
            </w:r>
          </w:p>
        </w:tc>
        <w:tc>
          <w:tcPr/>
          <w:p>
            <w:pPr>
              <w:pStyle w:val="Compact"/>
              <w:jc w:val="left"/>
            </w:pPr>
            <w:r>
              <w:t xml:space="preserve">92</w:t>
            </w:r>
          </w:p>
        </w:tc>
        <w:tc>
          <w:tcPr/>
          <w:p>
            <w:pPr>
              <w:pStyle w:val="Compact"/>
              <w:jc w:val="left"/>
            </w:pPr>
            <w:r>
              <w:t xml:space="preserve">A</w:t>
            </w:r>
          </w:p>
        </w:tc>
      </w:tr>
      <w:tr>
        <w:tc>
          <w:tcPr/>
          <w:p>
            <w:pPr>
              <w:pStyle w:val="Compact"/>
              <w:jc w:val="left"/>
            </w:pPr>
            <w:r>
              <w:t xml:space="preserve">13</w:t>
            </w:r>
          </w:p>
        </w:tc>
        <w:tc>
          <w:tcPr/>
          <w:p>
            <w:pPr>
              <w:pStyle w:val="Compact"/>
              <w:jc w:val="left"/>
            </w:pPr>
            <w:r>
              <w:t xml:space="preserve">D</w:t>
            </w:r>
          </w:p>
        </w:tc>
        <w:tc>
          <w:tcPr/>
          <w:p>
            <w:pPr>
              <w:pStyle w:val="Compact"/>
              <w:jc w:val="left"/>
            </w:pPr>
            <w:r>
              <w:t xml:space="preserve">33</w:t>
            </w:r>
          </w:p>
        </w:tc>
        <w:tc>
          <w:tcPr/>
          <w:p>
            <w:pPr>
              <w:pStyle w:val="Compact"/>
              <w:jc w:val="left"/>
            </w:pPr>
            <w:r>
              <w:t xml:space="preserve">C</w:t>
            </w:r>
          </w:p>
        </w:tc>
        <w:tc>
          <w:tcPr/>
          <w:p>
            <w:pPr>
              <w:pStyle w:val="Compact"/>
              <w:jc w:val="left"/>
            </w:pPr>
            <w:r>
              <w:t xml:space="preserve">53</w:t>
            </w:r>
          </w:p>
        </w:tc>
        <w:tc>
          <w:tcPr/>
          <w:p>
            <w:pPr>
              <w:pStyle w:val="Compact"/>
              <w:jc w:val="left"/>
            </w:pPr>
            <w:r>
              <w:t xml:space="preserve">B</w:t>
            </w:r>
          </w:p>
        </w:tc>
        <w:tc>
          <w:tcPr/>
          <w:p>
            <w:pPr>
              <w:pStyle w:val="Compact"/>
              <w:jc w:val="left"/>
            </w:pPr>
            <w:r>
              <w:t xml:space="preserve">73</w:t>
            </w:r>
          </w:p>
        </w:tc>
        <w:tc>
          <w:tcPr/>
          <w:p>
            <w:pPr>
              <w:pStyle w:val="Compact"/>
              <w:jc w:val="left"/>
            </w:pPr>
            <w:r>
              <w:t xml:space="preserve">B</w:t>
            </w:r>
          </w:p>
        </w:tc>
        <w:tc>
          <w:tcPr/>
          <w:p>
            <w:pPr>
              <w:pStyle w:val="Compact"/>
              <w:jc w:val="left"/>
            </w:pPr>
            <w:r>
              <w:t xml:space="preserve">93</w:t>
            </w:r>
          </w:p>
        </w:tc>
        <w:tc>
          <w:tcPr/>
          <w:p>
            <w:pPr>
              <w:pStyle w:val="Compact"/>
              <w:jc w:val="left"/>
            </w:pPr>
            <w:r>
              <w:t xml:space="preserve">C</w:t>
            </w:r>
          </w:p>
        </w:tc>
      </w:tr>
      <w:tr>
        <w:tc>
          <w:tcPr/>
          <w:p>
            <w:pPr>
              <w:pStyle w:val="Compact"/>
              <w:jc w:val="left"/>
            </w:pPr>
            <w:r>
              <w:t xml:space="preserve">14</w:t>
            </w:r>
          </w:p>
        </w:tc>
        <w:tc>
          <w:tcPr/>
          <w:p>
            <w:pPr>
              <w:pStyle w:val="Compact"/>
              <w:jc w:val="left"/>
            </w:pPr>
            <w:r>
              <w:t xml:space="preserve">C</w:t>
            </w:r>
          </w:p>
        </w:tc>
        <w:tc>
          <w:tcPr/>
          <w:p>
            <w:pPr>
              <w:pStyle w:val="Compact"/>
              <w:jc w:val="left"/>
            </w:pPr>
            <w:r>
              <w:t xml:space="preserve">34</w:t>
            </w:r>
          </w:p>
        </w:tc>
        <w:tc>
          <w:tcPr/>
          <w:p>
            <w:pPr>
              <w:pStyle w:val="Compact"/>
              <w:jc w:val="left"/>
            </w:pPr>
            <w:r>
              <w:t xml:space="preserve">E</w:t>
            </w:r>
          </w:p>
        </w:tc>
        <w:tc>
          <w:tcPr/>
          <w:p>
            <w:pPr>
              <w:pStyle w:val="Compact"/>
              <w:jc w:val="left"/>
            </w:pPr>
            <w:r>
              <w:t xml:space="preserve">54</w:t>
            </w:r>
          </w:p>
        </w:tc>
        <w:tc>
          <w:tcPr/>
          <w:p>
            <w:pPr>
              <w:pStyle w:val="Compact"/>
              <w:jc w:val="left"/>
            </w:pPr>
            <w:r>
              <w:t xml:space="preserve">A</w:t>
            </w:r>
          </w:p>
        </w:tc>
        <w:tc>
          <w:tcPr/>
          <w:p>
            <w:pPr>
              <w:pStyle w:val="Compact"/>
              <w:jc w:val="left"/>
            </w:pPr>
            <w:r>
              <w:t xml:space="preserve">74</w:t>
            </w:r>
          </w:p>
        </w:tc>
        <w:tc>
          <w:tcPr/>
          <w:p>
            <w:pPr>
              <w:pStyle w:val="Compact"/>
              <w:jc w:val="left"/>
            </w:pPr>
            <w:r>
              <w:t xml:space="preserve">C</w:t>
            </w:r>
          </w:p>
        </w:tc>
        <w:tc>
          <w:tcPr/>
          <w:p>
            <w:pPr>
              <w:pStyle w:val="Compact"/>
              <w:jc w:val="left"/>
            </w:pPr>
            <w:r>
              <w:t xml:space="preserve">94</w:t>
            </w:r>
          </w:p>
        </w:tc>
        <w:tc>
          <w:tcPr/>
          <w:p>
            <w:pPr>
              <w:pStyle w:val="Compact"/>
              <w:jc w:val="left"/>
            </w:pPr>
            <w:r>
              <w:t xml:space="preserve">B</w:t>
            </w:r>
          </w:p>
        </w:tc>
      </w:tr>
      <w:tr>
        <w:tc>
          <w:tcPr/>
          <w:p>
            <w:pPr>
              <w:pStyle w:val="Compact"/>
              <w:jc w:val="left"/>
            </w:pPr>
            <w:r>
              <w:t xml:space="preserve">15</w:t>
            </w:r>
          </w:p>
        </w:tc>
        <w:tc>
          <w:tcPr/>
          <w:p>
            <w:pPr>
              <w:pStyle w:val="Compact"/>
              <w:jc w:val="left"/>
            </w:pPr>
            <w:r>
              <w:t xml:space="preserve">C</w:t>
            </w:r>
          </w:p>
        </w:tc>
        <w:tc>
          <w:tcPr/>
          <w:p>
            <w:pPr>
              <w:pStyle w:val="Compact"/>
              <w:jc w:val="left"/>
            </w:pPr>
            <w:r>
              <w:t xml:space="preserve">35</w:t>
            </w:r>
          </w:p>
        </w:tc>
        <w:tc>
          <w:tcPr/>
          <w:p>
            <w:pPr>
              <w:pStyle w:val="Compact"/>
              <w:jc w:val="left"/>
            </w:pPr>
            <w:r>
              <w:t xml:space="preserve">B</w:t>
            </w:r>
          </w:p>
        </w:tc>
        <w:tc>
          <w:tcPr/>
          <w:p>
            <w:pPr>
              <w:pStyle w:val="Compact"/>
              <w:jc w:val="left"/>
            </w:pPr>
            <w:r>
              <w:t xml:space="preserve">55</w:t>
            </w:r>
          </w:p>
        </w:tc>
        <w:tc>
          <w:tcPr/>
          <w:p>
            <w:pPr>
              <w:pStyle w:val="Compact"/>
              <w:jc w:val="left"/>
            </w:pPr>
            <w:r>
              <w:t xml:space="preserve">B</w:t>
            </w:r>
          </w:p>
        </w:tc>
        <w:tc>
          <w:tcPr/>
          <w:p>
            <w:pPr>
              <w:pStyle w:val="Compact"/>
              <w:jc w:val="left"/>
            </w:pPr>
            <w:r>
              <w:t xml:space="preserve">75</w:t>
            </w:r>
          </w:p>
        </w:tc>
        <w:tc>
          <w:tcPr/>
          <w:p>
            <w:pPr>
              <w:pStyle w:val="Compact"/>
              <w:jc w:val="left"/>
            </w:pPr>
            <w:r>
              <w:t xml:space="preserve">C</w:t>
            </w:r>
          </w:p>
        </w:tc>
        <w:tc>
          <w:tcPr/>
          <w:p>
            <w:pPr>
              <w:pStyle w:val="Compact"/>
              <w:jc w:val="left"/>
            </w:pPr>
            <w:r>
              <w:t xml:space="preserve">95</w:t>
            </w:r>
          </w:p>
        </w:tc>
        <w:tc>
          <w:tcPr/>
          <w:p>
            <w:pPr>
              <w:pStyle w:val="Compact"/>
              <w:jc w:val="left"/>
            </w:pPr>
            <w:r>
              <w:t xml:space="preserve">A</w:t>
            </w:r>
          </w:p>
        </w:tc>
      </w:tr>
      <w:tr>
        <w:tc>
          <w:tcPr/>
          <w:p>
            <w:pPr>
              <w:pStyle w:val="Compact"/>
              <w:jc w:val="left"/>
            </w:pPr>
            <w:r>
              <w:t xml:space="preserve">16</w:t>
            </w:r>
          </w:p>
        </w:tc>
        <w:tc>
          <w:tcPr/>
          <w:p>
            <w:pPr>
              <w:pStyle w:val="Compact"/>
              <w:jc w:val="left"/>
            </w:pPr>
            <w:r>
              <w:t xml:space="preserve">B</w:t>
            </w:r>
          </w:p>
        </w:tc>
        <w:tc>
          <w:tcPr/>
          <w:p>
            <w:pPr>
              <w:pStyle w:val="Compact"/>
              <w:jc w:val="left"/>
            </w:pPr>
            <w:r>
              <w:t xml:space="preserve">36</w:t>
            </w:r>
          </w:p>
        </w:tc>
        <w:tc>
          <w:tcPr/>
          <w:p>
            <w:pPr>
              <w:pStyle w:val="Compact"/>
              <w:jc w:val="left"/>
            </w:pPr>
            <w:r>
              <w:t xml:space="preserve">A</w:t>
            </w:r>
          </w:p>
        </w:tc>
        <w:tc>
          <w:tcPr/>
          <w:p>
            <w:pPr>
              <w:pStyle w:val="Compact"/>
              <w:jc w:val="left"/>
            </w:pPr>
            <w:r>
              <w:t xml:space="preserve">56</w:t>
            </w:r>
          </w:p>
        </w:tc>
        <w:tc>
          <w:tcPr/>
          <w:p>
            <w:pPr>
              <w:pStyle w:val="Compact"/>
              <w:jc w:val="left"/>
            </w:pPr>
            <w:r>
              <w:t xml:space="preserve">B</w:t>
            </w:r>
          </w:p>
        </w:tc>
        <w:tc>
          <w:tcPr/>
          <w:p>
            <w:pPr>
              <w:pStyle w:val="Compact"/>
              <w:jc w:val="left"/>
            </w:pPr>
            <w:r>
              <w:t xml:space="preserve">76</w:t>
            </w:r>
          </w:p>
        </w:tc>
        <w:tc>
          <w:tcPr/>
          <w:p>
            <w:pPr>
              <w:pStyle w:val="Compact"/>
              <w:jc w:val="left"/>
            </w:pPr>
            <w:r>
              <w:t xml:space="preserve">B</w:t>
            </w:r>
          </w:p>
        </w:tc>
        <w:tc>
          <w:tcPr/>
          <w:p>
            <w:pPr>
              <w:pStyle w:val="Compact"/>
              <w:jc w:val="left"/>
            </w:pPr>
            <w:r>
              <w:t xml:space="preserve">96</w:t>
            </w:r>
          </w:p>
        </w:tc>
        <w:tc>
          <w:tcPr/>
          <w:p>
            <w:pPr>
              <w:pStyle w:val="Compact"/>
              <w:jc w:val="left"/>
            </w:pPr>
            <w:r>
              <w:t xml:space="preserve">B</w:t>
            </w:r>
          </w:p>
        </w:tc>
      </w:tr>
      <w:tr>
        <w:tc>
          <w:tcPr/>
          <w:p>
            <w:pPr>
              <w:pStyle w:val="Compact"/>
              <w:jc w:val="left"/>
            </w:pPr>
            <w:r>
              <w:t xml:space="preserve">17</w:t>
            </w:r>
          </w:p>
        </w:tc>
        <w:tc>
          <w:tcPr/>
          <w:p>
            <w:pPr>
              <w:pStyle w:val="Compact"/>
              <w:jc w:val="left"/>
            </w:pPr>
            <w:r>
              <w:t xml:space="preserve">C</w:t>
            </w:r>
          </w:p>
        </w:tc>
        <w:tc>
          <w:tcPr/>
          <w:p>
            <w:pPr>
              <w:pStyle w:val="Compact"/>
              <w:jc w:val="left"/>
            </w:pPr>
            <w:r>
              <w:t xml:space="preserve">37</w:t>
            </w:r>
          </w:p>
        </w:tc>
        <w:tc>
          <w:tcPr/>
          <w:p>
            <w:pPr>
              <w:pStyle w:val="Compact"/>
              <w:jc w:val="left"/>
            </w:pPr>
            <w:r>
              <w:t xml:space="preserve">C</w:t>
            </w:r>
          </w:p>
        </w:tc>
        <w:tc>
          <w:tcPr/>
          <w:p>
            <w:pPr>
              <w:pStyle w:val="Compact"/>
              <w:jc w:val="left"/>
            </w:pPr>
            <w:r>
              <w:t xml:space="preserve">57</w:t>
            </w:r>
          </w:p>
        </w:tc>
        <w:tc>
          <w:tcPr/>
          <w:p>
            <w:pPr>
              <w:pStyle w:val="Compact"/>
              <w:jc w:val="left"/>
            </w:pPr>
            <w:r>
              <w:t xml:space="preserve">D</w:t>
            </w:r>
          </w:p>
        </w:tc>
        <w:tc>
          <w:tcPr/>
          <w:p>
            <w:pPr>
              <w:pStyle w:val="Compact"/>
              <w:jc w:val="left"/>
            </w:pPr>
            <w:r>
              <w:t xml:space="preserve">77</w:t>
            </w:r>
          </w:p>
        </w:tc>
        <w:tc>
          <w:tcPr/>
          <w:p>
            <w:pPr>
              <w:pStyle w:val="Compact"/>
              <w:jc w:val="left"/>
            </w:pPr>
            <w:r>
              <w:t xml:space="preserve">A</w:t>
            </w:r>
          </w:p>
        </w:tc>
        <w:tc>
          <w:tcPr/>
          <w:p>
            <w:pPr>
              <w:pStyle w:val="Compact"/>
              <w:jc w:val="left"/>
            </w:pPr>
            <w:r>
              <w:t xml:space="preserve">97</w:t>
            </w:r>
          </w:p>
        </w:tc>
        <w:tc>
          <w:tcPr/>
          <w:p>
            <w:pPr>
              <w:pStyle w:val="Compact"/>
              <w:jc w:val="left"/>
            </w:pPr>
            <w:r>
              <w:t xml:space="preserve">C</w:t>
            </w:r>
          </w:p>
        </w:tc>
      </w:tr>
      <w:tr>
        <w:tc>
          <w:tcPr/>
          <w:p>
            <w:pPr>
              <w:pStyle w:val="Compact"/>
              <w:jc w:val="left"/>
            </w:pPr>
            <w:r>
              <w:t xml:space="preserve">18</w:t>
            </w:r>
          </w:p>
        </w:tc>
        <w:tc>
          <w:tcPr/>
          <w:p>
            <w:pPr>
              <w:pStyle w:val="Compact"/>
              <w:jc w:val="left"/>
            </w:pPr>
            <w:r>
              <w:t xml:space="preserve">B</w:t>
            </w:r>
          </w:p>
        </w:tc>
        <w:tc>
          <w:tcPr/>
          <w:p>
            <w:pPr>
              <w:pStyle w:val="Compact"/>
              <w:jc w:val="left"/>
            </w:pPr>
            <w:r>
              <w:t xml:space="preserve">38</w:t>
            </w:r>
          </w:p>
        </w:tc>
        <w:tc>
          <w:tcPr/>
          <w:p>
            <w:pPr>
              <w:pStyle w:val="Compact"/>
              <w:jc w:val="left"/>
            </w:pPr>
            <w:r>
              <w:t xml:space="preserve">E</w:t>
            </w:r>
          </w:p>
        </w:tc>
        <w:tc>
          <w:tcPr/>
          <w:p>
            <w:pPr>
              <w:pStyle w:val="Compact"/>
              <w:jc w:val="left"/>
            </w:pPr>
            <w:r>
              <w:t xml:space="preserve">58</w:t>
            </w:r>
          </w:p>
        </w:tc>
        <w:tc>
          <w:tcPr/>
          <w:p>
            <w:pPr>
              <w:pStyle w:val="Compact"/>
              <w:jc w:val="left"/>
            </w:pPr>
            <w:r>
              <w:t xml:space="preserve">C</w:t>
            </w:r>
          </w:p>
        </w:tc>
        <w:tc>
          <w:tcPr/>
          <w:p>
            <w:pPr>
              <w:pStyle w:val="Compact"/>
              <w:jc w:val="left"/>
            </w:pPr>
            <w:r>
              <w:t xml:space="preserve">78</w:t>
            </w:r>
          </w:p>
        </w:tc>
        <w:tc>
          <w:tcPr/>
          <w:p>
            <w:pPr>
              <w:pStyle w:val="Compact"/>
              <w:jc w:val="left"/>
            </w:pPr>
            <w:r>
              <w:t xml:space="preserve">E</w:t>
            </w:r>
          </w:p>
        </w:tc>
        <w:tc>
          <w:tcPr/>
          <w:p>
            <w:pPr>
              <w:pStyle w:val="Compact"/>
              <w:jc w:val="left"/>
            </w:pPr>
            <w:r>
              <w:t xml:space="preserve">98</w:t>
            </w:r>
          </w:p>
        </w:tc>
        <w:tc>
          <w:tcPr/>
          <w:p>
            <w:pPr>
              <w:pStyle w:val="Compact"/>
              <w:jc w:val="left"/>
            </w:pPr>
            <w:r>
              <w:t xml:space="preserve">D</w:t>
            </w:r>
          </w:p>
        </w:tc>
      </w:tr>
      <w:tr>
        <w:tc>
          <w:tcPr/>
          <w:p>
            <w:pPr>
              <w:pStyle w:val="Compact"/>
              <w:jc w:val="left"/>
            </w:pPr>
            <w:r>
              <w:t xml:space="preserve">19</w:t>
            </w:r>
          </w:p>
        </w:tc>
        <w:tc>
          <w:tcPr/>
          <w:p>
            <w:pPr>
              <w:pStyle w:val="Compact"/>
              <w:jc w:val="left"/>
            </w:pPr>
            <w:r>
              <w:t xml:space="preserve">C</w:t>
            </w:r>
          </w:p>
        </w:tc>
        <w:tc>
          <w:tcPr/>
          <w:p>
            <w:pPr>
              <w:pStyle w:val="Compact"/>
              <w:jc w:val="left"/>
            </w:pPr>
            <w:r>
              <w:t xml:space="preserve">39</w:t>
            </w:r>
          </w:p>
        </w:tc>
        <w:tc>
          <w:tcPr/>
          <w:p>
            <w:pPr>
              <w:pStyle w:val="Compact"/>
              <w:jc w:val="left"/>
            </w:pPr>
            <w:r>
              <w:t xml:space="preserve">A</w:t>
            </w:r>
          </w:p>
        </w:tc>
        <w:tc>
          <w:tcPr/>
          <w:p>
            <w:pPr>
              <w:pStyle w:val="Compact"/>
              <w:jc w:val="left"/>
            </w:pPr>
            <w:r>
              <w:t xml:space="preserve">59</w:t>
            </w:r>
          </w:p>
        </w:tc>
        <w:tc>
          <w:tcPr/>
          <w:p>
            <w:pPr>
              <w:pStyle w:val="Compact"/>
              <w:jc w:val="left"/>
            </w:pPr>
            <w:r>
              <w:t xml:space="preserve">E</w:t>
            </w:r>
          </w:p>
        </w:tc>
        <w:tc>
          <w:tcPr/>
          <w:p>
            <w:pPr>
              <w:pStyle w:val="Compact"/>
              <w:jc w:val="left"/>
            </w:pPr>
            <w:r>
              <w:t xml:space="preserve">79</w:t>
            </w:r>
          </w:p>
        </w:tc>
        <w:tc>
          <w:tcPr/>
          <w:p>
            <w:pPr>
              <w:pStyle w:val="Compact"/>
              <w:jc w:val="left"/>
            </w:pPr>
            <w:r>
              <w:t xml:space="preserve">D</w:t>
            </w:r>
          </w:p>
        </w:tc>
        <w:tc>
          <w:tcPr/>
          <w:p>
            <w:pPr>
              <w:pStyle w:val="Compact"/>
              <w:jc w:val="left"/>
            </w:pPr>
            <w:r>
              <w:t xml:space="preserve">99</w:t>
            </w:r>
          </w:p>
        </w:tc>
        <w:tc>
          <w:tcPr/>
          <w:p>
            <w:pPr>
              <w:pStyle w:val="Compact"/>
              <w:jc w:val="left"/>
            </w:pPr>
            <w:r>
              <w:t xml:space="preserve">B</w:t>
            </w:r>
          </w:p>
        </w:tc>
      </w:tr>
      <w:tr>
        <w:tc>
          <w:tcPr/>
          <w:p>
            <w:pPr>
              <w:pStyle w:val="Compact"/>
              <w:jc w:val="left"/>
            </w:pPr>
            <w:r>
              <w:t xml:space="preserve">20</w:t>
            </w:r>
          </w:p>
        </w:tc>
        <w:tc>
          <w:tcPr/>
          <w:p>
            <w:pPr>
              <w:pStyle w:val="Compact"/>
              <w:jc w:val="left"/>
            </w:pPr>
            <w:r>
              <w:t xml:space="preserve">D</w:t>
            </w:r>
          </w:p>
        </w:tc>
        <w:tc>
          <w:tcPr/>
          <w:p>
            <w:pPr>
              <w:pStyle w:val="Compact"/>
              <w:jc w:val="left"/>
            </w:pPr>
            <w:r>
              <w:t xml:space="preserve">40</w:t>
            </w:r>
          </w:p>
        </w:tc>
        <w:tc>
          <w:tcPr/>
          <w:p>
            <w:pPr>
              <w:pStyle w:val="Compact"/>
              <w:jc w:val="left"/>
            </w:pPr>
            <w:r>
              <w:t xml:space="preserve">D</w:t>
            </w:r>
          </w:p>
        </w:tc>
        <w:tc>
          <w:tcPr/>
          <w:p>
            <w:pPr>
              <w:pStyle w:val="Compact"/>
              <w:jc w:val="left"/>
            </w:pPr>
            <w:r>
              <w:t xml:space="preserve">60</w:t>
            </w:r>
          </w:p>
        </w:tc>
        <w:tc>
          <w:tcPr/>
          <w:p>
            <w:pPr>
              <w:pStyle w:val="Compact"/>
              <w:jc w:val="left"/>
            </w:pPr>
            <w:r>
              <w:t xml:space="preserve">A</w:t>
            </w:r>
          </w:p>
        </w:tc>
        <w:tc>
          <w:tcPr/>
          <w:p>
            <w:pPr>
              <w:pStyle w:val="Compact"/>
              <w:jc w:val="left"/>
            </w:pPr>
            <w:r>
              <w:t xml:space="preserve">80</w:t>
            </w:r>
          </w:p>
        </w:tc>
        <w:tc>
          <w:tcPr/>
          <w:p>
            <w:pPr>
              <w:pStyle w:val="Compact"/>
              <w:jc w:val="left"/>
            </w:pPr>
            <w:r>
              <w:t xml:space="preserve">A</w:t>
            </w:r>
          </w:p>
        </w:tc>
        <w:tc>
          <w:tcPr/>
          <w:p>
            <w:pPr>
              <w:pStyle w:val="Compact"/>
              <w:jc w:val="left"/>
            </w:pPr>
            <w:r>
              <w:t xml:space="preserve">100</w:t>
            </w:r>
          </w:p>
        </w:tc>
        <w:tc>
          <w:tcPr/>
          <w:p>
            <w:pPr>
              <w:pStyle w:val="Compact"/>
              <w:jc w:val="left"/>
            </w:pPr>
            <w:r>
              <w:t xml:space="preserve">E</w:t>
            </w:r>
          </w:p>
        </w:tc>
      </w:tr>
    </w:tbl>
    <w:p>
      <w:pPr>
        <w:pStyle w:val="BodyText"/>
      </w:pPr>
      <w:r>
        <w:t xml:space="preserve">Harf dağılımı: A 20 · B 20 · C 20 · D 20 · E 20</w:t>
      </w:r>
    </w:p>
    <w:bookmarkEnd w:id="20"/>
    <w:bookmarkStart w:id="21" w:name="denemenin-yapısı"/>
    <w:p>
      <w:pPr>
        <w:pStyle w:val="Heading3"/>
      </w:pPr>
      <w:r>
        <w:t xml:space="preserve">2. Denemenin yapısı</w:t>
      </w:r>
    </w:p>
    <w:p>
      <w:pPr>
        <w:pStyle w:val="FirstParagraph"/>
      </w:pPr>
      <w:r>
        <w:rPr>
          <w:bCs/>
          <w:b/>
        </w:rPr>
        <w:t xml:space="preserve">Blok düzeni:</w:t>
      </w:r>
      <w:r>
        <w:t xml:space="preserve"> </w:t>
      </w:r>
      <w:r>
        <w:t xml:space="preserve">1–12 Sözel (GM + Sair) · 13–23 Hesap · 24–38 Sözel (GM + Sair) · 39–55 Tarife · 56–100 Sözel (GM + Sair)</w:t>
      </w:r>
    </w:p>
    <w:p>
      <w:pPr>
        <w:pStyle w:val="BodyText"/>
      </w:pPr>
      <w:r>
        <w:rPr>
          <w:bCs/>
          <w:b/>
        </w:rPr>
        <w:t xml:space="preserve">Alt tip dağılımı:</w:t>
      </w:r>
      <w:r>
        <w:t xml:space="preserve"> </w:t>
      </w:r>
      <w:r>
        <w:t xml:space="preserve">O2 13 · O1 13 · O4 7 · Ö3 6 · G1 5 · D5 5 · D3 5 · Ö1 5 · H3 3 · H6 3 · Ö2 3 · K1 3 · D4 3 · E1 2 · B1 2 · H1 2 · V2 2 · D6 2 · V4 2 · D1 2 · D2 2 · H4 1 · H2 1 · H8 1 · E3 1 · B2 1 · G2 1 · G4 1 · E2 1 · G3 1 · Ö4 1</w:t>
      </w:r>
    </w:p>
    <w:p>
      <w:pPr>
        <w:pStyle w:val="BodyText"/>
      </w:pPr>
      <w:r>
        <w:rPr>
          <w:bCs/>
          <w:b/>
        </w:rPr>
        <w:t xml:space="preserve">Konu dağılımı:</w:t>
      </w:r>
      <w:r>
        <w:t xml:space="preserve"> </w:t>
      </w:r>
      <w:r>
        <w:t xml:space="preserve">Hesap 11 · Tarife – fasıl/pozisyon kapsamı 7 · Tercihli ticaret, menşe belgeleri 5 · Transit 4 · Antrepo 4 · Kambiyo 3 · Gümrük kıymeti 3 · Muafiyetler 3 · Tarife – GTİP yapısı, HS, 474 3 · Tarife – notlar, izahname 3 · İhracat rejimi 3 · YYS, yerinde gümrükleme 3 · 5607 Kaçakçılık 3 · Damga vergisi, KKDF 2 · DTÖ, TFA, DGÖ 2 · ÖTV 2 · Incoterms, ödeme şekilleri 2 · TIR, ATA 2 · Tarife – GYKK 2 · Tarife – tanımı verilen eşya 2 · Özet beyan, geçici depolama 2 · Gümrük beyanı, muayene 2 · Yükümlülük, teminat, tecil 2 · Geçici ithalat 2 · Geri gelen eşya 2 · Ürün güvenliği, TAREKS 2 · Gümrük müşavirliği, temsil 2 · Cezalar, uzlaşma, itiraz 2 · KDV 1 · Menşe, BTB/BMB 1 · Geri verme – kaldırma 1 · İthalat rejimi 1 · DİR (Ticaret) 1 · Genel hükümler 1 · Serbest dolaşım, nihai kullanım 1 · Dahilde işleme 1 · Hariçte işleme / GKAİR 1 · İhracat (gümrük) 1 · Akaryakıt, kumanya 1 · GSM, sınır ticareti, serbest bölge 1 · Yatırım teşvik 1 · Posta ve hızlı kargo 1 · Fikri ve sınai haklar 1</w:t>
      </w:r>
    </w:p>
    <w:p>
      <w:pPr>
        <w:pStyle w:val="BodyText"/>
      </w:pPr>
      <w:r>
        <w:t xml:space="preserve">Alt tip kodları için:</w:t>
      </w:r>
      <w:r>
        <w:t xml:space="preserve"> </w:t>
      </w:r>
      <w:r>
        <w:rPr>
          <w:rStyle w:val="VerbatimChar"/>
        </w:rPr>
        <w:t xml:space="preserve">00-SORU-YAZARI-ANALIZI-VE-PROMPTLAR/12-SORU-TIPI-KATALOGU</w:t>
      </w:r>
      <w:r>
        <w:t xml:space="preserve">.</w:t>
      </w:r>
    </w:p>
    <w:bookmarkEnd w:id="21"/>
    <w:bookmarkStart w:id="122" w:name="açıklamalı-çözümler"/>
    <w:p>
      <w:pPr>
        <w:pStyle w:val="Heading3"/>
      </w:pPr>
      <w:r>
        <w:t xml:space="preserve">3. Açıklamalı çözümler</w:t>
      </w:r>
    </w:p>
    <w:bookmarkStart w:id="22" w:name="soru-cevap-a"/>
    <w:p>
      <w:pPr>
        <w:pStyle w:val="Heading4"/>
      </w:pPr>
      <w:r>
        <w:t xml:space="preserve">1. soru — Cevap: A</w:t>
      </w:r>
    </w:p>
    <w:p>
      <w:pPr>
        <w:pStyle w:val="FirstParagraph"/>
      </w:pPr>
      <w:r>
        <w:rPr>
          <w:iCs/>
          <w:i/>
        </w:rPr>
        <w:t xml:space="preserve">SAİR · Damga vergisi, KKDF · O2</w:t>
      </w:r>
    </w:p>
    <w:p>
      <w:pPr>
        <w:pStyle w:val="BodyText"/>
      </w:pPr>
      <w:r>
        <w:rPr>
          <w:bCs/>
          <w:b/>
        </w:rPr>
        <w:t xml:space="preserve">Doğru şık:</w:t>
      </w:r>
      <w:r>
        <w:t xml:space="preserve"> </w:t>
      </w:r>
      <w:r>
        <w:t xml:space="preserve">A) Gümrük idarelerince yapılan fon tahsilatları aylık olarak Fon’a aktarılır.</w:t>
      </w:r>
    </w:p>
    <w:p>
      <w:pPr>
        <w:pStyle w:val="BodyText"/>
      </w:pPr>
      <w:r>
        <w:t xml:space="preserve">KKDF Hakkında Karara göre gümrük idarelerince yapılan fon tahsilatları aylık değil haftalık olarak Fon’a aktarılır. Bankaların tahakkuk ettirdikleri veya vadeli ithalatta tahsil ettikleri kesintileri izleyen ayın 15’inci günü akşamına kadar yatırması, kesintinin fiili ithalden önce yatırılması ve TCMB döviz alış kurunun esas alınması 6 sayılı Tebliğ ve Karar hükümleridir; istisna dayanağının beyannamenin 44 no.lu hanesine yazılması ise 2014/22 sayılı Genelgede düzenlenmiştir.</w:t>
      </w:r>
    </w:p>
    <w:p>
      <w:pPr>
        <w:pStyle w:val="BodyText"/>
      </w:pPr>
      <w:r>
        <w:rPr>
          <w:bCs/>
          <w:b/>
        </w:rPr>
        <w:t xml:space="preserve">Tuzak:</w:t>
      </w:r>
      <w:r>
        <w:t xml:space="preserve"> </w:t>
      </w:r>
      <w:r>
        <w:t xml:space="preserve">Bankalar için öngörülen</w:t>
      </w:r>
      <w:r>
        <w:t xml:space="preserve"> </w:t>
      </w:r>
      <w:r>
        <w:t xml:space="preserve">‘</w:t>
      </w:r>
      <w:r>
        <w:t xml:space="preserve">izleyen ayın 15’i</w:t>
      </w:r>
      <w:r>
        <w:t xml:space="preserve">’</w:t>
      </w:r>
      <w:r>
        <w:t xml:space="preserve"> </w:t>
      </w:r>
      <w:r>
        <w:t xml:space="preserve">kuralından hareketle gümrük tahsilatlarının da aylık aktarıldığını düşünen aday bozuk ifadeyi doğru kabul eder.</w:t>
      </w:r>
    </w:p>
    <w:p>
      <w:pPr>
        <w:pStyle w:val="BodyText"/>
      </w:pPr>
      <w:r>
        <w:rPr>
          <w:bCs/>
          <w:b/>
        </w:rPr>
        <w:t xml:space="preserve">Dayanak:</w:t>
      </w:r>
      <w:r>
        <w:t xml:space="preserve"> </w:t>
      </w:r>
      <w:r>
        <w:t xml:space="preserve">Kaynak Kullanımını Destekleme Fonu Hakkında Karar (88/12944) md. 3 ve 5; 88/12944 sayılı Kararnameye İlişkin KKDF Hakkında 6 Sayılı Tebliğ; 2014/22 sayılı Genelge</w:t>
      </w:r>
    </w:p>
    <w:bookmarkEnd w:id="22"/>
    <w:bookmarkStart w:id="23" w:name="soru-cevap-e"/>
    <w:p>
      <w:pPr>
        <w:pStyle w:val="Heading4"/>
      </w:pPr>
      <w:r>
        <w:t xml:space="preserve">2. soru — Cevap: E</w:t>
      </w:r>
    </w:p>
    <w:p>
      <w:pPr>
        <w:pStyle w:val="FirstParagraph"/>
      </w:pPr>
      <w:r>
        <w:rPr>
          <w:iCs/>
          <w:i/>
        </w:rPr>
        <w:t xml:space="preserve">SAİR · Damga vergisi, KKDF · O1</w:t>
      </w:r>
    </w:p>
    <w:p>
      <w:pPr>
        <w:pStyle w:val="BodyText"/>
      </w:pPr>
      <w:r>
        <w:rPr>
          <w:bCs/>
          <w:b/>
        </w:rPr>
        <w:t xml:space="preserve">Doğru şık:</w:t>
      </w:r>
      <w:r>
        <w:t xml:space="preserve"> </w:t>
      </w:r>
      <w:r>
        <w:t xml:space="preserve">E) Serbest dolaşıma giriş rejimi kapsamındaki ithalat karşılığı yapılacak ödemeler</w:t>
      </w:r>
    </w:p>
    <w:p>
      <w:pPr>
        <w:pStyle w:val="BodyText"/>
      </w:pPr>
      <w:r>
        <w:t xml:space="preserve">Karara göre ihracatın finansmanında kullanılan krediler (Türk Eximbank’ın fon temini işlemleri dahil), firmaların sağladıkları prefinansmanlar ve geri ödenmesi, dahilde işleme rejimi kapsamındaki ithalat ve yurt içi alımlarla ilgili işlemler ile</w:t>
      </w:r>
      <w:r>
        <w:t xml:space="preserve"> </w:t>
      </w:r>
      <w:r>
        <w:t xml:space="preserve">‘</w:t>
      </w:r>
      <w:r>
        <w:t xml:space="preserve">ihracat</w:t>
      </w:r>
      <w:r>
        <w:t xml:space="preserve">’</w:t>
      </w:r>
      <w:r>
        <w:t xml:space="preserve"> </w:t>
      </w:r>
      <w:r>
        <w:t xml:space="preserve">karşılığı yapılacak her türlü ödemeler ve bunlar sebebiyle düzenlenen kâğıtlar damga vergisinden müstesnadır. Serbest dolaşıma giriş rejimi kapsamındaki ithalat karşılığı yapılan ödemeler bu sayımda yer almaz.</w:t>
      </w:r>
    </w:p>
    <w:p>
      <w:pPr>
        <w:pStyle w:val="BodyText"/>
      </w:pPr>
      <w:r>
        <w:rPr>
          <w:bCs/>
          <w:b/>
        </w:rPr>
        <w:t xml:space="preserve">Tuzak:</w:t>
      </w:r>
      <w:r>
        <w:t xml:space="preserve"> </w:t>
      </w:r>
      <w:r>
        <w:t xml:space="preserve">Kararda geçen</w:t>
      </w:r>
      <w:r>
        <w:t xml:space="preserve"> </w:t>
      </w:r>
      <w:r>
        <w:t xml:space="preserve">‘</w:t>
      </w:r>
      <w:r>
        <w:t xml:space="preserve">ihracat karşılığı yapılacak her türlü ödemeler</w:t>
      </w:r>
      <w:r>
        <w:t xml:space="preserve">’</w:t>
      </w:r>
      <w:r>
        <w:t xml:space="preserve"> </w:t>
      </w:r>
      <w:r>
        <w:t xml:space="preserve">ifadesini dış ticaret ödemelerinin tamamı olarak okuyan aday ithalat ödemelerini de istisna kapsamında sanır.</w:t>
      </w:r>
    </w:p>
    <w:p>
      <w:pPr>
        <w:pStyle w:val="BodyText"/>
      </w:pPr>
      <w:r>
        <w:rPr>
          <w:bCs/>
          <w:b/>
        </w:rPr>
        <w:t xml:space="preserve">Dayanak:</w:t>
      </w:r>
      <w:r>
        <w:t xml:space="preserve"> </w:t>
      </w:r>
      <w:r>
        <w:t xml:space="preserve">İhracat, Transit Ticaret, İhracat Sayılan Satış ve Teslimler ile Döviz Kazandırıcı Hizmet ve Faaliyetlerde Vergi, Resim ve Harç İstisnası Hakkında Karar (99/13812) md. 4</w:t>
      </w:r>
    </w:p>
    <w:bookmarkEnd w:id="23"/>
    <w:bookmarkStart w:id="24" w:name="soru-cevap-a-1"/>
    <w:p>
      <w:pPr>
        <w:pStyle w:val="Heading4"/>
      </w:pPr>
      <w:r>
        <w:t xml:space="preserve">3. soru — Cevap: A</w:t>
      </w:r>
    </w:p>
    <w:p>
      <w:pPr>
        <w:pStyle w:val="FirstParagraph"/>
      </w:pPr>
      <w:r>
        <w:rPr>
          <w:iCs/>
          <w:i/>
        </w:rPr>
        <w:t xml:space="preserve">SAİR · DTÖ, TFA, DGÖ · O1</w:t>
      </w:r>
    </w:p>
    <w:p>
      <w:pPr>
        <w:pStyle w:val="BodyText"/>
      </w:pPr>
      <w:r>
        <w:rPr>
          <w:bCs/>
          <w:b/>
        </w:rPr>
        <w:t xml:space="preserve">Doğru şık:</w:t>
      </w:r>
      <w:r>
        <w:t xml:space="preserve"> </w:t>
      </w:r>
      <w:r>
        <w:t xml:space="preserve">A) Benzer eşyanın ithalatçı ülkeye satışında kabul edilmiş işlem değeri</w:t>
      </w:r>
    </w:p>
    <w:p>
      <w:pPr>
        <w:pStyle w:val="BodyText"/>
      </w:pPr>
      <w:r>
        <w:t xml:space="preserve">Anlaşmanın 7/2 nci maddesi; ithalatçı ülkede üretilen eşyanın o ülkedeki satış fiyatını, iki alternatif kıymetten yükseğinin kabulünü öngören sistemi, ihracatçı ülke iç piyasa fiyatını, 6 ncı madde dışındaki üretim maliyetini, ithalatçı ülke dışındaki bir ülkeye ihracat fiyatını, asgari gümrük kıymetlerini ve keyfi veya hayali kıymetleri esas alınamayacak unsurlar olarak sayar. Aynı ülkede üretilmiş benzer eşyanın ithalatçı ülkeye satışlarındaki işlem değeri ise 3 üncü maddedeki yöntemin dayanağıdır ve son yöntemde de makul esneklikle kullanılabilir.</w:t>
      </w:r>
    </w:p>
    <w:p>
      <w:pPr>
        <w:pStyle w:val="BodyText"/>
      </w:pPr>
      <w:r>
        <w:rPr>
          <w:bCs/>
          <w:b/>
        </w:rPr>
        <w:t xml:space="preserve">Tuzak:</w:t>
      </w:r>
      <w:r>
        <w:t xml:space="preserve"> </w:t>
      </w:r>
      <w:r>
        <w:t xml:space="preserve">Üçüncü ülkeye ihracat fiyatı ile ithalatçı ülkeye yapılan satıştaki işlem değerini ayırt etmeyen aday iki</w:t>
      </w:r>
      <w:r>
        <w:t xml:space="preserve"> </w:t>
      </w:r>
      <w:r>
        <w:t xml:space="preserve">‘</w:t>
      </w:r>
      <w:r>
        <w:t xml:space="preserve">ihracat fiyatı</w:t>
      </w:r>
      <w:r>
        <w:t xml:space="preserve">’</w:t>
      </w:r>
      <w:r>
        <w:t xml:space="preserve"> </w:t>
      </w:r>
      <w:r>
        <w:t xml:space="preserve">şıkkı arasında yanılır.</w:t>
      </w:r>
    </w:p>
    <w:p>
      <w:pPr>
        <w:pStyle w:val="BodyText"/>
      </w:pPr>
      <w:r>
        <w:rPr>
          <w:bCs/>
          <w:b/>
        </w:rPr>
        <w:t xml:space="preserve">Dayanak:</w:t>
      </w:r>
      <w:r>
        <w:t xml:space="preserve"> </w:t>
      </w:r>
      <w:r>
        <w:t xml:space="preserve">DTÖ Gümrük Kıymeti Anlaşması (GATT 1994 VII. Madde Uygulama Anlaşması) md. 3 ve 7/2</w:t>
      </w:r>
    </w:p>
    <w:bookmarkEnd w:id="24"/>
    <w:bookmarkStart w:id="25" w:name="soru-cevap-e-1"/>
    <w:p>
      <w:pPr>
        <w:pStyle w:val="Heading4"/>
      </w:pPr>
      <w:r>
        <w:t xml:space="preserve">4. soru — Cevap: E</w:t>
      </w:r>
    </w:p>
    <w:p>
      <w:pPr>
        <w:pStyle w:val="FirstParagraph"/>
      </w:pPr>
      <w:r>
        <w:rPr>
          <w:iCs/>
          <w:i/>
        </w:rPr>
        <w:t xml:space="preserve">SAİR · DTÖ, TFA, DGÖ · G1</w:t>
      </w:r>
    </w:p>
    <w:p>
      <w:pPr>
        <w:pStyle w:val="BodyText"/>
      </w:pPr>
      <w:r>
        <w:rPr>
          <w:bCs/>
          <w:b/>
        </w:rPr>
        <w:t xml:space="preserve">Doğru şık:</w:t>
      </w:r>
      <w:r>
        <w:t xml:space="preserve"> </w:t>
      </w:r>
      <w:r>
        <w:t xml:space="preserve">E) Kıymetin kesin tespiti ertelendiğinde ithalatçı, gerektiğinde yeterli teminat vererek eşyasını gümrükten çekebilir.</w:t>
      </w:r>
    </w:p>
    <w:p>
      <w:pPr>
        <w:pStyle w:val="BodyText"/>
      </w:pPr>
      <w:r>
        <w:t xml:space="preserve">Anlaşmanın 13 üncü maddesine göre ithal eşyasının gümrük kıymetinin kesin olarak belirlenmesinin ertelenmesi gerektiğinde ithalatçı, gerektiğinde gümrük vergilerinin nihai ödenmesini karşılayacak kefalet, depozito veya başka uygun bir araç şeklinde yeterli teminat vermek şartıyla eşyasını gümrükten çekebilir. İthalatçının talebi halinde indirgeme ve hesaplanmış kıymet yöntemlerinin sırası değiştirilebilir (md. 4); aynı ve benzer eşya, kıymeti belirlenen eşya ile aynı ülkede üretilmiş olmalıdır (md. 15/2); ithalatçı yazılı talebi üzerine kıymetin nasıl belirlendiğine dair yazılı açıklama alır (md. 16); itiraz hakkı cezaya maruz kalmaksızın kullanılır (md. 11).</w:t>
      </w:r>
    </w:p>
    <w:p>
      <w:pPr>
        <w:pStyle w:val="BodyText"/>
      </w:pPr>
      <w:r>
        <w:rPr>
          <w:bCs/>
          <w:b/>
        </w:rPr>
        <w:t xml:space="preserve">Tuzak:</w:t>
      </w:r>
      <w:r>
        <w:t xml:space="preserve"> </w:t>
      </w:r>
      <w:r>
        <w:t xml:space="preserve">Kıymet kesinleşmeden eşyanın gümrükten çekilemeyeceğini sanan aday doğru cümleyi eler; yöntem sırasının katı olduğunu bilip 4 üncü maddedeki istisnayı bilmeyen aday sıra değişikliğine ilişkin cümleye kayar.</w:t>
      </w:r>
    </w:p>
    <w:p>
      <w:pPr>
        <w:pStyle w:val="BodyText"/>
      </w:pPr>
      <w:r>
        <w:rPr>
          <w:bCs/>
          <w:b/>
        </w:rPr>
        <w:t xml:space="preserve">Dayanak:</w:t>
      </w:r>
      <w:r>
        <w:t xml:space="preserve"> </w:t>
      </w:r>
      <w:r>
        <w:t xml:space="preserve">DTÖ Gümrük Kıymeti Anlaşması md. 4, 11, 13, 15/2, 16</w:t>
      </w:r>
    </w:p>
    <w:bookmarkEnd w:id="25"/>
    <w:bookmarkStart w:id="26" w:name="soru-cevap-a-2"/>
    <w:p>
      <w:pPr>
        <w:pStyle w:val="Heading4"/>
      </w:pPr>
      <w:r>
        <w:t xml:space="preserve">5. soru — Cevap: A</w:t>
      </w:r>
    </w:p>
    <w:p>
      <w:pPr>
        <w:pStyle w:val="FirstParagraph"/>
      </w:pPr>
      <w:r>
        <w:rPr>
          <w:iCs/>
          <w:i/>
        </w:rPr>
        <w:t xml:space="preserve">SAİR · ÖTV · E1</w:t>
      </w:r>
    </w:p>
    <w:p>
      <w:pPr>
        <w:pStyle w:val="BodyText"/>
      </w:pPr>
      <w:r>
        <w:rPr>
          <w:bCs/>
          <w:b/>
        </w:rPr>
        <w:t xml:space="preserve">Doğru şık:</w:t>
      </w:r>
      <w:r>
        <w:t xml:space="preserve"> </w:t>
      </w:r>
      <w:r>
        <w:t xml:space="preserve">A) Gümrüksüz satış mağazalarında satılmak üzere bu mağazalara veya depolarına teslim istisnası – (II), (III) ve (IV) sayılı listelerdeki mallar</w:t>
      </w:r>
    </w:p>
    <w:p>
      <w:pPr>
        <w:pStyle w:val="BodyText"/>
      </w:pPr>
      <w:r>
        <w:t xml:space="preserve">ÖTV Kanununa göre gümrüksüz satış mağazalarında satılmak üzere bu mağazalara veya depolarına teslim istisnası yalnızca (III) ve (IV) sayılı listelerdeki mallar için uygulanır; (II) sayılı listedeki taşıtlar bu istisnadan yararlanamaz. Diplomatik istisna (I), (II) ve (III) sayılı listeler için; kamu idarelerine bedelsiz teslim ve 93.03 pozisyonundaki silahlara ilişkin istisnalar (IV) sayılı liste için; petrol arama ve istihsal faaliyetlerine teslim istisnası ise (I) sayılı liste için öngörülmüştür.</w:t>
      </w:r>
    </w:p>
    <w:p>
      <w:pPr>
        <w:pStyle w:val="BodyText"/>
      </w:pPr>
      <w:r>
        <w:rPr>
          <w:bCs/>
          <w:b/>
        </w:rPr>
        <w:t xml:space="preserve">Tuzak:</w:t>
      </w:r>
      <w:r>
        <w:t xml:space="preserve"> </w:t>
      </w:r>
      <w:r>
        <w:t xml:space="preserve">KDV’deki gümrüksüz satış mağazası teslimlerini ihracat sayma kuralını ÖTV’ye genelleyen aday (II) sayılı listeyi de kapsama dahil eder.</w:t>
      </w:r>
    </w:p>
    <w:p>
      <w:pPr>
        <w:pStyle w:val="BodyText"/>
      </w:pPr>
      <w:r>
        <w:rPr>
          <w:bCs/>
          <w:b/>
        </w:rPr>
        <w:t xml:space="preserve">Dayanak:</w:t>
      </w:r>
      <w:r>
        <w:t xml:space="preserve"> </w:t>
      </w:r>
      <w:r>
        <w:t xml:space="preserve">4760 sayılı Özel Tüketim Vergisi Kanunu md. 5/2, 6, 7/1-b, 7/4, 7/5</w:t>
      </w:r>
    </w:p>
    <w:bookmarkEnd w:id="26"/>
    <w:bookmarkStart w:id="27" w:name="soru-cevap-c"/>
    <w:p>
      <w:pPr>
        <w:pStyle w:val="Heading4"/>
      </w:pPr>
      <w:r>
        <w:t xml:space="preserve">6. soru — Cevap: C</w:t>
      </w:r>
    </w:p>
    <w:p>
      <w:pPr>
        <w:pStyle w:val="FirstParagraph"/>
      </w:pPr>
      <w:r>
        <w:rPr>
          <w:iCs/>
          <w:i/>
        </w:rPr>
        <w:t xml:space="preserve">SAİR · ÖTV · D5</w:t>
      </w:r>
    </w:p>
    <w:p>
      <w:pPr>
        <w:pStyle w:val="BodyText"/>
      </w:pPr>
      <w:r>
        <w:rPr>
          <w:bCs/>
          <w:b/>
        </w:rPr>
        <w:t xml:space="preserve">Doğru şık:</w:t>
      </w:r>
      <w:r>
        <w:t xml:space="preserve"> </w:t>
      </w:r>
      <w:r>
        <w:t xml:space="preserve">C) (III) sayılı listenin (A) cetveli</w:t>
      </w:r>
    </w:p>
    <w:p>
      <w:pPr>
        <w:numPr>
          <w:ilvl w:val="0"/>
          <w:numId w:val="1001"/>
        </w:numPr>
        <w:pStyle w:val="Compact"/>
      </w:pPr>
      <w:r>
        <w:t xml:space="preserve">sayılı listenin (A) cetvelinde alkollü içkiler, gazozlar ve alkolsüz biraların yanı sıra 20.09 ve 22.02 G.T.İ.P. numaralarında sınıflandırılan, ambalajlanmış ve/veya toptan teslime konu edilen meyve nektarları, limonatalar, enerji ve sporcu içecekleri, soğuk çay ve soğuk kahve gibi içecekler yer alır. (III) sayılı listenin (B) cetveli tütün mamulleri ve makaronu, (IV) sayılı liste ise havyar, kozmetik, beyaz eşya gibi diğer malları kapsar.</w:t>
      </w:r>
    </w:p>
    <w:p>
      <w:pPr>
        <w:pStyle w:val="FirstParagraph"/>
      </w:pPr>
      <w:r>
        <w:rPr>
          <w:bCs/>
          <w:b/>
        </w:rPr>
        <w:t xml:space="preserve">Tuzak:</w:t>
      </w:r>
      <w:r>
        <w:t xml:space="preserve"> </w:t>
      </w:r>
      <w:r>
        <w:t xml:space="preserve">Kahveyi lüks tüketim malı gibi düşünüp (IV) sayılı listeye ya da</w:t>
      </w:r>
      <w:r>
        <w:t xml:space="preserve"> </w:t>
      </w:r>
      <w:r>
        <w:t xml:space="preserve">‘</w:t>
      </w:r>
      <w:r>
        <w:t xml:space="preserve">tütün ve keyif ürünü</w:t>
      </w:r>
      <w:r>
        <w:t xml:space="preserve">’</w:t>
      </w:r>
      <w:r>
        <w:t xml:space="preserve"> </w:t>
      </w:r>
      <w:r>
        <w:t xml:space="preserve">çağrışımıyla (III)(B) cetveline yerleştiren aday yanılır.</w:t>
      </w:r>
    </w:p>
    <w:p>
      <w:pPr>
        <w:pStyle w:val="BodyText"/>
      </w:pPr>
      <w:r>
        <w:rPr>
          <w:bCs/>
          <w:b/>
        </w:rPr>
        <w:t xml:space="preserve">Dayanak:</w:t>
      </w:r>
      <w:r>
        <w:t xml:space="preserve"> </w:t>
      </w:r>
      <w:r>
        <w:t xml:space="preserve">4760 sayılı Özel Tüketim Vergisi Kanunu eki (III) sayılı liste (A) cetveli; ÖTV (III) Sayılı Liste Uygulama Genel Tebliği I/A-2</w:t>
      </w:r>
    </w:p>
    <w:bookmarkEnd w:id="27"/>
    <w:bookmarkStart w:id="28" w:name="soru-cevap-e-2"/>
    <w:p>
      <w:pPr>
        <w:pStyle w:val="Heading4"/>
      </w:pPr>
      <w:r>
        <w:t xml:space="preserve">7. soru — Cevap: E</w:t>
      </w:r>
    </w:p>
    <w:p>
      <w:pPr>
        <w:pStyle w:val="FirstParagraph"/>
      </w:pPr>
      <w:r>
        <w:rPr>
          <w:iCs/>
          <w:i/>
        </w:rPr>
        <w:t xml:space="preserve">SAİR · KDV · D3</w:t>
      </w:r>
    </w:p>
    <w:p>
      <w:pPr>
        <w:pStyle w:val="BodyText"/>
      </w:pPr>
      <w:r>
        <w:rPr>
          <w:bCs/>
          <w:b/>
        </w:rPr>
        <w:t xml:space="preserve">Doğru şık:</w:t>
      </w:r>
      <w:r>
        <w:t xml:space="preserve"> </w:t>
      </w:r>
      <w:r>
        <w:t xml:space="preserve">E) Gümrük antrepo rejimi</w:t>
      </w:r>
    </w:p>
    <w:p>
      <w:pPr>
        <w:pStyle w:val="BodyText"/>
      </w:pPr>
      <w:r>
        <w:t xml:space="preserve">KDV Kanununun 16 ncı maddesine göre Gümrük Kanunundaki transit ve gümrük antrepo rejimleri ile geçici depolama ve serbest bölge hükümlerinin uygulandığı mallar vergiden müstesnadır. Dahilde işleme ve gümrük kontrolü altında işleme rejimleri bu sayımda yer almaz (ÖTV Kanununda ise sayılmıştır); serbest dolaşıma giriş ve nihai kullanım ise vergiye tabi ithalatın kendisidir.</w:t>
      </w:r>
    </w:p>
    <w:p>
      <w:pPr>
        <w:pStyle w:val="BodyText"/>
      </w:pPr>
      <w:r>
        <w:rPr>
          <w:bCs/>
          <w:b/>
        </w:rPr>
        <w:t xml:space="preserve">Tuzak:</w:t>
      </w:r>
      <w:r>
        <w:t xml:space="preserve"> </w:t>
      </w:r>
      <w:r>
        <w:t xml:space="preserve">ÖTV Kanunundaki daha geniş rejim sayımını (dahilde işleme ve gümrük kontrolü altında işleme dahil) KDV’ye taşıyan aday dahilde işleme rejimini seçer.</w:t>
      </w:r>
    </w:p>
    <w:p>
      <w:pPr>
        <w:pStyle w:val="BodyText"/>
      </w:pPr>
      <w:r>
        <w:rPr>
          <w:bCs/>
          <w:b/>
        </w:rPr>
        <w:t xml:space="preserve">Dayanak:</w:t>
      </w:r>
      <w:r>
        <w:t xml:space="preserve"> </w:t>
      </w:r>
      <w:r>
        <w:t xml:space="preserve">3065 sayılı Katma Değer Vergisi Kanunu md. 16/1-c</w:t>
      </w:r>
    </w:p>
    <w:bookmarkEnd w:id="28"/>
    <w:bookmarkStart w:id="29" w:name="soru-cevap-a-3"/>
    <w:p>
      <w:pPr>
        <w:pStyle w:val="Heading4"/>
      </w:pPr>
      <w:r>
        <w:t xml:space="preserve">8. soru — Cevap: A</w:t>
      </w:r>
    </w:p>
    <w:p>
      <w:pPr>
        <w:pStyle w:val="FirstParagraph"/>
      </w:pPr>
      <w:r>
        <w:rPr>
          <w:iCs/>
          <w:i/>
        </w:rPr>
        <w:t xml:space="preserve">SAİR · Incoterms, ödeme şekilleri · E1</w:t>
      </w:r>
    </w:p>
    <w:p>
      <w:pPr>
        <w:pStyle w:val="BodyText"/>
      </w:pPr>
      <w:r>
        <w:rPr>
          <w:bCs/>
          <w:b/>
        </w:rPr>
        <w:t xml:space="preserve">Doğru şık:</w:t>
      </w:r>
      <w:r>
        <w:t xml:space="preserve"> </w:t>
      </w:r>
      <w:r>
        <w:t xml:space="preserve">A) CIF – Malların belirlenen varma limanında gemiden boşaltılarak alıcının tasarrufuna bırakılması</w:t>
      </w:r>
    </w:p>
    <w:p>
      <w:pPr>
        <w:pStyle w:val="BodyText"/>
      </w:pPr>
      <w:r>
        <w:t xml:space="preserve">CIF kuralında satıcı varma limanına kadar navlunu öder ve sigorta yaptırır; ancak ziya ve hasar riski mallar yükleme limanında gemide teslim edildiğinde alıcıya geçer. Masrafın satıcıda kaldığı nokta ile riskin alıcıya geçtiği noktanın farklı olması C grubu kuralların temel özelliğidir. FOB, FAS, CPT ve DAP için verilen anlar kural tanımlarıyla uyumludur.</w:t>
      </w:r>
    </w:p>
    <w:p>
      <w:pPr>
        <w:pStyle w:val="BodyText"/>
      </w:pPr>
      <w:r>
        <w:rPr>
          <w:bCs/>
          <w:b/>
        </w:rPr>
        <w:t xml:space="preserve">Tuzak:</w:t>
      </w:r>
      <w:r>
        <w:t xml:space="preserve"> </w:t>
      </w:r>
      <w:r>
        <w:t xml:space="preserve">Satıcının navlun ve sigortayı varma limanına kadar üstlenmesinden riskin de varma limanında geçtiği sonucunu çıkaran aday CIF eşleşmesini doğru sanır.</w:t>
      </w:r>
    </w:p>
    <w:p>
      <w:pPr>
        <w:pStyle w:val="BodyText"/>
      </w:pPr>
      <w:r>
        <w:rPr>
          <w:bCs/>
          <w:b/>
        </w:rPr>
        <w:t xml:space="preserve">Dayanak:</w:t>
      </w:r>
      <w:r>
        <w:t xml:space="preserve"> </w:t>
      </w:r>
      <w:r>
        <w:t xml:space="preserve">INCOTERMS 2020 (ICC) – FOB, FAS, CPT, DAP ve CIF kuralları</w:t>
      </w:r>
    </w:p>
    <w:bookmarkEnd w:id="29"/>
    <w:bookmarkStart w:id="30" w:name="soru-cevap-e-3"/>
    <w:p>
      <w:pPr>
        <w:pStyle w:val="Heading4"/>
      </w:pPr>
      <w:r>
        <w:t xml:space="preserve">9. soru — Cevap: E</w:t>
      </w:r>
    </w:p>
    <w:p>
      <w:pPr>
        <w:pStyle w:val="FirstParagraph"/>
      </w:pPr>
      <w:r>
        <w:rPr>
          <w:iCs/>
          <w:i/>
        </w:rPr>
        <w:t xml:space="preserve">SAİR · Incoterms, ödeme şekilleri · O1</w:t>
      </w:r>
    </w:p>
    <w:p>
      <w:pPr>
        <w:pStyle w:val="BodyText"/>
      </w:pPr>
      <w:r>
        <w:rPr>
          <w:bCs/>
          <w:b/>
        </w:rPr>
        <w:t xml:space="preserve">Doğru şık:</w:t>
      </w:r>
      <w:r>
        <w:t xml:space="preserve"> </w:t>
      </w:r>
      <w:r>
        <w:t xml:space="preserve">E) EXW (İşyerinde Teslim)</w:t>
      </w:r>
    </w:p>
    <w:p>
      <w:pPr>
        <w:pStyle w:val="BodyText"/>
      </w:pPr>
      <w:r>
        <w:t xml:space="preserve">EXW kuralında satıcı malları kendi işyerinde veya belirlenen başka bir yerde alıcının tasarrufuna bırakır; malları bir taşıma aracına yüklemek ya da ihracat gümrükleme işlemlerini yerine getirmek zorunda değildir. FCA, FAS, CPT ve DPU kuralları satıcının malları ihracat için gümrüklemesini gerektirir; bu kurallarda ithalat gümrüklemesi alıcıya aittir.</w:t>
      </w:r>
    </w:p>
    <w:p>
      <w:pPr>
        <w:pStyle w:val="BodyText"/>
      </w:pPr>
      <w:r>
        <w:rPr>
          <w:bCs/>
          <w:b/>
        </w:rPr>
        <w:t xml:space="preserve">Tuzak:</w:t>
      </w:r>
      <w:r>
        <w:t xml:space="preserve"> </w:t>
      </w:r>
      <w:r>
        <w:t xml:space="preserve">FAS’ta satıcının yükümlülüğünün gemi doğrultusunda sona ermesinden (ve eski Incoterms uygulamasından) hareketle ihracat gümrüklemesinin de alıcıda olduğunu düşünen aday FAS’ı işaretler.</w:t>
      </w:r>
    </w:p>
    <w:p>
      <w:pPr>
        <w:pStyle w:val="BodyText"/>
      </w:pPr>
      <w:r>
        <w:rPr>
          <w:bCs/>
          <w:b/>
        </w:rPr>
        <w:t xml:space="preserve">Dayanak:</w:t>
      </w:r>
      <w:r>
        <w:t xml:space="preserve"> </w:t>
      </w:r>
      <w:r>
        <w:t xml:space="preserve">INCOTERMS 2020 (ICC) – EXW, FCA, FAS, CPT, DPU kuralları (gümrükleme yükümlülükleri)</w:t>
      </w:r>
    </w:p>
    <w:bookmarkEnd w:id="30"/>
    <w:bookmarkStart w:id="31" w:name="soru-cevap-a-4"/>
    <w:p>
      <w:pPr>
        <w:pStyle w:val="Heading4"/>
      </w:pPr>
      <w:r>
        <w:t xml:space="preserve">10. soru — Cevap: A</w:t>
      </w:r>
    </w:p>
    <w:p>
      <w:pPr>
        <w:pStyle w:val="FirstParagraph"/>
      </w:pPr>
      <w:r>
        <w:rPr>
          <w:iCs/>
          <w:i/>
        </w:rPr>
        <w:t xml:space="preserve">SAİR · Kambiyo · B1</w:t>
      </w:r>
    </w:p>
    <w:p>
      <w:pPr>
        <w:pStyle w:val="BodyText"/>
      </w:pPr>
      <w:r>
        <w:rPr>
          <w:bCs/>
          <w:b/>
        </w:rPr>
        <w:t xml:space="preserve">Doğru şık:</w:t>
      </w:r>
      <w:r>
        <w:t xml:space="preserve"> </w:t>
      </w:r>
      <w:r>
        <w:t xml:space="preserve">A) üç iş günü / Borsa İstanbul A.Ş.’ye</w:t>
      </w:r>
    </w:p>
    <w:p>
      <w:pPr>
        <w:pStyle w:val="BodyText"/>
      </w:pPr>
      <w:r>
        <w:t xml:space="preserve">32 Sayılı Karara göre kıymetli madenler aracı kuruluşları ithal ettikleri standart ve standart dışı işlenmemiş kıymetli madenleri üç iş günü içinde Borsa İstanbul A.Ş.’ye teslim etmek zorundadır. Darphane ayar raporu düzenleyen kurumdur; TCMB ise ithalatı yapabilen kurumdur, teslim mercii değildir. Beş iş günü ve on gün sürelerinin Kararın bu hükmünde karşılığı yoktur.</w:t>
      </w:r>
    </w:p>
    <w:p>
      <w:pPr>
        <w:pStyle w:val="BodyText"/>
      </w:pPr>
      <w:r>
        <w:rPr>
          <w:bCs/>
          <w:b/>
        </w:rPr>
        <w:t xml:space="preserve">Tuzak:</w:t>
      </w:r>
      <w:r>
        <w:t xml:space="preserve"> </w:t>
      </w:r>
      <w:r>
        <w:t xml:space="preserve">Dahilde işleme rejimi kapsamındaki ithalatta teslim şartı bulunmayıp yalnız üç iş günü içinde Borsaya bilgi verildiğini hatırlayan ancak kurumu karıştıran aday Darphane veya TCMB’li şıkka kayar.</w:t>
      </w:r>
    </w:p>
    <w:p>
      <w:pPr>
        <w:pStyle w:val="BodyText"/>
      </w:pPr>
      <w:r>
        <w:rPr>
          <w:bCs/>
          <w:b/>
        </w:rPr>
        <w:t xml:space="preserve">Dayanak:</w:t>
      </w:r>
      <w:r>
        <w:t xml:space="preserve"> </w:t>
      </w:r>
      <w:r>
        <w:t xml:space="preserve">Türk Parası Kıymetini Koruma Hakkında 32 Sayılı Karar md. 7/2-b</w:t>
      </w:r>
    </w:p>
    <w:bookmarkEnd w:id="31"/>
    <w:bookmarkStart w:id="32" w:name="soru-cevap-a-5"/>
    <w:p>
      <w:pPr>
        <w:pStyle w:val="Heading4"/>
      </w:pPr>
      <w:r>
        <w:t xml:space="preserve">11. soru — Cevap: A</w:t>
      </w:r>
    </w:p>
    <w:p>
      <w:pPr>
        <w:pStyle w:val="FirstParagraph"/>
      </w:pPr>
      <w:r>
        <w:rPr>
          <w:iCs/>
          <w:i/>
        </w:rPr>
        <w:t xml:space="preserve">SAİR · Kambiyo · O1</w:t>
      </w:r>
    </w:p>
    <w:p>
      <w:pPr>
        <w:pStyle w:val="BodyText"/>
      </w:pPr>
      <w:r>
        <w:rPr>
          <w:bCs/>
          <w:b/>
        </w:rPr>
        <w:t xml:space="preserve">Doğru şık:</w:t>
      </w:r>
      <w:r>
        <w:t xml:space="preserve"> </w:t>
      </w:r>
      <w:r>
        <w:t xml:space="preserve">A) Rodyum</w:t>
      </w:r>
    </w:p>
    <w:p>
      <w:pPr>
        <w:pStyle w:val="BodyText"/>
      </w:pPr>
      <w:r>
        <w:t xml:space="preserve">32 Sayılı Karar kıymetli madenleri</w:t>
      </w:r>
      <w:r>
        <w:t xml:space="preserve"> </w:t>
      </w:r>
      <w:r>
        <w:t xml:space="preserve">‘</w:t>
      </w:r>
      <w:r>
        <w:t xml:space="preserve">her tür ve şekilde altın, gümüş, platin ve paladyum</w:t>
      </w:r>
      <w:r>
        <w:t xml:space="preserve">’</w:t>
      </w:r>
      <w:r>
        <w:t xml:space="preserve"> </w:t>
      </w:r>
      <w:r>
        <w:t xml:space="preserve">olarak tanımlar. Rodyum, Türk Gümrük Tarife Cetvelinin 71 inci fasıl notunda</w:t>
      </w:r>
      <w:r>
        <w:t xml:space="preserve"> </w:t>
      </w:r>
      <w:r>
        <w:t xml:space="preserve">‘</w:t>
      </w:r>
      <w:r>
        <w:t xml:space="preserve">platin</w:t>
      </w:r>
      <w:r>
        <w:t xml:space="preserve">’</w:t>
      </w:r>
      <w:r>
        <w:t xml:space="preserve"> </w:t>
      </w:r>
      <w:r>
        <w:t xml:space="preserve">tabirine dahil edilen metallerden biri olmakla birlikte Kararın kıymetli maden tanımında yer almaz.</w:t>
      </w:r>
    </w:p>
    <w:p>
      <w:pPr>
        <w:pStyle w:val="BodyText"/>
      </w:pPr>
      <w:r>
        <w:rPr>
          <w:bCs/>
          <w:b/>
        </w:rPr>
        <w:t xml:space="preserve">Tuzak:</w:t>
      </w:r>
      <w:r>
        <w:t xml:space="preserve"> </w:t>
      </w:r>
      <w:r>
        <w:t xml:space="preserve">Tarife cetvelindeki platin grubu metallerini (iridyum, osmiyum, rodyum, rutenyum) kambiyo mevzuatındaki tanıma taşıyan aday rodyumu da kıymetli maden sayar.</w:t>
      </w:r>
    </w:p>
    <w:p>
      <w:pPr>
        <w:pStyle w:val="BodyText"/>
      </w:pPr>
      <w:r>
        <w:rPr>
          <w:bCs/>
          <w:b/>
        </w:rPr>
        <w:t xml:space="preserve">Dayanak:</w:t>
      </w:r>
      <w:r>
        <w:t xml:space="preserve"> </w:t>
      </w:r>
      <w:r>
        <w:t xml:space="preserve">Türk Parası Kıymetini Koruma Hakkında 32 Sayılı Karar md. 2 (tanımlar)</w:t>
      </w:r>
    </w:p>
    <w:bookmarkEnd w:id="32"/>
    <w:bookmarkStart w:id="33" w:name="soru-cevap-b"/>
    <w:p>
      <w:pPr>
        <w:pStyle w:val="Heading4"/>
      </w:pPr>
      <w:r>
        <w:t xml:space="preserve">12. soru — Cevap: B</w:t>
      </w:r>
    </w:p>
    <w:p>
      <w:pPr>
        <w:pStyle w:val="FirstParagraph"/>
      </w:pPr>
      <w:r>
        <w:rPr>
          <w:iCs/>
          <w:i/>
        </w:rPr>
        <w:t xml:space="preserve">SAİR · Kambiyo · Ö1</w:t>
      </w:r>
    </w:p>
    <w:p>
      <w:pPr>
        <w:pStyle w:val="BodyText"/>
      </w:pPr>
      <w:r>
        <w:rPr>
          <w:bCs/>
          <w:b/>
        </w:rPr>
        <w:t xml:space="preserve">Doğru şık:</w:t>
      </w:r>
      <w:r>
        <w:t xml:space="preserve"> </w:t>
      </w:r>
      <w:r>
        <w:t xml:space="preserve">B) I ve III</w:t>
      </w:r>
    </w:p>
    <w:p>
      <w:pPr>
        <w:pStyle w:val="BodyText"/>
      </w:pPr>
      <w:r>
        <w:t xml:space="preserve">Genelgeye göre nakil vasıtalarının sürücü ve yardımcıları yolcu olarak kabul edilir ve beyan edilen veya açıklanan nakdin fiziki tespiti kamera önünde sayılarak yapılır; I ve III doğrudur. Dış hatlardan gelip iç hatlara transfer olan yolcu kabin bagajındaki nakdi ilk indiği havalimanında beyan eder (son havalimanı, nakdin uçak altı bagajında olduğu hâl içindir). Form veya tutanakta değişiklik ya da iptal başvuruları en geç otuz gün içinde yapılır ve gümrük idaresince on beş gün içinde karara bağlanır.</w:t>
      </w:r>
    </w:p>
    <w:p>
      <w:pPr>
        <w:pStyle w:val="BodyText"/>
      </w:pPr>
      <w:r>
        <w:rPr>
          <w:bCs/>
          <w:b/>
        </w:rPr>
        <w:t xml:space="preserve">Tuzak:</w:t>
      </w:r>
      <w:r>
        <w:t xml:space="preserve"> </w:t>
      </w:r>
      <w:r>
        <w:t xml:space="preserve">Kabin bagajı ile uçak altı bagajı için öngörülen farklı beyan yerlerini karıştıran aday II’yi doğru sanır.</w:t>
      </w:r>
    </w:p>
    <w:p>
      <w:pPr>
        <w:pStyle w:val="BodyText"/>
      </w:pPr>
      <w:r>
        <w:rPr>
          <w:bCs/>
          <w:b/>
        </w:rPr>
        <w:t xml:space="preserve">Dayanak:</w:t>
      </w:r>
      <w:r>
        <w:t xml:space="preserve"> </w:t>
      </w:r>
      <w:r>
        <w:t xml:space="preserve">Nakit Kontrolleri Genelgesi (2024/1) md. 2.2, 2.10, 4.1 ve 4.2</w:t>
      </w:r>
    </w:p>
    <w:bookmarkEnd w:id="33"/>
    <w:bookmarkStart w:id="34" w:name="soru-cevap-d"/>
    <w:p>
      <w:pPr>
        <w:pStyle w:val="Heading4"/>
      </w:pPr>
      <w:r>
        <w:t xml:space="preserve">13. soru — Cevap: D</w:t>
      </w:r>
    </w:p>
    <w:p>
      <w:pPr>
        <w:pStyle w:val="FirstParagraph"/>
      </w:pPr>
      <w:r>
        <w:rPr>
          <w:iCs/>
          <w:i/>
        </w:rPr>
        <w:t xml:space="preserve">HESAP · Hesap · H3</w:t>
      </w:r>
    </w:p>
    <w:p>
      <w:pPr>
        <w:pStyle w:val="BodyText"/>
      </w:pPr>
      <w:r>
        <w:rPr>
          <w:bCs/>
          <w:b/>
        </w:rPr>
        <w:t xml:space="preserve">Doğru şık:</w:t>
      </w:r>
      <w:r>
        <w:t xml:space="preserve"> </w:t>
      </w:r>
      <w:r>
        <w:t xml:space="preserve">D) 168.000</w:t>
      </w:r>
    </w:p>
    <w:p>
      <w:pPr>
        <w:pStyle w:val="BodyText"/>
      </w:pPr>
      <w:r>
        <w:t xml:space="preserve">Çözüm: Gümrük kıymeti = 12.500 × 40 = 500.000 TL | GV = 500.000 × %10 = 50.000 | İGV (kıymet üzerinden) = 500.000 × %30 = 150.000 | (IV) sayılı listede ÖTV matrahı, hesaplanacak ÖTV hariç KDV matrahını oluşturan unsurlardır: 500.000 + 50.000 + 150.000 = 700.000 → ÖTV = 140.000 | KDV matrahı = 700.000 + 140.000 = 840.000 → KDV = 168.000. Beyannamenin tescilinden sonra yapılan yurt içi taşıma gideri KDV matrahına girmez; KDVK md. 21/c yalnız tescil tarihine kadar yapılan giderleri kapsar. Şık türetimleri: 168.000 → doğru tutar. 132.000 → İGV hesaba katılmamış (ÖTV matrahı 550.000, ÖTV 110.000, KDV matrahı 660.000). 140.000 → ÖTV, KDV matrahına eklenmemiş (700.000 × %20). 160.000 → ÖTV yalnız gümrük kıymeti üzerinden hesaplanmış (ÖTV 100.000, KDV matrahı 800.000). 173.000 → tescil sonrası taşıma gideri (25.000) KDV matrahına eklenmiş (865.000 × %20).</w:t>
      </w:r>
    </w:p>
    <w:p>
      <w:pPr>
        <w:pStyle w:val="BodyText"/>
      </w:pPr>
      <w:r>
        <w:rPr>
          <w:bCs/>
          <w:b/>
        </w:rPr>
        <w:t xml:space="preserve">Tuzak:</w:t>
      </w:r>
      <w:r>
        <w:t xml:space="preserve"> </w:t>
      </w:r>
      <w:r>
        <w:t xml:space="preserve">ÖTV’yi KDV matrahına katmayan aday 140.000’e, tescilden sonraki yurt içi taşıma giderini matraha ekleyen aday 173.000’e kayar.</w:t>
      </w:r>
    </w:p>
    <w:p>
      <w:pPr>
        <w:pStyle w:val="BodyText"/>
      </w:pPr>
      <w:r>
        <w:rPr>
          <w:bCs/>
          <w:b/>
        </w:rPr>
        <w:t xml:space="preserve">Dayanak:</w:t>
      </w:r>
      <w:r>
        <w:t xml:space="preserve"> </w:t>
      </w:r>
      <w:r>
        <w:t xml:space="preserve">3065 sayılı KDV Kanunu md. 21; 4760 sayılı ÖTV Kanunu md. 11/3; ÖTV (IV) Sayılı Liste Uygulama Genel Tebliği III/A-2 (İthalatta Matrah); İthalatta İlave Gümrük Vergisi Uygulanmasına İlişkin Karar md. 2/5</w:t>
      </w:r>
    </w:p>
    <w:bookmarkEnd w:id="34"/>
    <w:bookmarkStart w:id="35" w:name="soru-cevap-c-1"/>
    <w:p>
      <w:pPr>
        <w:pStyle w:val="Heading4"/>
      </w:pPr>
      <w:r>
        <w:t xml:space="preserve">14. soru — Cevap: C</w:t>
      </w:r>
    </w:p>
    <w:p>
      <w:pPr>
        <w:pStyle w:val="FirstParagraph"/>
      </w:pPr>
      <w:r>
        <w:rPr>
          <w:iCs/>
          <w:i/>
        </w:rPr>
        <w:t xml:space="preserve">HESAP · Hesap · H3</w:t>
      </w:r>
    </w:p>
    <w:p>
      <w:pPr>
        <w:pStyle w:val="BodyText"/>
      </w:pPr>
      <w:r>
        <w:rPr>
          <w:bCs/>
          <w:b/>
        </w:rPr>
        <w:t xml:space="preserve">Doğru şık:</w:t>
      </w:r>
      <w:r>
        <w:t xml:space="preserve"> </w:t>
      </w:r>
      <w:r>
        <w:t xml:space="preserve">C) 2.085</w:t>
      </w:r>
    </w:p>
    <w:p>
      <w:pPr>
        <w:pStyle w:val="BodyText"/>
      </w:pPr>
      <w:r>
        <w:t xml:space="preserve">Çözüm: MIN ve MAX sınırları her kalem için adet başına ayrı ayrı uygulanır. 1. kalem: 150 × 40 = 6.000 Avro; %6 = 360 (adet başına 2,40) → üst sınır 150 × 1,5 = 225 aşıldığından 225 | 2. kalem: 3.000 × 2 = 6.000; %6 = 360 (adet başına 0,12) → alt sınır 3.000 × 0,5 = 1.500’ün altında kaldığından 1.500 | 3. kalem: 400 × 15 = 6.000; %6 = 360 (adet başına 0,90; alt sınır 200 ile üst sınır 600 arasında) → 360 | Toplam = 2.085 Avro. Şık türetimleri: 2.085 → doğru tutar. 1.080 → sınırlar dikkate alınmadan üç kaleme düz %6 uygulanmış. 1.775 → beyanname tek bir bütün sayılmış; toplam %6 (1.080) toplam 3.550 adetin alt sınırının (1.775) altında kaldığından tümüne alt sınır uygulanmış. 2.220 → üst sınır dikkate alınmamış (360 + 1.500 + 360). 5.325 → tüm adetlere üst sınır uygulanmış (3.550 × 1,5).</w:t>
      </w:r>
    </w:p>
    <w:p>
      <w:pPr>
        <w:pStyle w:val="BodyText"/>
      </w:pPr>
      <w:r>
        <w:rPr>
          <w:bCs/>
          <w:b/>
        </w:rPr>
        <w:t xml:space="preserve">Tuzak:</w:t>
      </w:r>
      <w:r>
        <w:t xml:space="preserve"> </w:t>
      </w:r>
      <w:r>
        <w:t xml:space="preserve">Sınırları beyanname toplamına uygulayan aday 1.775’e, yalnız alt sınırı uygulayıp pahalı kalemdeki üst sınırı atlayan aday 2.220’ye kayar.</w:t>
      </w:r>
    </w:p>
    <w:p>
      <w:pPr>
        <w:pStyle w:val="BodyText"/>
      </w:pPr>
      <w:r>
        <w:rPr>
          <w:bCs/>
          <w:b/>
        </w:rPr>
        <w:t xml:space="preserve">Dayanak:</w:t>
      </w:r>
      <w:r>
        <w:t xml:space="preserve"> </w:t>
      </w:r>
      <w:r>
        <w:t xml:space="preserve">İthalat Rejimi Kararı eki listelerde MIN/MAX’lı gümrük vergisi oranlarının uygulanması (kalem ve adet bazında karşılaştırma)</w:t>
      </w:r>
    </w:p>
    <w:bookmarkEnd w:id="35"/>
    <w:bookmarkStart w:id="36" w:name="soru-cevap-c-2"/>
    <w:p>
      <w:pPr>
        <w:pStyle w:val="Heading4"/>
      </w:pPr>
      <w:r>
        <w:t xml:space="preserve">15. soru — Cevap: C</w:t>
      </w:r>
    </w:p>
    <w:p>
      <w:pPr>
        <w:pStyle w:val="FirstParagraph"/>
      </w:pPr>
      <w:r>
        <w:rPr>
          <w:iCs/>
          <w:i/>
        </w:rPr>
        <w:t xml:space="preserve">HESAP · Hesap · H3</w:t>
      </w:r>
    </w:p>
    <w:p>
      <w:pPr>
        <w:pStyle w:val="BodyText"/>
      </w:pPr>
      <w:r>
        <w:rPr>
          <w:bCs/>
          <w:b/>
        </w:rPr>
        <w:t xml:space="preserve">Doğru şık:</w:t>
      </w:r>
      <w:r>
        <w:t xml:space="preserve"> </w:t>
      </w:r>
      <w:r>
        <w:t xml:space="preserve">C) 76.000</w:t>
      </w:r>
    </w:p>
    <w:p>
      <w:pPr>
        <w:pStyle w:val="BodyText"/>
      </w:pPr>
      <w:r>
        <w:t xml:space="preserve">Çözüm: (I) sayılı listedeki malların ithalinde ÖTV tahsil edilmez; ödenecek ÖTV’ye karşılık teminat alınır (ÖTVK md. 16/4): 10.000 × 12 = 120.000 TL teminat. KDV Kanununun 21 inci maddesine 24.07.2025 tarihinde eklenen (ç) bendi uyarınca, teminat karşılığı ithal edilen malın teminatının hesaplanmasına esas ÖTV tutarı ithalde KDV matrahına dahildir. GV = 200.000 × %5 = 10.000 | KDV matrahı = 200.000 + 10.000 + 120.000 = 330.000 → KDV = 66.000 | Gümrük idaresince tahsil edilecek tutar = 10.000 + 66.000 = 76.000 (ÖTV teminata bağlanır, tahsil edilmez). Şık türetimleri: 76.000 → doğru tutar. 52.000 → (ç) bendi öncesi uygulama: teminata esas ÖTV KDV matrahına katılmamış (KDV 42.000); 2025/15 anahtarı bu eski kurala dayanır. 74.000 → GV, KDV matrahına eklenmemiş ((200.000 + 120.000) × %20 = 64.000). 172.000 → ÖTV tahsil edilmiş, KDV ÖTV’siz matrahtan hesaplanmış (10.000 + 120.000 + 42.000). 196.000 → teminata bağlanan ÖTV de tahsil edilecek vergiler arasına katılmış (10.000 + 120.000 + 66.000).</w:t>
      </w:r>
    </w:p>
    <w:p>
      <w:pPr>
        <w:pStyle w:val="BodyText"/>
      </w:pPr>
      <w:r>
        <w:rPr>
          <w:bCs/>
          <w:b/>
        </w:rPr>
        <w:t xml:space="preserve">Tuzak:</w:t>
      </w:r>
      <w:r>
        <w:t xml:space="preserve"> </w:t>
      </w:r>
      <w:r>
        <w:t xml:space="preserve">2025/15’in çözümünü ezberleyen aday litre başı ÖTV’yi tümüyle dışarıda bırakıp 52.000’e, teminata bağlanan ÖTV’yi tahsilat sanan aday 196.000’e kayar.</w:t>
      </w:r>
    </w:p>
    <w:p>
      <w:pPr>
        <w:pStyle w:val="BodyText"/>
      </w:pPr>
      <w:r>
        <w:rPr>
          <w:bCs/>
          <w:b/>
        </w:rPr>
        <w:t xml:space="preserve">Dayanak:</w:t>
      </w:r>
      <w:r>
        <w:t xml:space="preserve"> </w:t>
      </w:r>
      <w:r>
        <w:t xml:space="preserve">4760 sayılı ÖTV Kanunu md. 1 ve 16/4; 3065 sayılı KDV Kanunu md. 21/ç (24.07.2025’te eklendi); ÖTV (I) Sayılı Liste Uygulama Genel Tebliği V/A-1</w:t>
      </w:r>
    </w:p>
    <w:bookmarkEnd w:id="36"/>
    <w:bookmarkStart w:id="37" w:name="soru-cevap-b-1"/>
    <w:p>
      <w:pPr>
        <w:pStyle w:val="Heading4"/>
      </w:pPr>
      <w:r>
        <w:t xml:space="preserve">16. soru — Cevap: B</w:t>
      </w:r>
    </w:p>
    <w:p>
      <w:pPr>
        <w:pStyle w:val="FirstParagraph"/>
      </w:pPr>
      <w:r>
        <w:rPr>
          <w:iCs/>
          <w:i/>
        </w:rPr>
        <w:t xml:space="preserve">HESAP · Hesap · H4</w:t>
      </w:r>
    </w:p>
    <w:p>
      <w:pPr>
        <w:pStyle w:val="BodyText"/>
      </w:pPr>
      <w:r>
        <w:rPr>
          <w:bCs/>
          <w:b/>
        </w:rPr>
        <w:t xml:space="preserve">Doğru şık:</w:t>
      </w:r>
      <w:r>
        <w:t xml:space="preserve"> </w:t>
      </w:r>
      <w:r>
        <w:t xml:space="preserve">B) 33.600</w:t>
      </w:r>
    </w:p>
    <w:p>
      <w:pPr>
        <w:pStyle w:val="BodyText"/>
      </w:pPr>
      <w:r>
        <w:t xml:space="preserve">Çözüm: Noksan kıymet 200.000 TL | GV farkı 20.000 | İGV farkı 40.000 | KDV farkı = (200.000 + 20.000 + 40.000) × %20 = 52.000 | Vergi farkı toplamı 112.000. GK 234/1-(b) uyarınca ceza 112.000 × 3 = 336.000; aykırılık gümrük idaresince tespit edilmeden önce beyan sahibince bildirildiğinden GK 234/3 uyarınca ceza yüzde on nispetinde uygulanır: 336.000 × %10 = 33.600. Şık türetimleri: 33.600 → doğru tutar. 18.000 → KDV farkı ceza matrahına alınmamış ((20.000 + 40.000) × 3 × %10). 168.000 → kendiliğinden bildirimde cezanın yarıya indirildiği sanılmış (336.000 × ½). 302.400 →</w:t>
      </w:r>
      <w:r>
        <w:t xml:space="preserve"> </w:t>
      </w:r>
      <w:r>
        <w:t xml:space="preserve">“</w:t>
      </w:r>
      <w:r>
        <w:t xml:space="preserve">yüzde on nispetinde uygulanır</w:t>
      </w:r>
      <w:r>
        <w:t xml:space="preserve">”</w:t>
      </w:r>
      <w:r>
        <w:t xml:space="preserve"> </w:t>
      </w:r>
      <w:r>
        <w:t xml:space="preserve">ifadesi %10 indirim olarak okunmuş (336.000 × %90). 336.000 → kendiliğinden bildirim hükmü uygulanmamış.</w:t>
      </w:r>
    </w:p>
    <w:p>
      <w:pPr>
        <w:pStyle w:val="BodyText"/>
      </w:pPr>
      <w:r>
        <w:rPr>
          <w:bCs/>
          <w:b/>
        </w:rPr>
        <w:t xml:space="preserve">Tuzak:</w:t>
      </w:r>
      <w:r>
        <w:t xml:space="preserve"> </w:t>
      </w:r>
      <w:r>
        <w:t xml:space="preserve">234/3’teki</w:t>
      </w:r>
      <w:r>
        <w:t xml:space="preserve"> </w:t>
      </w:r>
      <w:r>
        <w:t xml:space="preserve">“</w:t>
      </w:r>
      <w:r>
        <w:t xml:space="preserve">yüzde on nispetinde uygulanır</w:t>
      </w:r>
      <w:r>
        <w:t xml:space="preserve">”</w:t>
      </w:r>
      <w:r>
        <w:t xml:space="preserve"> </w:t>
      </w:r>
      <w:r>
        <w:t xml:space="preserve">ifadesini %10 indirim sanan aday 302.400’e, KDV’yi ceza matrahı dışında tutan aday 18.000’e kayar.</w:t>
      </w:r>
    </w:p>
    <w:p>
      <w:pPr>
        <w:pStyle w:val="BodyText"/>
      </w:pPr>
      <w:r>
        <w:rPr>
          <w:bCs/>
          <w:b/>
        </w:rPr>
        <w:t xml:space="preserve">Dayanak:</w:t>
      </w:r>
      <w:r>
        <w:t xml:space="preserve"> </w:t>
      </w:r>
      <w:r>
        <w:t xml:space="preserve">4458 sayılı Gümrük Kanunu md. 234/1-(b) ve 234/3</w:t>
      </w:r>
    </w:p>
    <w:bookmarkEnd w:id="37"/>
    <w:bookmarkStart w:id="38" w:name="soru-cevap-c-3"/>
    <w:p>
      <w:pPr>
        <w:pStyle w:val="Heading4"/>
      </w:pPr>
      <w:r>
        <w:t xml:space="preserve">17. soru — Cevap: C</w:t>
      </w:r>
    </w:p>
    <w:p>
      <w:pPr>
        <w:pStyle w:val="FirstParagraph"/>
      </w:pPr>
      <w:r>
        <w:rPr>
          <w:iCs/>
          <w:i/>
        </w:rPr>
        <w:t xml:space="preserve">HESAP · Hesap · H6</w:t>
      </w:r>
    </w:p>
    <w:p>
      <w:pPr>
        <w:pStyle w:val="BodyText"/>
      </w:pPr>
      <w:r>
        <w:rPr>
          <w:bCs/>
          <w:b/>
        </w:rPr>
        <w:t xml:space="preserve">Doğru şık:</w:t>
      </w:r>
      <w:r>
        <w:t xml:space="preserve"> </w:t>
      </w:r>
      <w:r>
        <w:t xml:space="preserve">C) 570.000</w:t>
      </w:r>
    </w:p>
    <w:p>
      <w:pPr>
        <w:pStyle w:val="BodyText"/>
      </w:pPr>
      <w:r>
        <w:t xml:space="preserve">Çözüm: CIF bedel 500.000 · satış şartı olan marka lisansı 40.000 (dahil; üçüncü kişiye ödenmesi sonucu değiştirmez) · satış şartı olan patent ücreti brüt tutarıyla 24.000 / 0,80 = 30.000 (dahil; stopaj da alıcının ödediği royaltinin parçasıdır) · Türkiye’de çoğaltma hakkı 50.000 (hariç; her durumda) · satış şartı olmayan dağıtım ve tekrar satış hakkı 20.000 (hariç). Kıymet = 570.000 TL.</w:t>
      </w:r>
      <w:r>
        <w:t xml:space="preserve"> </w:t>
      </w:r>
      <w:r>
        <w:t xml:space="preserve">Şık türetimleri: 540.000 → patent ücreti hiç eklenmemiş · 564.000 → patent ücreti stopaj brüte çevrilmeden net 24.000 olarak eklenmiş · 570.000 → doğru · 590.000 → satış şartı olmayan dağıtım hakkı ödemesi eklenmiş · 620.000 → Türkiye’de çoğaltma hakkı ödemesi eklenmiş.</w:t>
      </w:r>
    </w:p>
    <w:p>
      <w:pPr>
        <w:pStyle w:val="BodyText"/>
      </w:pPr>
      <w:r>
        <w:rPr>
          <w:bCs/>
          <w:b/>
        </w:rPr>
        <w:t xml:space="preserve">Tuzak:</w:t>
      </w:r>
      <w:r>
        <w:t xml:space="preserve"> </w:t>
      </w:r>
      <w:r>
        <w:t xml:space="preserve">Stopajlı royaltide yalnız (X)’e transfer edilen net tutarı ekleyen aday 564.000’e kayar.</w:t>
      </w:r>
    </w:p>
    <w:p>
      <w:pPr>
        <w:pStyle w:val="BodyText"/>
      </w:pPr>
      <w:r>
        <w:rPr>
          <w:bCs/>
          <w:b/>
        </w:rPr>
        <w:t xml:space="preserve">Dayanak:</w:t>
      </w:r>
      <w:r>
        <w:t xml:space="preserve"> </w:t>
      </w:r>
      <w:r>
        <w:t xml:space="preserve">4458 sayılı Gümrük Kanunu md. 27/1-c; md. 27-28’deki çoğaltma hakkı ve satış şartı olmayan dağıtım/tekrar satış hakkı istisnaları</w:t>
      </w:r>
    </w:p>
    <w:bookmarkEnd w:id="38"/>
    <w:bookmarkStart w:id="39" w:name="soru-cevap-b-2"/>
    <w:p>
      <w:pPr>
        <w:pStyle w:val="Heading4"/>
      </w:pPr>
      <w:r>
        <w:t xml:space="preserve">18. soru — Cevap: B</w:t>
      </w:r>
    </w:p>
    <w:p>
      <w:pPr>
        <w:pStyle w:val="FirstParagraph"/>
      </w:pPr>
      <w:r>
        <w:rPr>
          <w:iCs/>
          <w:i/>
        </w:rPr>
        <w:t xml:space="preserve">HESAP · Hesap · H6</w:t>
      </w:r>
    </w:p>
    <w:p>
      <w:pPr>
        <w:pStyle w:val="BodyText"/>
      </w:pPr>
      <w:r>
        <w:rPr>
          <w:bCs/>
          <w:b/>
        </w:rPr>
        <w:t xml:space="preserve">Doğru şık:</w:t>
      </w:r>
      <w:r>
        <w:t xml:space="preserve"> </w:t>
      </w:r>
      <w:r>
        <w:t xml:space="preserve">B) 41.600</w:t>
      </w:r>
    </w:p>
    <w:p>
      <w:pPr>
        <w:pStyle w:val="BodyText"/>
      </w:pPr>
      <w:r>
        <w:t xml:space="preserve">Çözüm: Serbest bölgeden ithalatta esas alınan satış, ithalatçı (A)’nın taraf olduğu serbest bölgedeki (S)→(A) satışıdır; (S)’nin Çin’den ilk alımının bedeli, navlunu ve (S)’nin kendi alım komisyonu dikkate alınmaz. Fatura bedeli 42.000 − faturada ayrıca gösterilen serbest bölge depolama gideri 1.200 (hariç; GK md. 161/1: serbest bölgede kalış süresindeki depolama ve muhafaza masrafları fiyattan ayrı gösterilmişse gümrük kıymetine dahil edilmez) + satıcı adına çalışan acenteye (A)’nın ödediği satış komisyonu 800 (dahil) = 41.600 ABD Doları. (A)’nın kendi hesabına yaptığı pazarlama gideri eklenmez.</w:t>
      </w:r>
      <w:r>
        <w:t xml:space="preserve"> </w:t>
      </w:r>
      <w:r>
        <w:t xml:space="preserve">Şık türetimleri: 33.100 → (S)’nin eşyayı edinme maliyeti, yani ilk alım bedeli, navlun-sigorta ve alım komisyonu esas alınmış (30.000 + 2.500 + 600) · 41.600 → doğru · 42.200 → (S)’nin Çin’deki satın alma acentesine ödediği komisyon eklenmiş · 42.800 → ayrıca gösterilen depolama gideri düşülmemiş · 43.100 → (A)’nın kendi hesabına yaptığı pazarlama gideri eklenmiş.</w:t>
      </w:r>
    </w:p>
    <w:p>
      <w:pPr>
        <w:pStyle w:val="BodyText"/>
      </w:pPr>
      <w:r>
        <w:rPr>
          <w:bCs/>
          <w:b/>
        </w:rPr>
        <w:t xml:space="preserve">Tuzak:</w:t>
      </w:r>
      <w:r>
        <w:t xml:space="preserve"> </w:t>
      </w:r>
      <w:r>
        <w:t xml:space="preserve">Fatura bedelini olduğu gibi alıp serbest bölgedeki depolama giderini düşmeyen aday 42.800’e, ilk alımı esas alan aday 33.100’e kayar.</w:t>
      </w:r>
    </w:p>
    <w:p>
      <w:pPr>
        <w:pStyle w:val="BodyText"/>
      </w:pPr>
      <w:r>
        <w:rPr>
          <w:bCs/>
          <w:b/>
        </w:rPr>
        <w:t xml:space="preserve">Dayanak:</w:t>
      </w:r>
      <w:r>
        <w:t xml:space="preserve"> </w:t>
      </w:r>
      <w:r>
        <w:t xml:space="preserve">4458 sayılı Gümrük Kanunu md. 24, 27/1-a, 161/1 (serbest bölgedeki depolama ve muhafaza masrafları fiyattan ayrı gösterilmişse gümrük kıymetine dahil edilmez)</w:t>
      </w:r>
    </w:p>
    <w:bookmarkEnd w:id="39"/>
    <w:bookmarkStart w:id="40" w:name="soru-cevap-c-4"/>
    <w:p>
      <w:pPr>
        <w:pStyle w:val="Heading4"/>
      </w:pPr>
      <w:r>
        <w:t xml:space="preserve">19. soru — Cevap: C</w:t>
      </w:r>
    </w:p>
    <w:p>
      <w:pPr>
        <w:pStyle w:val="FirstParagraph"/>
      </w:pPr>
      <w:r>
        <w:rPr>
          <w:iCs/>
          <w:i/>
        </w:rPr>
        <w:t xml:space="preserve">HESAP · Hesap · H6</w:t>
      </w:r>
    </w:p>
    <w:p>
      <w:pPr>
        <w:pStyle w:val="BodyText"/>
      </w:pPr>
      <w:r>
        <w:rPr>
          <w:bCs/>
          <w:b/>
        </w:rPr>
        <w:t xml:space="preserve">Doğru şık:</w:t>
      </w:r>
      <w:r>
        <w:t xml:space="preserve"> </w:t>
      </w:r>
      <w:r>
        <w:t xml:space="preserve">C) 68.000</w:t>
      </w:r>
    </w:p>
    <w:p>
      <w:pPr>
        <w:pStyle w:val="BodyText"/>
      </w:pPr>
      <w:r>
        <w:t xml:space="preserve">Çözüm: Fiilen ödenen fiyat, alıcının satıcıya veya satıcı yararına yaptığı doğrudan ve dolaylı ödemelerin tamamıdır. Fatura bedeli 60.000’in tamamı ödenmiştir; 15.000’lik kısmın nakit yerine satıcının alıcıya borcuna mahsup edilmesi ödeme şeklidir, fiyatı azaltmaz (dahil). Satıcının bu eşyayla ilgili üçüncü kişiye borcunun alıcıca ödenmesi 8.000 (dahil; dolaylı ödeme). Temettü 20.000 (hariç; eşyayla ilgisi olmayan ortaklık getirisi), başka eşyaya ait transfer 5.000 (hariç), alıcının kendi hesabına fuar gideri 3.000 (hariç; satıcıya dolaylı ödeme sayılmaz). Kıymet = 68.000 Avro.</w:t>
      </w:r>
      <w:r>
        <w:t xml:space="preserve"> </w:t>
      </w:r>
      <w:r>
        <w:t xml:space="preserve">Şık türetimleri: 53.000 → mahsup edilen 15.000 ödenmemiş sayılıp yalnız transfer edilen tutar alınmış · 60.000 → satıcının üçüncü kişiye borcunun ödenmesi (dolaylı ödeme) eklenmemiş · 68.000 → doğru · 73.000 → yedek parçalara ait transfer eklenmiş · 88.000 → temettü eklenmiş.</w:t>
      </w:r>
    </w:p>
    <w:p>
      <w:pPr>
        <w:pStyle w:val="BodyText"/>
      </w:pPr>
      <w:r>
        <w:rPr>
          <w:bCs/>
          <w:b/>
        </w:rPr>
        <w:t xml:space="preserve">Tuzak:</w:t>
      </w:r>
      <w:r>
        <w:t xml:space="preserve"> </w:t>
      </w:r>
      <w:r>
        <w:t xml:space="preserve">Yalnız nakit transferleri sayıp mahsup edilen kısmı düşen aday 53.000’e, ilişkili kişiye yapılan her transferi kıymete katan aday 88.000’e kayar.</w:t>
      </w:r>
    </w:p>
    <w:p>
      <w:pPr>
        <w:pStyle w:val="BodyText"/>
      </w:pPr>
      <w:r>
        <w:rPr>
          <w:bCs/>
          <w:b/>
        </w:rPr>
        <w:t xml:space="preserve">Dayanak:</w:t>
      </w:r>
      <w:r>
        <w:t xml:space="preserve"> </w:t>
      </w:r>
      <w:r>
        <w:t xml:space="preserve">4458 sayılı Gümrük Kanunu md. 24 (fiilen ödenen veya ödenecek fiyat; doğrudan ve dolaylı ödemeler)</w:t>
      </w:r>
    </w:p>
    <w:bookmarkEnd w:id="40"/>
    <w:bookmarkStart w:id="41" w:name="soru-cevap-d-1"/>
    <w:p>
      <w:pPr>
        <w:pStyle w:val="Heading4"/>
      </w:pPr>
      <w:r>
        <w:t xml:space="preserve">20. soru — Cevap: D</w:t>
      </w:r>
    </w:p>
    <w:p>
      <w:pPr>
        <w:pStyle w:val="FirstParagraph"/>
      </w:pPr>
      <w:r>
        <w:rPr>
          <w:iCs/>
          <w:i/>
        </w:rPr>
        <w:t xml:space="preserve">HESAP · Hesap · H1</w:t>
      </w:r>
    </w:p>
    <w:p>
      <w:pPr>
        <w:pStyle w:val="BodyText"/>
      </w:pPr>
      <w:r>
        <w:rPr>
          <w:bCs/>
          <w:b/>
        </w:rPr>
        <w:t xml:space="preserve">Doğru şık:</w:t>
      </w:r>
      <w:r>
        <w:t xml:space="preserve"> </w:t>
      </w:r>
      <w:r>
        <w:t xml:space="preserve">D) 133.700</w:t>
      </w:r>
    </w:p>
    <w:p>
      <w:pPr>
        <w:pStyle w:val="BodyText"/>
      </w:pPr>
      <w:r>
        <w:t xml:space="preserve">Çözüm (ABD Doları): fiyat 1.000 × 120 = 120.000 (dahil) · EXW teslimde fabrika–Surabaya Limanı taşıması 1.500 ve Mersin’e kadar sigortalı deniz taşıması 6.500 (dahil; giriş yerine kadar taşıma) · Surabaya Limanı yükleme demurajı 700 (dahil; giriş yerine kadar taşımaya bağlı gider) · bedelsiz sağlanan bağlantı parçaları 3.000 (dahil; eşyanın bünyesine giren malzeme, assist) · ayrıca faturalanan ambalaj malzemesi ve işçiliği 2.000 (dahil) · alıcıyı temsil eden satın alma acentesi komisyonu 2.500 (hariç) · Türkiye’de yapılan tasarım 5.000 (hariç; yalnız Türkiye dışında yapılan tasarım eklenir) · Mersin demurajı 600 (hariç; giriş yerinden sonra) · alıcının kendi hesabına reklamı 4.000 (hariç). Kıymet = 133.700 ABD Doları.</w:t>
      </w:r>
      <w:r>
        <w:t xml:space="preserve"> </w:t>
      </w:r>
      <w:r>
        <w:t xml:space="preserve">Şık türetimleri: 130.700 → bedelsiz sağlanan bağlantı parçaları eklenmemiş · 131.700 → ayrıca faturalanan ambalaj eklenmemiş · 133.000 → ihraç limanındaki yükleme demurajı eklenmemiş · 133.700 → doğru · 136.200 → satın alma (alım) komisyonu eklenmiş.</w:t>
      </w:r>
    </w:p>
    <w:p>
      <w:pPr>
        <w:pStyle w:val="BodyText"/>
      </w:pPr>
      <w:r>
        <w:rPr>
          <w:bCs/>
          <w:b/>
        </w:rPr>
        <w:t xml:space="preserve">Tuzak:</w:t>
      </w:r>
      <w:r>
        <w:t xml:space="preserve"> </w:t>
      </w:r>
      <w:r>
        <w:t xml:space="preserve">İhraç limanındaki demurajı Türkiye limanı demurajı gibi dışarıda bırakan aday 133.000’e, alım komisyonunu satış komisyonu gibi ekleyen aday 136.200’e kayar.</w:t>
      </w:r>
    </w:p>
    <w:p>
      <w:pPr>
        <w:pStyle w:val="BodyText"/>
      </w:pPr>
      <w:r>
        <w:rPr>
          <w:bCs/>
          <w:b/>
        </w:rPr>
        <w:t xml:space="preserve">Dayanak:</w:t>
      </w:r>
      <w:r>
        <w:t xml:space="preserve"> </w:t>
      </w:r>
      <w:r>
        <w:t xml:space="preserve">4458 sayılı Gümrük Kanunu md. 27/1-a (komisyon, ambalaj), 27/1-b (assist; Türkiye dışında yapılan tasarım), 27/1-e, 28</w:t>
      </w:r>
    </w:p>
    <w:bookmarkEnd w:id="41"/>
    <w:bookmarkStart w:id="42" w:name="soru-cevap-d-2"/>
    <w:p>
      <w:pPr>
        <w:pStyle w:val="Heading4"/>
      </w:pPr>
      <w:r>
        <w:t xml:space="preserve">21. soru — Cevap: D</w:t>
      </w:r>
    </w:p>
    <w:p>
      <w:pPr>
        <w:pStyle w:val="FirstParagraph"/>
      </w:pPr>
      <w:r>
        <w:rPr>
          <w:iCs/>
          <w:i/>
        </w:rPr>
        <w:t xml:space="preserve">HESAP · Hesap · H1</w:t>
      </w:r>
    </w:p>
    <w:p>
      <w:pPr>
        <w:pStyle w:val="BodyText"/>
      </w:pPr>
      <w:r>
        <w:rPr>
          <w:bCs/>
          <w:b/>
        </w:rPr>
        <w:t xml:space="preserve">Doğru şık:</w:t>
      </w:r>
      <w:r>
        <w:t xml:space="preserve"> </w:t>
      </w:r>
      <w:r>
        <w:t xml:space="preserve">D) 3.115.000</w:t>
      </w:r>
    </w:p>
    <w:p>
      <w:pPr>
        <w:pStyle w:val="BodyText"/>
      </w:pPr>
      <w:r>
        <w:t xml:space="preserve">Çözüm (ABD Doları): fiyat 20 × 15.000 = 300.000 (dahil) · faturada ayrıca gösterilip alıcı lehine düzeltilen Japonya dahili vergisi −6.000 (fiilen ödenen fiyattan düşülür) · İzmir’e kadar navlun 12.000 ve sigorta 1.500 (dahil; FOB teslimde giriş yerine kadar taşıma ve sigorta eklenir) · satıcı adına çalışan acenteye ödenen komisyon 4.000 (dahil; satış komisyonu) · ithalat sonrası kurulum 5.000 (hariç; ayrıca gösterilmiş) · İzmir Limanı demurajı 800 (hariç; giriş yerinden sonra) · ardiye, müşavirlik ücreti ve Manisa nakliyesi (hariç; giriş yerinden sonraki Türkiye giderleri). Kıymet = 311.500 ABD Doları × 10 = 3.115.000 TL.</w:t>
      </w:r>
      <w:r>
        <w:t xml:space="preserve"> </w:t>
      </w:r>
      <w:r>
        <w:t xml:space="preserve">Şık türetimleri: 2.980.000 → FOB bedel CIF sanılmış, navlun ve sigorta eklenmemiş (298.000 × 10) · 3.075.000 → satış komisyonu eklenmemiş (komisyon alım komisyonu gibi değerlendirilmiş) · 3.100.000 → navlun eklenmiş, sigorta unutulmuş · 3.115.000 → doğru · 3.175.000 → iade edilen dahili vergi fiyattan düşülmemiş.</w:t>
      </w:r>
    </w:p>
    <w:p>
      <w:pPr>
        <w:pStyle w:val="BodyText"/>
      </w:pPr>
      <w:r>
        <w:rPr>
          <w:bCs/>
          <w:b/>
        </w:rPr>
        <w:t xml:space="preserve">Tuzak:</w:t>
      </w:r>
      <w:r>
        <w:t xml:space="preserve"> </w:t>
      </w:r>
      <w:r>
        <w:t xml:space="preserve">Satıcı adına çalışan acentenin komisyonunu alım komisyonu sanıp dışarıda bırakan ya da alıcı lehine düzeltilen dahili vergiyi fiyatta bırakan aday 3.075.000 veya 3.175.000’e kayar.</w:t>
      </w:r>
    </w:p>
    <w:p>
      <w:pPr>
        <w:pStyle w:val="BodyText"/>
      </w:pPr>
      <w:r>
        <w:rPr>
          <w:bCs/>
          <w:b/>
        </w:rPr>
        <w:t xml:space="preserve">Dayanak:</w:t>
      </w:r>
      <w:r>
        <w:t xml:space="preserve"> </w:t>
      </w:r>
      <w:r>
        <w:t xml:space="preserve">4458 sayılı Gümrük Kanunu md. 24, 27/1-a ve 27/1-e, 28</w:t>
      </w:r>
    </w:p>
    <w:bookmarkEnd w:id="42"/>
    <w:bookmarkStart w:id="43" w:name="soru-cevap-b-3"/>
    <w:p>
      <w:pPr>
        <w:pStyle w:val="Heading4"/>
      </w:pPr>
      <w:r>
        <w:t xml:space="preserve">22. soru — Cevap: B</w:t>
      </w:r>
    </w:p>
    <w:p>
      <w:pPr>
        <w:pStyle w:val="FirstParagraph"/>
      </w:pPr>
      <w:r>
        <w:rPr>
          <w:iCs/>
          <w:i/>
        </w:rPr>
        <w:t xml:space="preserve">HESAP · Hesap · H2</w:t>
      </w:r>
    </w:p>
    <w:p>
      <w:pPr>
        <w:pStyle w:val="BodyText"/>
      </w:pPr>
      <w:r>
        <w:rPr>
          <w:bCs/>
          <w:b/>
        </w:rPr>
        <w:t xml:space="preserve">Doğru şık:</w:t>
      </w:r>
      <w:r>
        <w:t xml:space="preserve"> </w:t>
      </w:r>
      <w:r>
        <w:t xml:space="preserve">B) 3.138.000</w:t>
      </w:r>
    </w:p>
    <w:p>
      <w:pPr>
        <w:pStyle w:val="BodyText"/>
      </w:pPr>
      <w:r>
        <w:t xml:space="preserve">KDV matrahı = gümrük kıymeti 3.115.000 + giriş yerinden sonra ancak beyannamenin tescilinden önce ödenen İzmir Limanı demurajı 8.000 (800 × 10) + tescil öncesine ait ardiye 15.000 = 3.138.000 TL. Gümrük kıymetinde kesim çizgisi giriş yeri, KDV matrahında beyannamenin tescil tarihidir (KDVK md. 21: tescil tarihine kadar yapılan diğer giderler). Tescil sonrasına ait ardiye (10.000), tescilden sonraki Manisa nakliyesi, ithalat sonrası kurulum ve ayrıca KDV’ye tabi müşavirlik hizmeti matraha girmez.</w:t>
      </w:r>
      <w:r>
        <w:t xml:space="preserve"> </w:t>
      </w:r>
      <w:r>
        <w:t xml:space="preserve">Şık türetimleri: 3.130.000 → kıymete girmeyen demurajın KDV matrahına da girmeyeceği sanılmış · 3.138.000 → doğru · 3.148.000 → ardiyenin tescil sonrasına ait 10.000 TL’lik kısmı da eklenmiş · 3.150.000 → müşavirlik ücreti (12.000) eklenmiş · 3.198.000 → birinci sorudaki hata taşınmış: dahili vergi düşülmeden bulunan 3.175.000 TL’lik kıymete doğru giderler (23.000) eklenmiş.</w:t>
      </w:r>
    </w:p>
    <w:p>
      <w:pPr>
        <w:pStyle w:val="BodyText"/>
      </w:pPr>
      <w:r>
        <w:rPr>
          <w:bCs/>
          <w:b/>
        </w:rPr>
        <w:t xml:space="preserve">Tuzak:</w:t>
      </w:r>
      <w:r>
        <w:t xml:space="preserve"> </w:t>
      </w:r>
      <w:r>
        <w:t xml:space="preserve">Kıymete girmeyen İzmir Limanı demurajının KDV matrahına da girmeyeceğini sanan aday 3.130.000’e, ardiyenin tamamını alan aday 3.148.000’e kayar.</w:t>
      </w:r>
    </w:p>
    <w:p>
      <w:pPr>
        <w:pStyle w:val="BodyText"/>
      </w:pPr>
      <w:r>
        <w:rPr>
          <w:bCs/>
          <w:b/>
        </w:rPr>
        <w:t xml:space="preserve">Dayanak:</w:t>
      </w:r>
      <w:r>
        <w:t xml:space="preserve"> </w:t>
      </w:r>
      <w:r>
        <w:t xml:space="preserve">3065 sayılı KDV Kanunu md. 21; 4458 sayılı Gümrük Kanunu md. 27-28</w:t>
      </w:r>
    </w:p>
    <w:bookmarkEnd w:id="43"/>
    <w:bookmarkStart w:id="44" w:name="soru-cevap-a-6"/>
    <w:p>
      <w:pPr>
        <w:pStyle w:val="Heading4"/>
      </w:pPr>
      <w:r>
        <w:t xml:space="preserve">23. soru — Cevap: A</w:t>
      </w:r>
    </w:p>
    <w:p>
      <w:pPr>
        <w:pStyle w:val="FirstParagraph"/>
      </w:pPr>
      <w:r>
        <w:rPr>
          <w:iCs/>
          <w:i/>
        </w:rPr>
        <w:t xml:space="preserve">HESAP · Hesap · H8</w:t>
      </w:r>
    </w:p>
    <w:p>
      <w:pPr>
        <w:pStyle w:val="BodyText"/>
      </w:pPr>
      <w:r>
        <w:rPr>
          <w:bCs/>
          <w:b/>
        </w:rPr>
        <w:t xml:space="preserve">Doğru şık:</w:t>
      </w:r>
      <w:r>
        <w:t xml:space="preserve"> </w:t>
      </w:r>
      <w:r>
        <w:t xml:space="preserve">A) 180 gün</w:t>
      </w:r>
    </w:p>
    <w:p>
      <w:pPr>
        <w:pStyle w:val="BodyText"/>
      </w:pPr>
      <w:r>
        <w:t xml:space="preserve">Çözüm: Tebliğin 3 üncü maddesine göre ihracat bedellerinin yurda getirilme süresi fiili ihraç tarihinden itibaren 180 günü geçemez. Vade bitiminden itibaren 90 günlük süre (md. 5/5) yalnız sözleşmede fiili ihraç tarihinden itibaren 180 günden fazla vade öngörülmesi hâlinde uygulanır; 150 günlük vadede genel kural geçerlidir → 180 gün. Beyannamenin tescil tarihi (3 Mart) süre başlangıcı değildir. Şık türetimleri: 180 gün → doğru. 240 gün → 180 günü aşmayan vadeye 90 günlük ek süre eklenmiş (150 + 90). 270 gün → açık hesapların kapatılması için vergi dairesince gönderilen 90 gün süreli ihtarname süresi eklenmiş (180 + 90). 330 gün → vadeye 180 gün eklenmiş (150 + 180). 365 gün → yurt dışında müteahhit firmalarca yapılan ihracata özgü süre uygulanmış.</w:t>
      </w:r>
    </w:p>
    <w:p>
      <w:pPr>
        <w:pStyle w:val="BodyText"/>
      </w:pPr>
      <w:r>
        <w:rPr>
          <w:bCs/>
          <w:b/>
        </w:rPr>
        <w:t xml:space="preserve">Tuzak:</w:t>
      </w:r>
      <w:r>
        <w:t xml:space="preserve"> </w:t>
      </w:r>
      <w:r>
        <w:t xml:space="preserve">2025/62’deki</w:t>
      </w:r>
      <w:r>
        <w:t xml:space="preserve"> </w:t>
      </w:r>
      <w:r>
        <w:t xml:space="preserve">“</w:t>
      </w:r>
      <w:r>
        <w:t xml:space="preserve">vade + 90 gün</w:t>
      </w:r>
      <w:r>
        <w:t xml:space="preserve">”</w:t>
      </w:r>
      <w:r>
        <w:t xml:space="preserve"> </w:t>
      </w:r>
      <w:r>
        <w:t xml:space="preserve">kuralını 180 günü aşmayan vadeye de uygulayan aday 240 güne kayar.</w:t>
      </w:r>
    </w:p>
    <w:p>
      <w:pPr>
        <w:pStyle w:val="BodyText"/>
      </w:pPr>
      <w:r>
        <w:rPr>
          <w:bCs/>
          <w:b/>
        </w:rPr>
        <w:t xml:space="preserve">Dayanak:</w:t>
      </w:r>
      <w:r>
        <w:t xml:space="preserve"> </w:t>
      </w:r>
      <w:r>
        <w:t xml:space="preserve">Türk Parası Kıymetini Koruma Hakkında 32 Sayılı Karara İlişkin Tebliğ (Tebliğ No: 2018-32/48) md. 3/1, 5/1, 5/5, 8/4</w:t>
      </w:r>
    </w:p>
    <w:bookmarkEnd w:id="44"/>
    <w:bookmarkStart w:id="45" w:name="soru-cevap-a-7"/>
    <w:p>
      <w:pPr>
        <w:pStyle w:val="Heading4"/>
      </w:pPr>
      <w:r>
        <w:t xml:space="preserve">24. soru — Cevap: A</w:t>
      </w:r>
    </w:p>
    <w:p>
      <w:pPr>
        <w:pStyle w:val="FirstParagraph"/>
      </w:pPr>
      <w:r>
        <w:rPr>
          <w:iCs/>
          <w:i/>
        </w:rPr>
        <w:t xml:space="preserve">SAİR · Tercihli ticaret, menşe belgeleri · O1</w:t>
      </w:r>
    </w:p>
    <w:p>
      <w:pPr>
        <w:pStyle w:val="BodyText"/>
      </w:pPr>
      <w:r>
        <w:rPr>
          <w:bCs/>
          <w:b/>
        </w:rPr>
        <w:t xml:space="preserve">Doğru şık:</w:t>
      </w:r>
      <w:r>
        <w:t xml:space="preserve"> </w:t>
      </w:r>
      <w:r>
        <w:t xml:space="preserve">A) Buğdayın değirmenden geçirilerek (öğütülerek) un haline getirilmesi</w:t>
      </w:r>
    </w:p>
    <w:p>
      <w:pPr>
        <w:pStyle w:val="BodyText"/>
      </w:pPr>
      <w:r>
        <w:t xml:space="preserve">Karar’ın 9 uncu maddesinde yetersiz işçilik ve işlemler arasında pirinci kabuklarından ayırma ve kısmen veya tamamen değirmenden geçirme (öğütme), kristal şekerin öğütülmesi, dokumaya elverişli maddeleri ütüleme veya presleme ve hayvan kesimi sayılmıştır. Tahıllar için listede yalnız parlatma ve perdahlama yer alır; öğütme yalnız pirinç ve kristal şeker için öngörülmüştür. Buğdayın öğütülerek un haline getirilmesi listede yer almaz.</w:t>
      </w:r>
    </w:p>
    <w:p>
      <w:pPr>
        <w:pStyle w:val="BodyText"/>
      </w:pPr>
      <w:r>
        <w:rPr>
          <w:bCs/>
          <w:b/>
        </w:rPr>
        <w:t xml:space="preserve">Tuzak:</w:t>
      </w:r>
      <w:r>
        <w:t xml:space="preserve"> </w:t>
      </w:r>
      <w:r>
        <w:t xml:space="preserve">Listede iki ayrı öğütme işlemi bulunduğundan her tahıl öğütmesini yetersiz işlem sanan aday buğday şıkkını eler; kapsamlı bir işlem gibi görünen</w:t>
      </w:r>
      <w:r>
        <w:t xml:space="preserve"> </w:t>
      </w:r>
      <w:r>
        <w:t xml:space="preserve">‘</w:t>
      </w:r>
      <w:r>
        <w:t xml:space="preserve">hayvan kesimi</w:t>
      </w:r>
      <w:r>
        <w:t xml:space="preserve">’</w:t>
      </w:r>
      <w:r>
        <w:t xml:space="preserve"> </w:t>
      </w:r>
      <w:r>
        <w:t xml:space="preserve">ise cevap sanılabilir.</w:t>
      </w:r>
    </w:p>
    <w:p>
      <w:pPr>
        <w:pStyle w:val="BodyText"/>
      </w:pPr>
      <w:r>
        <w:rPr>
          <w:bCs/>
          <w:b/>
        </w:rPr>
        <w:t xml:space="preserve">Dayanak:</w:t>
      </w:r>
      <w:r>
        <w:t xml:space="preserve"> </w:t>
      </w:r>
      <w:r>
        <w:t xml:space="preserve">2014/7064 sayılı Karar md. 9/1 (ç), (e), (f), (n)</w:t>
      </w:r>
    </w:p>
    <w:bookmarkEnd w:id="45"/>
    <w:bookmarkStart w:id="46" w:name="soru-cevap-d-3"/>
    <w:p>
      <w:pPr>
        <w:pStyle w:val="Heading4"/>
      </w:pPr>
      <w:r>
        <w:t xml:space="preserve">25. soru — Cevap: D</w:t>
      </w:r>
    </w:p>
    <w:p>
      <w:pPr>
        <w:pStyle w:val="FirstParagraph"/>
      </w:pPr>
      <w:r>
        <w:rPr>
          <w:iCs/>
          <w:i/>
        </w:rPr>
        <w:t xml:space="preserve">SAİR · Tercihli ticaret, menşe belgeleri · E3</w:t>
      </w:r>
    </w:p>
    <w:p>
      <w:pPr>
        <w:pStyle w:val="BodyText"/>
      </w:pPr>
      <w:r>
        <w:rPr>
          <w:bCs/>
          <w:b/>
        </w:rPr>
        <w:t xml:space="preserve">Doğru şık:</w:t>
      </w:r>
      <w:r>
        <w:t xml:space="preserve"> </w:t>
      </w:r>
      <w:r>
        <w:t xml:space="preserve">D) İkili kümülasyon – Bölgesel kümülasyon – Genişletilmiş kümülasyon</w:t>
      </w:r>
    </w:p>
    <w:p>
      <w:pPr>
        <w:pStyle w:val="BodyText"/>
      </w:pPr>
      <w:r>
        <w:t xml:space="preserve">Karar’ın tanımlar maddesine göre Türkiye menşeli ürünlerin bir Faydalanan Ülkede ileri işçilik veya işlemden geçmeleri halinde o Faydalanan Ülke menşeli girdi sayılması ikili kümülasyon; aynı bölgesel gruba dahil bir ülke menşeli ürünlerin gruptaki başka bir ülkede işlem görerek o ülke menşeli girdi sayılması bölgesel kümülasyon; Türkiye ile GATT’ın XXIV üncü maddesi çerçevesinde yürürlükte STA’sı bulunan bir ülke menşeli girdilerin, Faydalanan Ülke talebinin Türkiye’ce uygun bulunması halinde o Faydalanan Ülke menşeli sayılması genişletilmiş kümülasyondur. AB, İsviçre ve Norveç’le kümülasyon bu üç taraf menşeli girdilere ilişkin olup tanımlardan hiçbirine karşılık gelmez.</w:t>
      </w:r>
    </w:p>
    <w:p>
      <w:pPr>
        <w:pStyle w:val="BodyText"/>
      </w:pPr>
      <w:r>
        <w:rPr>
          <w:bCs/>
          <w:b/>
        </w:rPr>
        <w:t xml:space="preserve">Tuzak:</w:t>
      </w:r>
      <w:r>
        <w:t xml:space="preserve"> </w:t>
      </w:r>
      <w:r>
        <w:t xml:space="preserve">III. tanımdaki</w:t>
      </w:r>
      <w:r>
        <w:t xml:space="preserve"> </w:t>
      </w:r>
      <w:r>
        <w:t xml:space="preserve">‘</w:t>
      </w:r>
      <w:r>
        <w:t xml:space="preserve">Türkiye’yle arasında STA bulunan ülke</w:t>
      </w:r>
      <w:r>
        <w:t xml:space="preserve">’</w:t>
      </w:r>
      <w:r>
        <w:t xml:space="preserve"> </w:t>
      </w:r>
      <w:r>
        <w:t xml:space="preserve">ifadesini ikili kümülasyonla, I. tanımı AB/İsviçre/Norveç’le kümülasyonla karıştıran aday çapraz sıralamalara kayar.</w:t>
      </w:r>
    </w:p>
    <w:p>
      <w:pPr>
        <w:pStyle w:val="BodyText"/>
      </w:pPr>
      <w:r>
        <w:rPr>
          <w:bCs/>
          <w:b/>
        </w:rPr>
        <w:t xml:space="preserve">Dayanak:</w:t>
      </w:r>
      <w:r>
        <w:t xml:space="preserve"> </w:t>
      </w:r>
      <w:r>
        <w:t xml:space="preserve">2014/7064 sayılı Karar md. 3 (tanımlar), md. 14, 15, 16</w:t>
      </w:r>
    </w:p>
    <w:bookmarkEnd w:id="46"/>
    <w:bookmarkStart w:id="47" w:name="soru-cevap-e-4"/>
    <w:p>
      <w:pPr>
        <w:pStyle w:val="Heading4"/>
      </w:pPr>
      <w:r>
        <w:t xml:space="preserve">26. soru — Cevap: E</w:t>
      </w:r>
    </w:p>
    <w:p>
      <w:pPr>
        <w:pStyle w:val="FirstParagraph"/>
      </w:pPr>
      <w:r>
        <w:rPr>
          <w:iCs/>
          <w:i/>
        </w:rPr>
        <w:t xml:space="preserve">SAİR · Tercihli ticaret, menşe belgeleri · D3</w:t>
      </w:r>
    </w:p>
    <w:p>
      <w:pPr>
        <w:pStyle w:val="BodyText"/>
      </w:pPr>
      <w:r>
        <w:rPr>
          <w:bCs/>
          <w:b/>
        </w:rPr>
        <w:t xml:space="preserve">Doğru şık:</w:t>
      </w:r>
      <w:r>
        <w:t xml:space="preserve"> </w:t>
      </w:r>
      <w:r>
        <w:t xml:space="preserve">E) EUR-MED Fatura Beyanı</w:t>
      </w:r>
    </w:p>
    <w:p>
      <w:pPr>
        <w:pStyle w:val="BodyText"/>
      </w:pPr>
      <w:r>
        <w:t xml:space="preserve">Karar’ın tanımlar maddesinde menşe ispat belgesi; EUR.1 Dolaşım Belgesi, EUR-MED Dolaşım Belgesi, fatura beyanı ve EUR-MED fatura beyanı olarak sayılmıştır. A.TR Dolaşım Belgesi ise menşei değil, Türkiye veya Topluluk’ta serbest dolaşımda bulunan eşyanın Gümrük Birliği çerçevesinde tercihli rejimden yararlanmasını sağlayan dolaşım belgesi olarak ayrıca tanımlanmıştır. Form A yalnız GTS kapsamında kullanılır, menşe şahadetnamesi tercihsiz menşe belgesidir, INF 4 ise tedarikçi beyanının doğrulanmasında kullanılan bilgi formudur.</w:t>
      </w:r>
    </w:p>
    <w:p>
      <w:pPr>
        <w:pStyle w:val="BodyText"/>
      </w:pPr>
      <w:r>
        <w:rPr>
          <w:bCs/>
          <w:b/>
        </w:rPr>
        <w:t xml:space="preserve">Tuzak:</w:t>
      </w:r>
      <w:r>
        <w:t xml:space="preserve"> </w:t>
      </w:r>
      <w:r>
        <w:t xml:space="preserve">Gümrük Birliği’nin temel belgesi olduğu için A.TR Dolaşım Belgesini menşe ispat belgesi sanan aday bu şıkka kayar.</w:t>
      </w:r>
    </w:p>
    <w:p>
      <w:pPr>
        <w:pStyle w:val="BodyText"/>
      </w:pPr>
      <w:r>
        <w:rPr>
          <w:bCs/>
          <w:b/>
        </w:rPr>
        <w:t xml:space="preserve">Dayanak:</w:t>
      </w:r>
      <w:r>
        <w:t xml:space="preserve"> </w:t>
      </w:r>
      <w:r>
        <w:t xml:space="preserve">2006/10895 sayılı Karar md. 3 (A.TR Dolaşım Belgesi, menşe ispat belgesi ve INF 4 Bilgi Formu tanımları)</w:t>
      </w:r>
    </w:p>
    <w:bookmarkEnd w:id="47"/>
    <w:bookmarkStart w:id="48" w:name="soru-cevap-a-8"/>
    <w:p>
      <w:pPr>
        <w:pStyle w:val="Heading4"/>
      </w:pPr>
      <w:r>
        <w:t xml:space="preserve">27. soru — Cevap: A</w:t>
      </w:r>
    </w:p>
    <w:p>
      <w:pPr>
        <w:pStyle w:val="FirstParagraph"/>
      </w:pPr>
      <w:r>
        <w:rPr>
          <w:iCs/>
          <w:i/>
        </w:rPr>
        <w:t xml:space="preserve">GM · Gümrük kıymeti · O1</w:t>
      </w:r>
    </w:p>
    <w:p>
      <w:pPr>
        <w:pStyle w:val="BodyText"/>
      </w:pPr>
      <w:r>
        <w:rPr>
          <w:bCs/>
          <w:b/>
        </w:rPr>
        <w:t xml:space="preserve">Doğru şık:</w:t>
      </w:r>
      <w:r>
        <w:t xml:space="preserve"> </w:t>
      </w:r>
      <w:r>
        <w:t xml:space="preserve">A) Alıcı ile satıcı arasındaki satış sözleşmesinin yazılı olarak yapılmış olması ve fiilen ödenen veya ödenecek fiyatın sözleşmede ayrıca gösterilmiş bulunması</w:t>
      </w:r>
    </w:p>
    <w:p>
      <w:pPr>
        <w:pStyle w:val="BodyText"/>
      </w:pPr>
      <w:r>
        <w:t xml:space="preserve">GK 24 üncü maddesi satış bedelinin kabulü için dört koşul arar: kabul edilen üç tür kısıtlama dışında alıcı üzerinde kısıtlama bulunmaması, satış veya fiyatın bedeli tespit edilemeyen bir şart veya edime bağlı olmaması, yeniden satış hasılatının 27 nci maddeye göre düzeltilebilecek hâller dışında satıcıya dönmemesi ve taraflar arasında ilişki bulunmaması ya da ilişkinin fiyatı etkilememesi. Satış sözleşmesinin yazılı olması bu koşullar arasında yer almaz; yazılı anlaşma ve ayrıca gösterilme şartı, finansman faizinin gümrük kıymetine dahil edilmemesi için aranan şartlardandır.</w:t>
      </w:r>
    </w:p>
    <w:p>
      <w:pPr>
        <w:pStyle w:val="BodyText"/>
      </w:pPr>
      <w:r>
        <w:rPr>
          <w:bCs/>
          <w:b/>
        </w:rPr>
        <w:t xml:space="preserve">Tuzak:</w:t>
      </w:r>
      <w:r>
        <w:t xml:space="preserve"> </w:t>
      </w:r>
      <w:r>
        <w:t xml:space="preserve">Finansman faizinin kıymet dışında bırakılması için aranan yazılı anlaşma ve ayrıca gösterilme şartını satış bedeli yönteminin genel koşulu sanan aday, gerçek koşullardan birini (özellikle coğrafi kısıtlamaya izin vereni) yabancı öğe sanır.</w:t>
      </w:r>
    </w:p>
    <w:p>
      <w:pPr>
        <w:pStyle w:val="BodyText"/>
      </w:pPr>
      <w:r>
        <w:rPr>
          <w:bCs/>
          <w:b/>
        </w:rPr>
        <w:t xml:space="preserve">Dayanak:</w:t>
      </w:r>
      <w:r>
        <w:t xml:space="preserve"> </w:t>
      </w:r>
      <w:r>
        <w:t xml:space="preserve">GK md. 24/1 (a)-(d); GK md. 28 (finansman faizi)</w:t>
      </w:r>
    </w:p>
    <w:bookmarkEnd w:id="48"/>
    <w:bookmarkStart w:id="49" w:name="soru-cevap-e-5"/>
    <w:p>
      <w:pPr>
        <w:pStyle w:val="Heading4"/>
      </w:pPr>
      <w:r>
        <w:t xml:space="preserve">28. soru — Cevap: E</w:t>
      </w:r>
    </w:p>
    <w:p>
      <w:pPr>
        <w:pStyle w:val="FirstParagraph"/>
      </w:pPr>
      <w:r>
        <w:rPr>
          <w:iCs/>
          <w:i/>
        </w:rPr>
        <w:t xml:space="preserve">GM · Gümrük kıymeti · O2</w:t>
      </w:r>
    </w:p>
    <w:p>
      <w:pPr>
        <w:pStyle w:val="BodyText"/>
      </w:pPr>
      <w:r>
        <w:rPr>
          <w:bCs/>
          <w:b/>
        </w:rPr>
        <w:t xml:space="preserve">Doğru şık:</w:t>
      </w:r>
      <w:r>
        <w:t xml:space="preserve"> </w:t>
      </w:r>
      <w:r>
        <w:t xml:space="preserve">E) Satış bedeli bulunmayan numunelerin gümrük kıymeti, fiyat sıfır kabul edilerek satış bedeli yöntemine göre belirlenir.</w:t>
      </w:r>
    </w:p>
    <w:p>
      <w:pPr>
        <w:pStyle w:val="BodyText"/>
      </w:pPr>
      <w:r>
        <w:t xml:space="preserve">Satış bedeli yöntemi, eşyanın Türkiye Gümrük Bölgesine ihraç amaçlı bir satışının bulunmasını gerektirir. Satış bedeli bulunmayan numunelerde satış olmadığından bu yöntem uygulanamaz, kıymet diğer yöntemlerle belirlenir; fiyatı sıfır kabul ederek satış bedeli yöntemini işleten ifade bu nedenle yanlıştır. Konsinye gönderilen eşya, kira sözleşmesiyle ithal edilen eşya ve eşyayı satın almadan ithalattan sonra satacak aracıların ithal ettiği eşyada da ihraç amaçlı satış bulunmadığından satış bedeli yöntemi uygulanamaz. Tek acente tarafından yapılan ithalat ise bir satışa dayandığından gerekli koşullar sağlandığında satış bedeli yöntemiyle değerlendirilebilir.</w:t>
      </w:r>
    </w:p>
    <w:p>
      <w:pPr>
        <w:pStyle w:val="BodyText"/>
      </w:pPr>
      <w:r>
        <w:rPr>
          <w:bCs/>
          <w:b/>
        </w:rPr>
        <w:t xml:space="preserve">Tuzak:</w:t>
      </w:r>
      <w:r>
        <w:t xml:space="preserve"> </w:t>
      </w:r>
      <w:r>
        <w:t xml:space="preserve">Bedelsiz numunede de</w:t>
      </w:r>
      <w:r>
        <w:t xml:space="preserve"> </w:t>
      </w:r>
      <w:r>
        <w:t xml:space="preserve">‘</w:t>
      </w:r>
      <w:r>
        <w:t xml:space="preserve">sıfır fiyat</w:t>
      </w:r>
      <w:r>
        <w:t xml:space="preserve">’</w:t>
      </w:r>
      <w:r>
        <w:t xml:space="preserve"> </w:t>
      </w:r>
      <w:r>
        <w:t xml:space="preserve">üzerinden satış bedeli yönteminin işletilebileceğini sanan aday yanlış ifadeyi doğru kabul eder; tek acenteliği satış bedeli yöntemine engel sayan aday ise tek acenteye ilişkin doğru ifadeden şüphelenir.</w:t>
      </w:r>
    </w:p>
    <w:p>
      <w:pPr>
        <w:pStyle w:val="BodyText"/>
      </w:pPr>
      <w:r>
        <w:rPr>
          <w:bCs/>
          <w:b/>
        </w:rPr>
        <w:t xml:space="preserve">Dayanak:</w:t>
      </w:r>
      <w:r>
        <w:t xml:space="preserve"> </w:t>
      </w:r>
      <w:r>
        <w:t xml:space="preserve">GK md. 24/1 (ihraç amaçlı satış); satış bulunmayan işlemlerde satış bedeli yönteminin uygulanmaması (DTÖ Kıymet Anlaşması md. 1)</w:t>
      </w:r>
    </w:p>
    <w:bookmarkEnd w:id="49"/>
    <w:bookmarkStart w:id="50" w:name="soru-cevap-d-4"/>
    <w:p>
      <w:pPr>
        <w:pStyle w:val="Heading4"/>
      </w:pPr>
      <w:r>
        <w:t xml:space="preserve">29. soru — Cevap: D</w:t>
      </w:r>
    </w:p>
    <w:p>
      <w:pPr>
        <w:pStyle w:val="FirstParagraph"/>
      </w:pPr>
      <w:r>
        <w:rPr>
          <w:iCs/>
          <w:i/>
        </w:rPr>
        <w:t xml:space="preserve">GM · Gümrük kıymeti · Ö3</w:t>
      </w:r>
    </w:p>
    <w:p>
      <w:pPr>
        <w:pStyle w:val="BodyText"/>
      </w:pPr>
      <w:r>
        <w:rPr>
          <w:bCs/>
          <w:b/>
        </w:rPr>
        <w:t xml:space="preserve">Doğru şık:</w:t>
      </w:r>
      <w:r>
        <w:t xml:space="preserve"> </w:t>
      </w:r>
      <w:r>
        <w:t xml:space="preserve">D) I, II, IV ve V</w:t>
      </w:r>
    </w:p>
    <w:p>
      <w:pPr>
        <w:pStyle w:val="BodyText"/>
      </w:pPr>
      <w:r>
        <w:t xml:space="preserve">Gümrük kıymeti mevzuatında taraflar; birbirlerinin işyerinde yönetici veya müdür olmaları, yasal olarak tanınmış iş ortakları olmaları, işçi-işveren ilişkisi içinde bulunmaları, her iki firmanın oy hakkı veren hisse senedi veya sermaye paylarının en az %5’inin doğrudan veya dolaylı olarak aynı kişilere ait olması ya da bu kişilerin kontrolü altında veya elinde bulunması, birinin diğerini kontrol etmesi, her ikisinin bir üçüncü kişi tarafından kontrol edilmesi veya birlikte bir üçüncü kişiyi kontrol etmesi ve aynı ailenin üyeleri olmaları hâllerinde ilişkili sayılır (I, II, IV ve V). Tek acente, tek distribütör veya tek imtiyaz sahibi olarak birbirleriyle bağlantılı kişiler ise ancak bu ölçütlerden birine uymaları hâlinde ilişkili kabul edilir; başka bir ölçüt bulunmaksızın tek distribütörlük ilişki sayılmaz (III).</w:t>
      </w:r>
    </w:p>
    <w:p>
      <w:pPr>
        <w:pStyle w:val="BodyText"/>
      </w:pPr>
      <w:r>
        <w:rPr>
          <w:bCs/>
          <w:b/>
        </w:rPr>
        <w:t xml:space="preserve">Tuzak:</w:t>
      </w:r>
      <w:r>
        <w:t xml:space="preserve"> </w:t>
      </w:r>
      <w:r>
        <w:t xml:space="preserve">Tek distribütörlüğü kendiliğinden ilişki sayan aday tüm öncülleri sayan seçeneğe kayar.</w:t>
      </w:r>
    </w:p>
    <w:p>
      <w:pPr>
        <w:pStyle w:val="BodyText"/>
      </w:pPr>
      <w:r>
        <w:rPr>
          <w:bCs/>
          <w:b/>
        </w:rPr>
        <w:t xml:space="preserve">Dayanak:</w:t>
      </w:r>
      <w:r>
        <w:t xml:space="preserve"> </w:t>
      </w:r>
      <w:r>
        <w:t xml:space="preserve">Gümrük Yönetmeliği gümrük kıymeti hükümleri – ilişkili kişiler (%5 eşiği Yönetmelikte; DTÖ Kıymet Anlaşması md. 15/4-5)</w:t>
      </w:r>
    </w:p>
    <w:bookmarkEnd w:id="50"/>
    <w:bookmarkStart w:id="51" w:name="soru-cevap-e-6"/>
    <w:p>
      <w:pPr>
        <w:pStyle w:val="Heading4"/>
      </w:pPr>
      <w:r>
        <w:t xml:space="preserve">30. soru — Cevap: E</w:t>
      </w:r>
    </w:p>
    <w:p>
      <w:pPr>
        <w:pStyle w:val="FirstParagraph"/>
      </w:pPr>
      <w:r>
        <w:rPr>
          <w:iCs/>
          <w:i/>
        </w:rPr>
        <w:t xml:space="preserve">GM · Muafiyetler · O2</w:t>
      </w:r>
    </w:p>
    <w:p>
      <w:pPr>
        <w:pStyle w:val="BodyText"/>
      </w:pPr>
      <w:r>
        <w:rPr>
          <w:bCs/>
          <w:b/>
        </w:rPr>
        <w:t xml:space="preserve">Doğru şık:</w:t>
      </w:r>
      <w:r>
        <w:t xml:space="preserve"> </w:t>
      </w:r>
      <w:r>
        <w:t xml:space="preserve">E) Hediyelik eşyanın yolcu başına toplam kıymetinin muafiyet sınırını aşması hâlinde muafiyet hiç uygulanmaz ve eşyanın tamamı vergilendirilir.</w:t>
      </w:r>
    </w:p>
    <w:p>
      <w:pPr>
        <w:pStyle w:val="BodyText"/>
      </w:pPr>
      <w:r>
        <w:t xml:space="preserve">Karar’ın 63 üncü maddesine göre eşyanın yolcu başına toplam kıymeti 150 veya 430 Avro sınırını aşarsa muafiyet ortadan kalkmaz; muafiyet yalnızca 150 veya 430 Avro tutarındaki kısma uygulanır ve muafiyete tekabül eden vergi düşüldükten sonra kalan kısma tek ve maktu vergi uygulanır. Bu nedenle sınır aşılınca eşyanın tamamının vergilendirileceğini söyleyen ifade yanlıştır. Kara hudut kapısından girişlerde ayda en fazla on defa kuralı 59 uncu maddede, 15 yaşından küçükler için 150 Avro sınırı 61 inci maddede, gümrük kapısı mağazalarından alınan eşyaya muafiyet ve aynı eşyanın ayrıca bu mağazalardan alınamaması 64 üncü maddede aynen yer alır.</w:t>
      </w:r>
    </w:p>
    <w:p>
      <w:pPr>
        <w:pStyle w:val="BodyText"/>
      </w:pPr>
      <w:r>
        <w:rPr>
          <w:bCs/>
          <w:b/>
        </w:rPr>
        <w:t xml:space="preserve">Tuzak:</w:t>
      </w:r>
      <w:r>
        <w:t xml:space="preserve"> </w:t>
      </w:r>
      <w:r>
        <w:t xml:space="preserve">Sınır aşılınca muafiyetin bütünüyle düştüğünü sanan aday</w:t>
      </w:r>
      <w:r>
        <w:t xml:space="preserve"> </w:t>
      </w:r>
      <w:r>
        <w:t xml:space="preserve">“</w:t>
      </w:r>
      <w:r>
        <w:t xml:space="preserve">eşyanın tamamı vergilendirilir</w:t>
      </w:r>
      <w:r>
        <w:t xml:space="preserve">”</w:t>
      </w:r>
      <w:r>
        <w:t xml:space="preserve"> </w:t>
      </w:r>
      <w:r>
        <w:t xml:space="preserve">ifadesini doğru kabul eder ve</w:t>
      </w:r>
      <w:r>
        <w:t xml:space="preserve"> </w:t>
      </w:r>
      <w:r>
        <w:t xml:space="preserve">“</w:t>
      </w:r>
      <w:r>
        <w:t xml:space="preserve">on defa</w:t>
      </w:r>
      <w:r>
        <w:t xml:space="preserve">”</w:t>
      </w:r>
      <w:r>
        <w:t xml:space="preserve">,</w:t>
      </w:r>
      <w:r>
        <w:t xml:space="preserve"> </w:t>
      </w:r>
      <w:r>
        <w:t xml:space="preserve">“</w:t>
      </w:r>
      <w:r>
        <w:t xml:space="preserve">150 Avro</w:t>
      </w:r>
      <w:r>
        <w:t xml:space="preserve">”</w:t>
      </w:r>
      <w:r>
        <w:t xml:space="preserve"> </w:t>
      </w:r>
      <w:r>
        <w:t xml:space="preserve">gibi sayılı doğru ifadelerden şüphelenir.</w:t>
      </w:r>
    </w:p>
    <w:p>
      <w:pPr>
        <w:pStyle w:val="BodyText"/>
      </w:pPr>
      <w:r>
        <w:rPr>
          <w:bCs/>
          <w:b/>
        </w:rPr>
        <w:t xml:space="preserve">Dayanak:</w:t>
      </w:r>
      <w:r>
        <w:t xml:space="preserve"> </w:t>
      </w:r>
      <w:r>
        <w:t xml:space="preserve">2009/15481 sayılı Karar md. 59/2, 61, 63/1, 64/1, 64/3</w:t>
      </w:r>
    </w:p>
    <w:bookmarkEnd w:id="51"/>
    <w:bookmarkStart w:id="52" w:name="soru-cevap-a-9"/>
    <w:p>
      <w:pPr>
        <w:pStyle w:val="Heading4"/>
      </w:pPr>
      <w:r>
        <w:t xml:space="preserve">31. soru — Cevap: A</w:t>
      </w:r>
    </w:p>
    <w:p>
      <w:pPr>
        <w:pStyle w:val="FirstParagraph"/>
      </w:pPr>
      <w:r>
        <w:rPr>
          <w:iCs/>
          <w:i/>
        </w:rPr>
        <w:t xml:space="preserve">GM · Muafiyetler · V2</w:t>
      </w:r>
    </w:p>
    <w:p>
      <w:pPr>
        <w:pStyle w:val="BodyText"/>
      </w:pPr>
      <w:r>
        <w:rPr>
          <w:bCs/>
          <w:b/>
        </w:rPr>
        <w:t xml:space="preserve">Doğru şık:</w:t>
      </w:r>
      <w:r>
        <w:t xml:space="preserve"> </w:t>
      </w:r>
      <w:r>
        <w:t xml:space="preserve">A) Muafiyet için eşyanın, (X)’in ölüm tarihinden itibaren yirmi dört ay içinde getirilmesi gerekir.</w:t>
      </w:r>
    </w:p>
    <w:p>
      <w:pPr>
        <w:pStyle w:val="BodyText"/>
      </w:pPr>
      <w:r>
        <w:t xml:space="preserve">Karar’ın 54 üncü maddesine göre miras yoluyla intikal eden eşyaya tanınan muafiyet, veraset ilamı tarihinden (15.05.2026) itibaren yirmi dört ay içinde tek seferde veya birden fazla partide getirilen eşya için uygulanır; süre ölüm tarihinden başlamaz. 53 üncü maddeye göre muafiyet Türkiye’de ikamet eden gerçek kişi mirasçılara tanındığından (A) yararlanır, Almanya’da ikamet eden (B) yararlanamaz. Aynı maddede ölen kişinin mesleğini icra etmek için kullandığı taşınabilir alet ve cihazlar kapsam dışı bırakılan meslek aletlerinden ayrık tutulduğu için dikiş makinesi muafiyet kapsamındadır; hammadde stokları ise açıkça kapsam dışıdır.</w:t>
      </w:r>
    </w:p>
    <w:p>
      <w:pPr>
        <w:pStyle w:val="BodyText"/>
      </w:pPr>
      <w:r>
        <w:rPr>
          <w:bCs/>
          <w:b/>
        </w:rPr>
        <w:t xml:space="preserve">Tuzak:</w:t>
      </w:r>
      <w:r>
        <w:t xml:space="preserve"> </w:t>
      </w:r>
      <w:r>
        <w:t xml:space="preserve">Süreyi ölüm tarihinden başlatan aday yanlış ifadeyi doğru sanır;</w:t>
      </w:r>
      <w:r>
        <w:t xml:space="preserve"> </w:t>
      </w:r>
      <w:r>
        <w:t xml:space="preserve">“</w:t>
      </w:r>
      <w:r>
        <w:t xml:space="preserve">meslek aletleri muaf değildir</w:t>
      </w:r>
      <w:r>
        <w:t xml:space="preserve">”</w:t>
      </w:r>
      <w:r>
        <w:t xml:space="preserve"> </w:t>
      </w:r>
      <w:r>
        <w:t xml:space="preserve">genellemesine dayanan aday ise dikiş makinesine ilişkin doğru ifadeyi işaretler.</w:t>
      </w:r>
    </w:p>
    <w:p>
      <w:pPr>
        <w:pStyle w:val="BodyText"/>
      </w:pPr>
      <w:r>
        <w:rPr>
          <w:bCs/>
          <w:b/>
        </w:rPr>
        <w:t xml:space="preserve">Dayanak:</w:t>
      </w:r>
      <w:r>
        <w:t xml:space="preserve"> </w:t>
      </w:r>
      <w:r>
        <w:t xml:space="preserve">2009/15481 sayılı Karar md. 53, 54; Gümrük Muafiyeti Tebliği (Seri No: 2) md. 13/1-b</w:t>
      </w:r>
    </w:p>
    <w:bookmarkEnd w:id="52"/>
    <w:bookmarkStart w:id="53" w:name="soru-cevap-d-5"/>
    <w:p>
      <w:pPr>
        <w:pStyle w:val="Heading4"/>
      </w:pPr>
      <w:r>
        <w:t xml:space="preserve">32. soru — Cevap: D</w:t>
      </w:r>
    </w:p>
    <w:p>
      <w:pPr>
        <w:pStyle w:val="FirstParagraph"/>
      </w:pPr>
      <w:r>
        <w:rPr>
          <w:iCs/>
          <w:i/>
        </w:rPr>
        <w:t xml:space="preserve">GM · Muafiyetler · B2</w:t>
      </w:r>
    </w:p>
    <w:p>
      <w:pPr>
        <w:pStyle w:val="BodyText"/>
      </w:pPr>
      <w:r>
        <w:rPr>
          <w:bCs/>
          <w:b/>
        </w:rPr>
        <w:t xml:space="preserve">Doğru şık:</w:t>
      </w:r>
      <w:r>
        <w:t xml:space="preserve"> </w:t>
      </w:r>
      <w:r>
        <w:t xml:space="preserve">D) altı – kırk beş – beş</w:t>
      </w:r>
    </w:p>
    <w:p>
      <w:pPr>
        <w:pStyle w:val="BodyText"/>
      </w:pPr>
      <w:r>
        <w:t xml:space="preserve">Tebliğin 11 inci maddesine göre kesin dönüş yapan gerçek kişilerin yurtta bir takvim yılında altı aydan fazla kalmamış olmaları gerekir; Türkiye’de bir takvim yılında kırk beş güne kadar kalışlar yurt dışındaki ikamet süresinden sayılır; son on yıl içinde en az beş yıl yurt dışında ikamet edenler için bu süre şartı aranmaz (aynı kural taşıt muafiyetinde 5 inci maddede de yer alır).</w:t>
      </w:r>
      <w:r>
        <w:t xml:space="preserve"> </w:t>
      </w:r>
      <w:r>
        <w:t xml:space="preserve">“</w:t>
      </w:r>
      <w:r>
        <w:t xml:space="preserve">Yüz seksen beş gün</w:t>
      </w:r>
      <w:r>
        <w:t xml:space="preserve">”</w:t>
      </w:r>
      <w:r>
        <w:t xml:space="preserve">, yurt dışında yerleşik kişilerin Türkiye’de edindikleri konutta kullanacakları ev eşyasında süreklilik hâlini bozmayan süredir;</w:t>
      </w:r>
      <w:r>
        <w:t xml:space="preserve"> </w:t>
      </w:r>
      <w:r>
        <w:t xml:space="preserve">“</w:t>
      </w:r>
      <w:r>
        <w:t xml:space="preserve">üç ay</w:t>
      </w:r>
      <w:r>
        <w:t xml:space="preserve">”</w:t>
      </w:r>
      <w:r>
        <w:t xml:space="preserve"> </w:t>
      </w:r>
      <w:r>
        <w:t xml:space="preserve">Ek-9 (B) bölümündeki eşyanın yolcunun gelişinden sonra getirilebileceği süre,</w:t>
      </w:r>
      <w:r>
        <w:t xml:space="preserve"> </w:t>
      </w:r>
      <w:r>
        <w:t xml:space="preserve">“</w:t>
      </w:r>
      <w:r>
        <w:t xml:space="preserve">üç yıl</w:t>
      </w:r>
      <w:r>
        <w:t xml:space="preserve">”</w:t>
      </w:r>
      <w:r>
        <w:t xml:space="preserve"> </w:t>
      </w:r>
      <w:r>
        <w:t xml:space="preserve">ise işyeri naklinde aynı işte çalışma süresidir.</w:t>
      </w:r>
    </w:p>
    <w:p>
      <w:pPr>
        <w:pStyle w:val="BodyText"/>
      </w:pPr>
      <w:r>
        <w:rPr>
          <w:bCs/>
          <w:b/>
        </w:rPr>
        <w:t xml:space="preserve">Tuzak:</w:t>
      </w:r>
      <w:r>
        <w:t xml:space="preserve"> </w:t>
      </w:r>
      <w:r>
        <w:t xml:space="preserve">Yurt dışında yerleşiklerin konut eşyasına ilişkin 185 günlük süreyi kesin dönüş muafiyetine taşıyan aday</w:t>
      </w:r>
      <w:r>
        <w:t xml:space="preserve"> </w:t>
      </w:r>
      <w:r>
        <w:t xml:space="preserve">“</w:t>
      </w:r>
      <w:r>
        <w:t xml:space="preserve">altı – yüz seksen beş – beş</w:t>
      </w:r>
      <w:r>
        <w:t xml:space="preserve">”</w:t>
      </w:r>
      <w:r>
        <w:t xml:space="preserve"> </w:t>
      </w:r>
      <w:r>
        <w:t xml:space="preserve">seçeneğine kayar.</w:t>
      </w:r>
    </w:p>
    <w:p>
      <w:pPr>
        <w:pStyle w:val="BodyText"/>
      </w:pPr>
      <w:r>
        <w:rPr>
          <w:bCs/>
          <w:b/>
        </w:rPr>
        <w:t xml:space="preserve">Dayanak:</w:t>
      </w:r>
      <w:r>
        <w:t xml:space="preserve"> </w:t>
      </w:r>
      <w:r>
        <w:t xml:space="preserve">Gümrük Muafiyeti Tebliği (Seri No: 2) md. 11/1-b (ayrıca md. 5/3 ve 18/1-a)</w:t>
      </w:r>
    </w:p>
    <w:bookmarkEnd w:id="53"/>
    <w:bookmarkStart w:id="54" w:name="soru-cevap-c-5"/>
    <w:p>
      <w:pPr>
        <w:pStyle w:val="Heading4"/>
      </w:pPr>
      <w:r>
        <w:t xml:space="preserve">33. soru — Cevap: C</w:t>
      </w:r>
    </w:p>
    <w:p>
      <w:pPr>
        <w:pStyle w:val="FirstParagraph"/>
      </w:pPr>
      <w:r>
        <w:rPr>
          <w:iCs/>
          <w:i/>
        </w:rPr>
        <w:t xml:space="preserve">GM · Menşe, BTB/BMB · Ö3</w:t>
      </w:r>
    </w:p>
    <w:p>
      <w:pPr>
        <w:pStyle w:val="BodyText"/>
      </w:pPr>
      <w:r>
        <w:rPr>
          <w:bCs/>
          <w:b/>
        </w:rPr>
        <w:t xml:space="preserve">Doğru şık:</w:t>
      </w:r>
      <w:r>
        <w:t xml:space="preserve"> </w:t>
      </w:r>
      <w:r>
        <w:t xml:space="preserve">C) I, III ve IV</w:t>
      </w:r>
    </w:p>
    <w:p>
      <w:pPr>
        <w:pStyle w:val="BodyText"/>
      </w:pPr>
      <w:r>
        <w:t xml:space="preserve">Gümrük Kanununa göre bağlayıcı tarife bilgisi; Türk Gümrük Tarife Cetvelinde yapılan ve bilgiyle uyumsuzluk doğuran değişiklik, Dünya Gümrük Örgütünün nomanklatür, izahname ve tarife pozisyonu kararlarındaki değişikliğe uymama ve bilginin iptal edildiğinin veya değiştirildiğinin bilgi sahibine tebliği hâllerinde geçerliliğini kaybeder. Dünya Ticaret Örgütü Menşe Kuralları Anlaşmasındaki değişikliğe uymama ise bağlayıcı menşe bilgisine ilişkin bir sebeptir.</w:t>
      </w:r>
    </w:p>
    <w:p>
      <w:pPr>
        <w:pStyle w:val="BodyText"/>
      </w:pPr>
      <w:r>
        <w:rPr>
          <w:bCs/>
          <w:b/>
        </w:rPr>
        <w:t xml:space="preserve">Tuzak:</w:t>
      </w:r>
      <w:r>
        <w:t xml:space="preserve"> </w:t>
      </w:r>
      <w:r>
        <w:t xml:space="preserve">Dünya Gümrük Örgütü ile Dünya Ticaret Örgütünü karıştıran aday, bağlayıcı menşe bilgisine ait II numaralı sebebi bağlayıcı tarife bilgisine taşır.</w:t>
      </w:r>
    </w:p>
    <w:p>
      <w:pPr>
        <w:pStyle w:val="BodyText"/>
      </w:pPr>
      <w:r>
        <w:rPr>
          <w:bCs/>
          <w:b/>
        </w:rPr>
        <w:t xml:space="preserve">Dayanak:</w:t>
      </w:r>
      <w:r>
        <w:t xml:space="preserve"> </w:t>
      </w:r>
      <w:r>
        <w:t xml:space="preserve">GK md. 9 (bağlayıcı tarife ve menşe bilgisi)</w:t>
      </w:r>
    </w:p>
    <w:bookmarkEnd w:id="54"/>
    <w:bookmarkStart w:id="55" w:name="soru-cevap-e-7"/>
    <w:p>
      <w:pPr>
        <w:pStyle w:val="Heading4"/>
      </w:pPr>
      <w:r>
        <w:t xml:space="preserve">34. soru — Cevap: E</w:t>
      </w:r>
    </w:p>
    <w:p>
      <w:pPr>
        <w:pStyle w:val="FirstParagraph"/>
      </w:pPr>
      <w:r>
        <w:rPr>
          <w:iCs/>
          <w:i/>
        </w:rPr>
        <w:t xml:space="preserve">GM · Geri verme – kaldırma · D6</w:t>
      </w:r>
    </w:p>
    <w:p>
      <w:pPr>
        <w:pStyle w:val="BodyText"/>
      </w:pPr>
      <w:r>
        <w:rPr>
          <w:bCs/>
          <w:b/>
        </w:rPr>
        <w:t xml:space="preserve">Doğru şık:</w:t>
      </w:r>
      <w:r>
        <w:t xml:space="preserve"> </w:t>
      </w:r>
      <w:r>
        <w:t xml:space="preserve">E) Gümrük idaresi, fazla tahsil ettiği tutarı, başvuru formu ve geri verme kararının onaylı örnekleri ekli bir yazıyla yükümlünün vergi dairesine doğrudan bildirir.</w:t>
      </w:r>
    </w:p>
    <w:p>
      <w:pPr>
        <w:pStyle w:val="BodyText"/>
      </w:pPr>
      <w:r>
        <w:t xml:space="preserve">Tebliğin 31 inci maddesinin beşinci fıkrasına göre gümrük vergileri kapsamındaki katma değer vergisi için de Ek-78 form ile geri verme başvurusu yapılır. İndirim hakkına sahip yükümlüler bakımından gümrük idaresi, fazla veya yersiz tahsil ettiği tutarı, başvuru formu ile geri verme kararının onaylı örneklerinin eklendiği bir yazıyla yükümlünün vergi dairesine doğrudan bildirir. Vergi dairesinden alınacak belgeye istinaden Yönetmeliğin 506 ncı maddesine göre işlem yapılması, indirim hakkına sahip olmayan yükümlülere ilişkin usuldür; gümrükte KDV için geri verme başvurusu yapılamayacağını söyleyen ifade ise aynı fıkranın ilk cümlesiyle çelişir.</w:t>
      </w:r>
    </w:p>
    <w:p>
      <w:pPr>
        <w:pStyle w:val="BodyText"/>
      </w:pPr>
      <w:r>
        <w:rPr>
          <w:bCs/>
          <w:b/>
        </w:rPr>
        <w:t xml:space="preserve">Tuzak:</w:t>
      </w:r>
      <w:r>
        <w:t xml:space="preserve"> </w:t>
      </w:r>
      <w:r>
        <w:t xml:space="preserve">İndirim hakkına sahip olan ve olmayan yükümlüler için öngörülen iki ayrı usulü karıştıran aday, vergi dairesinden belge alınarak ödeme yapılacağını söyleyen seçeneğe kayar.</w:t>
      </w:r>
    </w:p>
    <w:p>
      <w:pPr>
        <w:pStyle w:val="BodyText"/>
      </w:pPr>
      <w:r>
        <w:rPr>
          <w:bCs/>
          <w:b/>
        </w:rPr>
        <w:t xml:space="preserve">Dayanak:</w:t>
      </w:r>
      <w:r>
        <w:t xml:space="preserve"> </w:t>
      </w:r>
      <w:r>
        <w:t xml:space="preserve">Gümrük Genel Tebliği (Tahsilat İşlemleri) (Seri No: 2) md. 31/5; Gümrük Yönetmeliği md. 506</w:t>
      </w:r>
    </w:p>
    <w:bookmarkEnd w:id="55"/>
    <w:bookmarkStart w:id="56" w:name="soru-cevap-b-4"/>
    <w:p>
      <w:pPr>
        <w:pStyle w:val="Heading4"/>
      </w:pPr>
      <w:r>
        <w:t xml:space="preserve">35. soru — Cevap: B</w:t>
      </w:r>
    </w:p>
    <w:p>
      <w:pPr>
        <w:pStyle w:val="FirstParagraph"/>
      </w:pPr>
      <w:r>
        <w:rPr>
          <w:iCs/>
          <w:i/>
        </w:rPr>
        <w:t xml:space="preserve">SAİR · TIR, ATA · Ö2</w:t>
      </w:r>
    </w:p>
    <w:p>
      <w:pPr>
        <w:pStyle w:val="BodyText"/>
      </w:pPr>
      <w:r>
        <w:rPr>
          <w:bCs/>
          <w:b/>
        </w:rPr>
        <w:t xml:space="preserve">Doğru şık:</w:t>
      </w:r>
      <w:r>
        <w:t xml:space="preserve"> </w:t>
      </w:r>
      <w:r>
        <w:t xml:space="preserve">B) Yalnız III</w:t>
      </w:r>
    </w:p>
    <w:p>
      <w:pPr>
        <w:pStyle w:val="BodyText"/>
      </w:pPr>
      <w:r>
        <w:t xml:space="preserve">Tebliğin 10 uncu maddesine göre karnede belirtilen yurtta kalma süresi içinde yurt dışı edilmeyen veya gümrükçe onaylanmış bir işlem veya kullanıma tabi tutulmayan eşya için kefil kuruluş olan Türkiye Odalar ve Borsalar Birliğine, karnenin geçerlilik süresinin bitim tarihinden itibaren bir yıl içinde tebligat yapılır (I); Birliğin ödemekle sorumlu olduğu tutar gümrük vergileri ile ithalatta alınan diğer vergiler toplamının %10 fazlasını aşamaz (II). Eşyanın yurt dışı edilmesinden vazgeçilerek serbest dolaşıma giriş rejimine tabi tutulması 12 nci madde uyarınca çıkış hükmündedir (IV). Buna karşılık tebligatta, eşyanın süresi içinde yeniden ihraç edildiğine dair delil verilmesi için talep tarihinden itibaren üç ay değil altı aylık süre tanınır; üç aylık süre, vergiler ödendikten veya teminata bağlandıktan sonra delil sunulması hâlinde tutarın iadesine ilişkindir (md. 10/d). Bu nedenle yalnız III. ifade yanlıştır.</w:t>
      </w:r>
    </w:p>
    <w:p>
      <w:pPr>
        <w:pStyle w:val="BodyText"/>
      </w:pPr>
      <w:r>
        <w:rPr>
          <w:bCs/>
          <w:b/>
        </w:rPr>
        <w:t xml:space="preserve">Tuzak:</w:t>
      </w:r>
      <w:r>
        <w:t xml:space="preserve"> </w:t>
      </w:r>
      <w:r>
        <w:t xml:space="preserve">Ödenen veya teminata bağlanan tutarın iadesi için öngörülen üç aylık delil süresini tebligat üzerine tanınan altı aylık süreyle karıştıran aday III’ü doğru sayar.</w:t>
      </w:r>
    </w:p>
    <w:p>
      <w:pPr>
        <w:pStyle w:val="BodyText"/>
      </w:pPr>
      <w:r>
        <w:rPr>
          <w:bCs/>
          <w:b/>
        </w:rPr>
        <w:t xml:space="preserve">Dayanak:</w:t>
      </w:r>
      <w:r>
        <w:t xml:space="preserve"> </w:t>
      </w:r>
      <w:r>
        <w:t xml:space="preserve">Gümrük Genel Tebliği (Geçici İthalat) Seri No: 4 md. 10/a, 10/b, 10/d, 12</w:t>
      </w:r>
    </w:p>
    <w:bookmarkEnd w:id="56"/>
    <w:bookmarkStart w:id="57" w:name="soru-cevap-a-10"/>
    <w:p>
      <w:pPr>
        <w:pStyle w:val="Heading4"/>
      </w:pPr>
      <w:r>
        <w:t xml:space="preserve">36. soru — Cevap: A</w:t>
      </w:r>
    </w:p>
    <w:p>
      <w:pPr>
        <w:pStyle w:val="FirstParagraph"/>
      </w:pPr>
      <w:r>
        <w:rPr>
          <w:iCs/>
          <w:i/>
        </w:rPr>
        <w:t xml:space="preserve">SAİR · TIR, ATA · K1</w:t>
      </w:r>
    </w:p>
    <w:p>
      <w:pPr>
        <w:pStyle w:val="BodyText"/>
      </w:pPr>
      <w:r>
        <w:rPr>
          <w:bCs/>
          <w:b/>
        </w:rPr>
        <w:t xml:space="preserve">Doğru şık:</w:t>
      </w:r>
      <w:r>
        <w:t xml:space="preserve"> </w:t>
      </w:r>
      <w:r>
        <w:t xml:space="preserve">A) Kefil kuruluş</w:t>
      </w:r>
    </w:p>
    <w:p>
      <w:pPr>
        <w:pStyle w:val="BodyText"/>
      </w:pPr>
      <w:r>
        <w:t xml:space="preserve">TIR Sözleşmesinin tanımlar maddesinde kefil kuruluş, bir Akit Tarafın gümrük makamlarınca TIR rejimini kullanan kişilere kefil olarak hareket etmek üzere onaylanan kuruluş olarak tanımlanmıştır; bu kuruluş, Sözleşmenin 8 inci maddesi uyarınca usulsüzlüğün tespit edildiği ülkede ödenmesi gereken ithalat veya ihracat vergi ve resimlerini ödemeyi taahhüt eder. Uluslararası kuruluş (IRU), İdari Komite tarafından uluslararası teminat sisteminin organizasyonu ve karnelerin basılıp dağıtılması için yetkilendirilen kuruluştur; İdari Komite Akit Taraflardan oluşan organ, TIR Yürütme Kurulu ise onun yardımcı organıdır. Karne hamili, TIR karnesinin adına düzenlendiği ve gümrük beyanını yapan kişidir.</w:t>
      </w:r>
    </w:p>
    <w:p>
      <w:pPr>
        <w:pStyle w:val="BodyText"/>
      </w:pPr>
      <w:r>
        <w:rPr>
          <w:bCs/>
          <w:b/>
        </w:rPr>
        <w:t xml:space="preserve">Tuzak:</w:t>
      </w:r>
      <w:r>
        <w:t xml:space="preserve"> </w:t>
      </w:r>
      <w:r>
        <w:t xml:space="preserve">Teminat zincirinin uluslararası ayağını yöneten IRU’yu ulusal kefil kuruluşla karıştıran aday</w:t>
      </w:r>
      <w:r>
        <w:t xml:space="preserve"> </w:t>
      </w:r>
      <w:r>
        <w:t xml:space="preserve">‘</w:t>
      </w:r>
      <w:r>
        <w:t xml:space="preserve">uluslararası kuruluş</w:t>
      </w:r>
      <w:r>
        <w:t xml:space="preserve">’</w:t>
      </w:r>
      <w:r>
        <w:t xml:space="preserve"> </w:t>
      </w:r>
      <w:r>
        <w:t xml:space="preserve">şıkkını seçer.</w:t>
      </w:r>
    </w:p>
    <w:p>
      <w:pPr>
        <w:pStyle w:val="BodyText"/>
      </w:pPr>
      <w:r>
        <w:rPr>
          <w:bCs/>
          <w:b/>
        </w:rPr>
        <w:t xml:space="preserve">Dayanak:</w:t>
      </w:r>
      <w:r>
        <w:t xml:space="preserve"> </w:t>
      </w:r>
      <w:r>
        <w:t xml:space="preserve">TIR Sözleşmesi (1975) md. 1 (tanımlar), md. 6 ve md. 8</w:t>
      </w:r>
    </w:p>
    <w:bookmarkEnd w:id="57"/>
    <w:bookmarkStart w:id="58" w:name="soru-cevap-c-6"/>
    <w:p>
      <w:pPr>
        <w:pStyle w:val="Heading4"/>
      </w:pPr>
      <w:r>
        <w:t xml:space="preserve">37. soru — Cevap: C</w:t>
      </w:r>
    </w:p>
    <w:p>
      <w:pPr>
        <w:pStyle w:val="FirstParagraph"/>
      </w:pPr>
      <w:r>
        <w:rPr>
          <w:iCs/>
          <w:i/>
        </w:rPr>
        <w:t xml:space="preserve">SAİR · İthalat rejimi · O2</w:t>
      </w:r>
    </w:p>
    <w:p>
      <w:pPr>
        <w:pStyle w:val="BodyText"/>
      </w:pPr>
      <w:r>
        <w:rPr>
          <w:bCs/>
          <w:b/>
        </w:rPr>
        <w:t xml:space="preserve">Doğru şık:</w:t>
      </w:r>
      <w:r>
        <w:t xml:space="preserve"> </w:t>
      </w:r>
      <w:r>
        <w:t xml:space="preserve">C) İlave gümrük vergisine tabi eşyanın Türk Gümrük Tarife Cetvelindeki tarife pozisyonunda veya tanımında yapılacak değişiklikler, Kararın uygulanmasına engel teşkil eder.</w:t>
      </w:r>
    </w:p>
    <w:p>
      <w:pPr>
        <w:pStyle w:val="BodyText"/>
      </w:pPr>
      <w:r>
        <w:t xml:space="preserve">Karara 2022 sonunda eklenen hükme göre ilave gümrük vergisine tabi eşyanın tarife pozisyonunda ve/veya tanımında yapılacak değişiklikler Karar hükümlerinin uygulanmasına engel teşkil etmez; şıkta hüküm tersine çevrilmiştir. A.TR eşliğinde gelen AB ve Türk menşeli olmayan eşyadan</w:t>
      </w:r>
      <w:r>
        <w:t xml:space="preserve"> </w:t>
      </w:r>
      <w:r>
        <w:t xml:space="preserve">“</w:t>
      </w:r>
      <w:r>
        <w:t xml:space="preserve">Diğer Ülkeler</w:t>
      </w:r>
      <w:r>
        <w:t xml:space="preserve">”</w:t>
      </w:r>
      <w:r>
        <w:t xml:space="preserve"> </w:t>
      </w:r>
      <w:r>
        <w:t xml:space="preserve">oranının alınması, verginin diğer mali yükümlülüklerden ayrı tahsil edilip genel bütçeye irat kaydedilmesi, gümrük vergisi usul ve hükümlerinin uygulanması ve menşein doğru beyanından ithalatçının sorumlu olması Kararda aynen yer alır.</w:t>
      </w:r>
    </w:p>
    <w:p>
      <w:pPr>
        <w:pStyle w:val="BodyText"/>
      </w:pPr>
      <w:r>
        <w:rPr>
          <w:bCs/>
          <w:b/>
        </w:rPr>
        <w:t xml:space="preserve">Tuzak:</w:t>
      </w:r>
      <w:r>
        <w:t xml:space="preserve"> </w:t>
      </w:r>
      <w:r>
        <w:t xml:space="preserve">Aday, A.TR belgesinin her durumda vergiyi kaldırdığını düşünerek A.TR belgesine ilişkin (doğru) ifadeyi yanlış sanır; tarife değişikliği hükmündeki polarite tersini gözden kaçırır.</w:t>
      </w:r>
    </w:p>
    <w:p>
      <w:pPr>
        <w:pStyle w:val="BodyText"/>
      </w:pPr>
      <w:r>
        <w:rPr>
          <w:bCs/>
          <w:b/>
        </w:rPr>
        <w:t xml:space="preserve">Dayanak:</w:t>
      </w:r>
      <w:r>
        <w:t xml:space="preserve"> </w:t>
      </w:r>
      <w:r>
        <w:t xml:space="preserve">İthalatta İlave Gümrük Vergisi Uygulanmasına İlişkin Karar (3351) md. 2/2, 2/4, 2/5, 2/7, 2/8</w:t>
      </w:r>
    </w:p>
    <w:bookmarkEnd w:id="58"/>
    <w:bookmarkStart w:id="59" w:name="soru-cevap-e-8"/>
    <w:p>
      <w:pPr>
        <w:pStyle w:val="Heading4"/>
      </w:pPr>
      <w:r>
        <w:t xml:space="preserve">38. soru — Cevap: E</w:t>
      </w:r>
    </w:p>
    <w:p>
      <w:pPr>
        <w:pStyle w:val="FirstParagraph"/>
      </w:pPr>
      <w:r>
        <w:rPr>
          <w:iCs/>
          <w:i/>
        </w:rPr>
        <w:t xml:space="preserve">SAİR · DİR (Ticaret) · D6</w:t>
      </w:r>
    </w:p>
    <w:p>
      <w:pPr>
        <w:pStyle w:val="BodyText"/>
      </w:pPr>
      <w:r>
        <w:rPr>
          <w:bCs/>
          <w:b/>
        </w:rPr>
        <w:t xml:space="preserve">Doğru şık:</w:t>
      </w:r>
      <w:r>
        <w:t xml:space="preserve"> </w:t>
      </w:r>
      <w:r>
        <w:t xml:space="preserve">E) İlave süre talebinin Bakanlık veya ilgili gümrük idaresi tarafından uygun görüldüğü tarihten itibaren, mücbir sebep veya fevkalade hâl süresi dikkate alınarak belirlenir.</w:t>
      </w:r>
    </w:p>
    <w:p>
      <w:pPr>
        <w:pStyle w:val="BodyText"/>
      </w:pPr>
      <w:r>
        <w:t xml:space="preserve">Tebliğe göre mücbir sebep ile fevkalade hâllere istinaden verilecek ilave süre, belge/izin sahibinin talebinin Bakanlık (İhracat Genel Müdürlüğü) veya ilgili gümrük idaresi tarafından uygun görüldüğü tarihten itibaren, mücbir sebep veya fevkalade hâl süresi dikkate alınarak belirlenir. İlk ithalat tarihine göre azami üç ay, ek süre müracaatının; belge süresi sonundan itibaren orijinal sürenin yarısı ise haklı sebep hâllerinin ölçüsüdür. Başlangıcı olayın meydana geldiği tarihe ya da ölçüyü orijinal sürenin yarısına kaydıran şıklar Tebliğde yoktur.</w:t>
      </w:r>
    </w:p>
    <w:p>
      <w:pPr>
        <w:pStyle w:val="BodyText"/>
      </w:pPr>
      <w:r>
        <w:rPr>
          <w:bCs/>
          <w:b/>
        </w:rPr>
        <w:t xml:space="preserve">Tuzak:</w:t>
      </w:r>
      <w:r>
        <w:t xml:space="preserve"> </w:t>
      </w:r>
      <w:r>
        <w:t xml:space="preserve">Aday, ek süre, haklı sebep ve mücbir sebep sürelerini tek bir</w:t>
      </w:r>
      <w:r>
        <w:t xml:space="preserve"> </w:t>
      </w:r>
      <w:r>
        <w:t xml:space="preserve">“</w:t>
      </w:r>
      <w:r>
        <w:t xml:space="preserve">ek süre</w:t>
      </w:r>
      <w:r>
        <w:t xml:space="preserve">”</w:t>
      </w:r>
      <w:r>
        <w:t xml:space="preserve"> </w:t>
      </w:r>
      <w:r>
        <w:t xml:space="preserve">kuralı gibi düşünür ya da süreyi sezgisel olarak olayın meydana geldiği tarihten başlatır.</w:t>
      </w:r>
    </w:p>
    <w:p>
      <w:pPr>
        <w:pStyle w:val="BodyText"/>
      </w:pPr>
      <w:r>
        <w:rPr>
          <w:bCs/>
          <w:b/>
        </w:rPr>
        <w:t xml:space="preserve">Dayanak:</w:t>
      </w:r>
      <w:r>
        <w:t xml:space="preserve"> </w:t>
      </w:r>
      <w:r>
        <w:t xml:space="preserve">Dahilde İşleme Rejimi Tebliği (İhracat: 2006/12) md. 27/1 (ayrıca md. 22/1 ve 24/1 çeldiriciler)</w:t>
      </w:r>
    </w:p>
    <w:bookmarkEnd w:id="59"/>
    <w:bookmarkStart w:id="60" w:name="soru-cevap-a-11"/>
    <w:p>
      <w:pPr>
        <w:pStyle w:val="Heading4"/>
      </w:pPr>
      <w:r>
        <w:t xml:space="preserve">39. soru — Cevap: A</w:t>
      </w:r>
    </w:p>
    <w:p>
      <w:pPr>
        <w:pStyle w:val="FirstParagraph"/>
      </w:pPr>
      <w:r>
        <w:rPr>
          <w:iCs/>
          <w:i/>
        </w:rPr>
        <w:t xml:space="preserve">TARİFE · Tarife – GTİP yapısı, HS, 474 · O4</w:t>
      </w:r>
    </w:p>
    <w:p>
      <w:pPr>
        <w:pStyle w:val="BodyText"/>
      </w:pPr>
      <w:r>
        <w:rPr>
          <w:bCs/>
          <w:b/>
        </w:rPr>
        <w:t xml:space="preserve">Doğru şık:</w:t>
      </w:r>
      <w:r>
        <w:t xml:space="preserve"> </w:t>
      </w:r>
      <w:r>
        <w:t xml:space="preserve">A) Yedinci ve sekizinci haneler milli alt açılımı gösterir.</w:t>
      </w:r>
    </w:p>
    <w:p>
      <w:pPr>
        <w:pStyle w:val="BodyText"/>
      </w:pPr>
      <w:r>
        <w:t xml:space="preserve">12 haneli GTİP’te ilk altı hane Armonize Sistem alt pozisyonunu (8714.10), ilk sekiz hane Avrupa Birliği tarafından yayımlanan Kombine Nomenklatür kodunu, dokuzuncu ve onuncu haneler milli alt açılımı, son iki hane istatistik açılımını gösterir. Bu GTİP’te yedinci ve sekizinci hanelerdeki</w:t>
      </w:r>
      <w:r>
        <w:t xml:space="preserve"> </w:t>
      </w:r>
      <w:r>
        <w:t xml:space="preserve">‘</w:t>
      </w:r>
      <w:r>
        <w:t xml:space="preserve">90</w:t>
      </w:r>
      <w:r>
        <w:t xml:space="preserve">’</w:t>
      </w:r>
      <w:r>
        <w:t xml:space="preserve"> </w:t>
      </w:r>
      <w:r>
        <w:t xml:space="preserve">AB’nin Kombine Nomenklatür açılımıdır; bu hanelerin Türkiye’nin milli alt açılımı olduğu söylenemez. Dokuzuncu ve onuncu hanelerin</w:t>
      </w:r>
      <w:r>
        <w:t xml:space="preserve"> </w:t>
      </w:r>
      <w:r>
        <w:t xml:space="preserve">‘</w:t>
      </w:r>
      <w:r>
        <w:t xml:space="preserve">00</w:t>
      </w:r>
      <w:r>
        <w:t xml:space="preserve">’</w:t>
      </w:r>
      <w:r>
        <w:t xml:space="preserve"> </w:t>
      </w:r>
      <w:r>
        <w:t xml:space="preserve">olması milli açılım yapılmadığını, son iki hanenin</w:t>
      </w:r>
      <w:r>
        <w:t xml:space="preserve"> </w:t>
      </w:r>
      <w:r>
        <w:t xml:space="preserve">‘</w:t>
      </w:r>
      <w:r>
        <w:t xml:space="preserve">19</w:t>
      </w:r>
      <w:r>
        <w:t xml:space="preserve">’</w:t>
      </w:r>
      <w:r>
        <w:t xml:space="preserve"> </w:t>
      </w:r>
      <w:r>
        <w:t xml:space="preserve">olması istatistik açılımı yapıldığını gösterir; 87 nci fasıl XVII. Bölümde (Nakil Vasıtaları) yer alır.</w:t>
      </w:r>
    </w:p>
    <w:p>
      <w:pPr>
        <w:pStyle w:val="BodyText"/>
      </w:pPr>
      <w:r>
        <w:rPr>
          <w:bCs/>
          <w:b/>
        </w:rPr>
        <w:t xml:space="preserve">Tuzak:</w:t>
      </w:r>
      <w:r>
        <w:t xml:space="preserve"> </w:t>
      </w:r>
      <w:r>
        <w:t xml:space="preserve">Türkiye’ye özgü haneleri 9-10 yerine 7-8 sanan aday, KN (AB) katmanını milli açılım zanneder.</w:t>
      </w:r>
    </w:p>
    <w:p>
      <w:pPr>
        <w:pStyle w:val="BodyText"/>
      </w:pPr>
      <w:r>
        <w:rPr>
          <w:bCs/>
          <w:b/>
        </w:rPr>
        <w:t xml:space="preserve">Dayanak:</w:t>
      </w:r>
      <w:r>
        <w:t xml:space="preserve"> </w:t>
      </w:r>
      <w:r>
        <w:t xml:space="preserve">GTİP hane yapısı: HS 6 + KN 8 (AB) + milli 10 + istatistik 12; Gümrük Genel Tebliği (Tarife-Sınıflandırma Kararları) (Seri No: 15) md. 3(ç) KN kodu tanımı; Fasıl 87 → XVII. Bölüm. Doğru ifadeler: XVII. Bölüm (86-89. fasıllar), ilk 6 hane HS (8714.10), 9-10. hane</w:t>
      </w:r>
      <w:r>
        <w:t xml:space="preserve"> </w:t>
      </w:r>
      <w:r>
        <w:t xml:space="preserve">‘</w:t>
      </w:r>
      <w:r>
        <w:t xml:space="preserve">00</w:t>
      </w:r>
      <w:r>
        <w:t xml:space="preserve">’</w:t>
      </w:r>
      <w:r>
        <w:t xml:space="preserve"> </w:t>
      </w:r>
      <w:r>
        <w:t xml:space="preserve">milli açılım yok, 11-12. hane</w:t>
      </w:r>
      <w:r>
        <w:t xml:space="preserve"> </w:t>
      </w:r>
      <w:r>
        <w:t xml:space="preserve">‘</w:t>
      </w:r>
      <w:r>
        <w:t xml:space="preserve">19</w:t>
      </w:r>
      <w:r>
        <w:t xml:space="preserve">’</w:t>
      </w:r>
      <w:r>
        <w:t xml:space="preserve"> </w:t>
      </w:r>
      <w:r>
        <w:t xml:space="preserve">istatistik açılımı var.</w:t>
      </w:r>
    </w:p>
    <w:bookmarkEnd w:id="60"/>
    <w:bookmarkStart w:id="61" w:name="soru-cevap-d-6"/>
    <w:p>
      <w:pPr>
        <w:pStyle w:val="Heading4"/>
      </w:pPr>
      <w:r>
        <w:t xml:space="preserve">40. soru — Cevap: D</w:t>
      </w:r>
    </w:p>
    <w:p>
      <w:pPr>
        <w:pStyle w:val="FirstParagraph"/>
      </w:pPr>
      <w:r>
        <w:rPr>
          <w:iCs/>
          <w:i/>
        </w:rPr>
        <w:t xml:space="preserve">TARİFE · Tarife – GTİP yapısı, HS, 474 · D5</w:t>
      </w:r>
    </w:p>
    <w:p>
      <w:pPr>
        <w:pStyle w:val="BodyText"/>
      </w:pPr>
      <w:r>
        <w:rPr>
          <w:bCs/>
          <w:b/>
        </w:rPr>
        <w:t xml:space="preserve">Doğru şık:</w:t>
      </w:r>
      <w:r>
        <w:t xml:space="preserve"> </w:t>
      </w:r>
      <w:r>
        <w:t xml:space="preserve">D) 38.27</w:t>
      </w:r>
    </w:p>
    <w:p>
      <w:pPr>
        <w:pStyle w:val="BodyText"/>
      </w:pPr>
      <w:r>
        <w:t xml:space="preserve">38.27 pozisyonu, tarifenin başka yerinde belirtilmeyen veya yer almayan, metan, etan veya propanın halojenlenmiş türevlerini içeren karışımları kapsar; bir metan türevi olan diflorometan ile bir etan türevi olan pentafloroetanın karışımı, CFC veya HCFC içermeyen diğer HFC karışımları arasında yer alır (kütlece %40 veya daha fazla HFC-125 içerdiğinden ve HFC-143a içermediğinden 3827.63). 29. Fasıl, 1(a) nolu Fasıl Notu gereği yalnız kimyaca belirli yapıda olan izole edilmiş organik bileşikleri kapsadığından diflorometan (2903.42) ve pentafloroetan (2903.44) tek başına 29.03’te yer alırken bunların karışımı bu pozisyona giremez. 38.24 başka yerde belirtilmeyen kimyasal ürün ve müstahzarları kapsar; karışım 38.27’de özel olarak belirtildiğinden genel pozisyona gitmez. 38.13 yangın söndürme aletleri için dolgu maddelerini, 84.15 ise makine niteliğindeki klima cihazlarını kapsar.</w:t>
      </w:r>
    </w:p>
    <w:p>
      <w:pPr>
        <w:pStyle w:val="BodyText"/>
      </w:pPr>
      <w:r>
        <w:rPr>
          <w:bCs/>
          <w:b/>
        </w:rPr>
        <w:t xml:space="preserve">Tuzak:</w:t>
      </w:r>
      <w:r>
        <w:t xml:space="preserve"> </w:t>
      </w:r>
      <w:r>
        <w:t xml:space="preserve">Bileşenlerin tek başına yer aldığı 29.03, kimyasal karışımların genel pozisyonu 38.24 ve</w:t>
      </w:r>
      <w:r>
        <w:t xml:space="preserve"> </w:t>
      </w:r>
      <w:r>
        <w:t xml:space="preserve">‘</w:t>
      </w:r>
      <w:r>
        <w:t xml:space="preserve">klima</w:t>
      </w:r>
      <w:r>
        <w:t xml:space="preserve">’</w:t>
      </w:r>
      <w:r>
        <w:t xml:space="preserve"> </w:t>
      </w:r>
      <w:r>
        <w:t xml:space="preserve">kelimesinin çağrıştırdığı 84.15 adayı yanıltır; halojenli türev (halon) çağrışımı ise 38.13’e çeker.</w:t>
      </w:r>
    </w:p>
    <w:p>
      <w:pPr>
        <w:pStyle w:val="BodyText"/>
      </w:pPr>
      <w:r>
        <w:rPr>
          <w:bCs/>
          <w:b/>
        </w:rPr>
        <w:t xml:space="preserve">Dayanak:</w:t>
      </w:r>
      <w:r>
        <w:t xml:space="preserve"> </w:t>
      </w:r>
      <w:r>
        <w:t xml:space="preserve">GYKK 1 ve 6: 38.27 pozisyon metni, 3827.61-3827.63 alt pozisyonları ve 38.27 açıklama notu; Fasıl 29 Not 1(a). Çeldiriciler: 29.03 (hidrokarbonların halojenlenmiş türevleri; yalnız izole bileşikler: 2903.42 HFC-32, 2903.44 HFC-125), 38.13 (yangın söndürme aletleri için dolgu maddeleri - halon çağrışımı), 38.24 (b.y.b. kimyasal ürün ve müstahzarlar - genel pozisyon), 84.15 (klima cihazları - kullanım yeri çağrışımı).</w:t>
      </w:r>
    </w:p>
    <w:bookmarkEnd w:id="61"/>
    <w:bookmarkStart w:id="62" w:name="soru-cevap-c-7"/>
    <w:p>
      <w:pPr>
        <w:pStyle w:val="Heading4"/>
      </w:pPr>
      <w:r>
        <w:t xml:space="preserve">41. soru — Cevap: C</w:t>
      </w:r>
    </w:p>
    <w:p>
      <w:pPr>
        <w:pStyle w:val="FirstParagraph"/>
      </w:pPr>
      <w:r>
        <w:rPr>
          <w:iCs/>
          <w:i/>
        </w:rPr>
        <w:t xml:space="preserve">TARİFE · Tarife – GTİP yapısı, HS, 474 · G2</w:t>
      </w:r>
    </w:p>
    <w:p>
      <w:pPr>
        <w:pStyle w:val="BodyText"/>
      </w:pPr>
      <w:r>
        <w:rPr>
          <w:bCs/>
          <w:b/>
        </w:rPr>
        <w:t xml:space="preserve">Doğru şık:</w:t>
      </w:r>
      <w:r>
        <w:t xml:space="preserve"> </w:t>
      </w:r>
      <w:r>
        <w:t xml:space="preserve">C) Gümrük Kanunu gereğince idari ve kazai uygulamalarda esas tutulur.</w:t>
      </w:r>
    </w:p>
    <w:p>
      <w:pPr>
        <w:pStyle w:val="BodyText"/>
      </w:pPr>
      <w:r>
        <w:t xml:space="preserve">Tebliğin 5 inci maddesine göre, Armonize Sistem Nomanklatürünün uluslararası seviyede resmî yorumunun yapılmasında zorunlu ve tamamlayıcı bir unsur olan İzahname hükümleri, 4458 sayılı Kanunun 15 inci maddesinin yedinci fıkrası gereğince idari ve kazai uygulamalarda esas tutulur.</w:t>
      </w:r>
      <w:r>
        <w:t xml:space="preserve"> </w:t>
      </w:r>
      <w:r>
        <w:t xml:space="preserve">‘</w:t>
      </w:r>
      <w:r>
        <w:t xml:space="preserve">Yardımcı referans kaynak, resmî bağlayıcılığı yok</w:t>
      </w:r>
      <w:r>
        <w:t xml:space="preserve">’</w:t>
      </w:r>
      <w:r>
        <w:t xml:space="preserve"> </w:t>
      </w:r>
      <w:r>
        <w:t xml:space="preserve">nitelendirmesi Bakanlığın AB Bağlayıcı Tarife Bilgileri için yaptığı nitelendirmedir. Yalnız idari uygulamaya ya da yalnız BTB başvurularına sınırlayan ifadeler kapsamı daraltır; takdire bırakma ifadesi ise</w:t>
      </w:r>
      <w:r>
        <w:t xml:space="preserve"> </w:t>
      </w:r>
      <w:r>
        <w:t xml:space="preserve">‘</w:t>
      </w:r>
      <w:r>
        <w:t xml:space="preserve">esas tutulur</w:t>
      </w:r>
      <w:r>
        <w:t xml:space="preserve">’</w:t>
      </w:r>
      <w:r>
        <w:t xml:space="preserve"> </w:t>
      </w:r>
      <w:r>
        <w:t xml:space="preserve">hükmüyle çelişir.</w:t>
      </w:r>
    </w:p>
    <w:p>
      <w:pPr>
        <w:pStyle w:val="BodyText"/>
      </w:pPr>
      <w:r>
        <w:rPr>
          <w:bCs/>
          <w:b/>
        </w:rPr>
        <w:t xml:space="preserve">Tuzak:</w:t>
      </w:r>
      <w:r>
        <w:t xml:space="preserve"> </w:t>
      </w:r>
      <w:r>
        <w:t xml:space="preserve">AB BTB’lerinin</w:t>
      </w:r>
      <w:r>
        <w:t xml:space="preserve"> </w:t>
      </w:r>
      <w:r>
        <w:t xml:space="preserve">‘</w:t>
      </w:r>
      <w:r>
        <w:t xml:space="preserve">yardımcı referans</w:t>
      </w:r>
      <w:r>
        <w:t xml:space="preserve">’</w:t>
      </w:r>
      <w:r>
        <w:t xml:space="preserve"> </w:t>
      </w:r>
      <w:r>
        <w:t xml:space="preserve">niteliği İzahnameye aktarılırsa İzahnamenin bağlayıcı olmadığı sanılır.</w:t>
      </w:r>
    </w:p>
    <w:p>
      <w:pPr>
        <w:pStyle w:val="BodyText"/>
      </w:pPr>
      <w:r>
        <w:rPr>
          <w:bCs/>
          <w:b/>
        </w:rPr>
        <w:t xml:space="preserve">Dayanak:</w:t>
      </w:r>
      <w:r>
        <w:t xml:space="preserve"> </w:t>
      </w:r>
      <w:r>
        <w:t xml:space="preserve">Gümrük Genel Tebliği (Gümrük Tarife Cetveli İzahnamesi) (Seri No: 4) md. 5; 4458 sayılı Gümrük Kanunu md. 15/7. Çeldirici</w:t>
      </w:r>
      <w:r>
        <w:t xml:space="preserve"> </w:t>
      </w:r>
      <w:r>
        <w:t xml:space="preserve">‘</w:t>
      </w:r>
      <w:r>
        <w:t xml:space="preserve">yardımcı referans kaynak</w:t>
      </w:r>
      <w:r>
        <w:t xml:space="preserve">’</w:t>
      </w:r>
      <w:r>
        <w:t xml:space="preserve"> </w:t>
      </w:r>
      <w:r>
        <w:t xml:space="preserve">ifadesi: Ticaret Bakanlığı 23.03.2020 tarihli 53410847 sayılı yazısı (AB BTB’leri).</w:t>
      </w:r>
    </w:p>
    <w:bookmarkEnd w:id="62"/>
    <w:bookmarkStart w:id="63" w:name="soru-cevap-d-7"/>
    <w:p>
      <w:pPr>
        <w:pStyle w:val="Heading4"/>
      </w:pPr>
      <w:r>
        <w:t xml:space="preserve">42. soru — Cevap: D</w:t>
      </w:r>
    </w:p>
    <w:p>
      <w:pPr>
        <w:pStyle w:val="FirstParagraph"/>
      </w:pPr>
      <w:r>
        <w:rPr>
          <w:iCs/>
          <w:i/>
        </w:rPr>
        <w:t xml:space="preserve">TARİFE · Tarife – GYKK · G4</w:t>
      </w:r>
    </w:p>
    <w:p>
      <w:pPr>
        <w:pStyle w:val="BodyText"/>
      </w:pPr>
      <w:r>
        <w:rPr>
          <w:bCs/>
          <w:b/>
        </w:rPr>
        <w:t xml:space="preserve">Doğru şık:</w:t>
      </w:r>
      <w:r>
        <w:t xml:space="preserve"> </w:t>
      </w:r>
      <w:r>
        <w:t xml:space="preserve">D) Motorlu taşıtlarda kullanılmak üzere tufte edilmiş halıların, motorlu taşıtların aksesuarı olarak 87.08 pozisyonunda değil, 57.03 pozisyonunda sınıflandırılması</w:t>
      </w:r>
    </w:p>
    <w:p>
      <w:pPr>
        <w:pStyle w:val="BodyText"/>
      </w:pPr>
      <w:r>
        <w:t xml:space="preserve">GYKK açıklama notlarında 3(a) kuralına örnek olarak, motorlu taşıtlarda kullanılmak üzere tufte edilmiş halıların taşıt aksesuarı olarak 87.08’de değil, halı olarak daha özel tanımlandıkları 57.03’te sınıflandırılması gösterilmiştir. Sökülmüş bisiklet 2(a) kuralının, mantar atfının kısmen mantardan eşyayı kapsaması 2(b) kuralının, sandviç ve patates cipsi takımı 3(b) kuralının (perakende takım), 30 uncu Fasıl 4 nolu not uyarınca 30.06’da sınıflandırma ise doğrudan 1 nolu kuralın (pozisyon metni ve not) örneğidir.</w:t>
      </w:r>
    </w:p>
    <w:p>
      <w:pPr>
        <w:pStyle w:val="BodyText"/>
      </w:pPr>
      <w:r>
        <w:rPr>
          <w:bCs/>
          <w:b/>
        </w:rPr>
        <w:t xml:space="preserve">Tuzak:</w:t>
      </w:r>
      <w:r>
        <w:t xml:space="preserve"> </w:t>
      </w:r>
      <w:r>
        <w:t xml:space="preserve">İki pozisyon arasında tercih yapılan her örneği 3(a) sanan aday, takımı esas niteliğe göre sınıflandıran 3(b) örneğine (sandviç takımı) kayar.</w:t>
      </w:r>
    </w:p>
    <w:p>
      <w:pPr>
        <w:pStyle w:val="BodyText"/>
      </w:pPr>
      <w:r>
        <w:rPr>
          <w:bCs/>
          <w:b/>
        </w:rPr>
        <w:t xml:space="preserve">Dayanak:</w:t>
      </w:r>
      <w:r>
        <w:t xml:space="preserve"> </w:t>
      </w:r>
      <w:r>
        <w:t xml:space="preserve">GYKK 3(a) ve açıklama notu (IV)(b)(1) (halı 57.03 / 87.08). Çeldiriciler: sökülmüş bisiklet → GYKK 2(a) (Kural 1 açıklama V(b)(2)); 45.03 mantar → GYKK 2(b) (açıklama X-XI); sandviç + cips takımı 16.02 → GYKK 3(b) (açıklama X(1)(a)); 30.06 → GYKK 1 (açıklama IV).</w:t>
      </w:r>
    </w:p>
    <w:bookmarkEnd w:id="63"/>
    <w:bookmarkStart w:id="64" w:name="soru-cevap-a-12"/>
    <w:p>
      <w:pPr>
        <w:pStyle w:val="Heading4"/>
      </w:pPr>
      <w:r>
        <w:t xml:space="preserve">43. soru — Cevap: A</w:t>
      </w:r>
    </w:p>
    <w:p>
      <w:pPr>
        <w:pStyle w:val="FirstParagraph"/>
      </w:pPr>
      <w:r>
        <w:rPr>
          <w:iCs/>
          <w:i/>
        </w:rPr>
        <w:t xml:space="preserve">TARİFE · Tarife – GYKK · O4</w:t>
      </w:r>
    </w:p>
    <w:p>
      <w:pPr>
        <w:pStyle w:val="BodyText"/>
      </w:pPr>
      <w:r>
        <w:rPr>
          <w:bCs/>
          <w:b/>
        </w:rPr>
        <w:t xml:space="preserve">Doğru şık:</w:t>
      </w:r>
      <w:r>
        <w:t xml:space="preserve"> </w:t>
      </w:r>
      <w:r>
        <w:t xml:space="preserve">A) Aynı dekoratif motiflere sahip, tek kutuda sunulan kol saati, cep tipi elektronik hesap makinesi ve tükenmez kalem</w:t>
      </w:r>
    </w:p>
    <w:p>
      <w:pPr>
        <w:pStyle w:val="BodyText"/>
      </w:pPr>
      <w:r>
        <w:t xml:space="preserve">Rehberin 7 nci maddesine göre aynı tasarıma veya dekoratif motiflere sahip olmak üzere birlikte sunulan eşya, özel bir gereksinmeyi karşılama veya belirli bir işlevi yerine getirme koşulunu doğrudan sağlamış sayılmaz; Örnek 3’te kol saati, hesap makinesi ve tükenmez kalemden oluşan grubun set oluşturmadığı belirtilmiştir. Dil öğrenme seti (Örnek 14), matkap ucu ve dübel seti (Örnek 12) ve tiramisu seti (Örnek 6) Rehberde set örneği olarak sayılmıştır; şampuan (3305.10) ve saç losyonu (3305.90) aynı pozisyonun farklı alt pozisyonlarında yer aldığından Rehberin 3 üncü maddesi ve Örnek 1 uyarınca set olarak sınıflandırılır.</w:t>
      </w:r>
    </w:p>
    <w:p>
      <w:pPr>
        <w:pStyle w:val="BodyText"/>
      </w:pPr>
      <w:r>
        <w:rPr>
          <w:bCs/>
          <w:b/>
        </w:rPr>
        <w:t xml:space="preserve">Tuzak:</w:t>
      </w:r>
      <w:r>
        <w:t xml:space="preserve"> </w:t>
      </w:r>
      <w:r>
        <w:t xml:space="preserve">Ortak tasarım ve tek kutuda sunumu set için yeterli sanan aday dekoratif eşya grubunu set kabul eder; aynı pozisyondaki şampuan ve losyonu ya da şarap içeren tiramisu setini set dışı sayar.</w:t>
      </w:r>
    </w:p>
    <w:p>
      <w:pPr>
        <w:pStyle w:val="BodyText"/>
      </w:pPr>
      <w:r>
        <w:rPr>
          <w:bCs/>
          <w:b/>
        </w:rPr>
        <w:t xml:space="preserve">Dayanak:</w:t>
      </w:r>
      <w:r>
        <w:t xml:space="preserve"> </w:t>
      </w:r>
      <w:r>
        <w:t xml:space="preserve">GYKK 3(b) açıklama notu (X) (perakende takım koşulları); 2016/6 sayılı Genelge eki Rehber md. 1, 3, 4, 7 ve Örnek 3 (set değil), Örnek 1, 6, 12, 14 (set).</w:t>
      </w:r>
    </w:p>
    <w:bookmarkEnd w:id="64"/>
    <w:bookmarkStart w:id="65" w:name="soru-cevap-b-5"/>
    <w:p>
      <w:pPr>
        <w:pStyle w:val="Heading4"/>
      </w:pPr>
      <w:r>
        <w:t xml:space="preserve">44. soru — Cevap: B</w:t>
      </w:r>
    </w:p>
    <w:p>
      <w:pPr>
        <w:pStyle w:val="FirstParagraph"/>
      </w:pPr>
      <w:r>
        <w:rPr>
          <w:iCs/>
          <w:i/>
        </w:rPr>
        <w:t xml:space="preserve">TARİFE · Tarife – tanımı verilen eşya · V4</w:t>
      </w:r>
    </w:p>
    <w:p>
      <w:pPr>
        <w:pStyle w:val="BodyText"/>
      </w:pPr>
      <w:r>
        <w:rPr>
          <w:bCs/>
          <w:b/>
        </w:rPr>
        <w:t xml:space="preserve">Doğru şık:</w:t>
      </w:r>
      <w:r>
        <w:t xml:space="preserve"> </w:t>
      </w:r>
      <w:r>
        <w:t xml:space="preserve">B) 04.10</w:t>
      </w:r>
    </w:p>
    <w:p>
      <w:pPr>
        <w:pStyle w:val="BodyText"/>
      </w:pPr>
      <w:r>
        <w:t xml:space="preserve">Armonize Sistem sınıflandırma görüşüne (0410.90/1) göre propolis, 1 ve 6 nolu GYK ile 04.10 pozisyonunda (</w:t>
      </w:r>
      <w:r>
        <w:t xml:space="preserve">‘</w:t>
      </w:r>
      <w:r>
        <w:t xml:space="preserve">Böcekler ve tarifenin başka yerinde belirtilmeyen veya yer almayan hayvansal menşeli yenilebilen diğer ürünler</w:t>
      </w:r>
      <w:r>
        <w:t xml:space="preserve">’</w:t>
      </w:r>
      <w:r>
        <w:t xml:space="preserve">) 0410.90 alt pozisyonunda sınıflandırılır. 04.09 yalnızca tabii balı kapsar; 13.01 lak, tabii sakız ve reçinelerin, 15.21 balmumu ve diğer böcek mumlarının pozisyonudur, oysa reçine ve balmumu propolisin yalnızca bileşenleridir. 05.11 insan tüketimine uygun olmayan hayvansal menşeli ürünlere ayrılmıştır; propolis ise insan tüketimine yöneliktir.</w:t>
      </w:r>
    </w:p>
    <w:p>
      <w:pPr>
        <w:pStyle w:val="BodyText"/>
      </w:pPr>
      <w:r>
        <w:rPr>
          <w:bCs/>
          <w:b/>
        </w:rPr>
        <w:t xml:space="preserve">Tuzak:</w:t>
      </w:r>
      <w:r>
        <w:t xml:space="preserve"> </w:t>
      </w:r>
      <w:r>
        <w:t xml:space="preserve">Tanımdaki</w:t>
      </w:r>
      <w:r>
        <w:t xml:space="preserve"> </w:t>
      </w:r>
      <w:r>
        <w:t xml:space="preserve">‘</w:t>
      </w:r>
      <w:r>
        <w:t xml:space="preserve">reçine</w:t>
      </w:r>
      <w:r>
        <w:t xml:space="preserve">’</w:t>
      </w:r>
      <w:r>
        <w:t xml:space="preserve"> </w:t>
      </w:r>
      <w:r>
        <w:t xml:space="preserve">ve</w:t>
      </w:r>
      <w:r>
        <w:t xml:space="preserve"> </w:t>
      </w:r>
      <w:r>
        <w:t xml:space="preserve">‘</w:t>
      </w:r>
      <w:r>
        <w:t xml:space="preserve">balmumu</w:t>
      </w:r>
      <w:r>
        <w:t xml:space="preserve">’</w:t>
      </w:r>
      <w:r>
        <w:t xml:space="preserve"> </w:t>
      </w:r>
      <w:r>
        <w:t xml:space="preserve">kelimeleri malzeme pozisyonlarına (13.01, 15.21),</w:t>
      </w:r>
      <w:r>
        <w:t xml:space="preserve"> </w:t>
      </w:r>
      <w:r>
        <w:t xml:space="preserve">‘</w:t>
      </w:r>
      <w:r>
        <w:t xml:space="preserve">bal arısı</w:t>
      </w:r>
      <w:r>
        <w:t xml:space="preserve">’</w:t>
      </w:r>
      <w:r>
        <w:t xml:space="preserve"> </w:t>
      </w:r>
      <w:r>
        <w:t xml:space="preserve">çağrışımı 04.09’a çeker.</w:t>
      </w:r>
    </w:p>
    <w:p>
      <w:pPr>
        <w:pStyle w:val="BodyText"/>
      </w:pPr>
      <w:r>
        <w:rPr>
          <w:bCs/>
          <w:b/>
        </w:rPr>
        <w:t xml:space="preserve">Dayanak:</w:t>
      </w:r>
      <w:r>
        <w:t xml:space="preserve"> </w:t>
      </w:r>
      <w:r>
        <w:t xml:space="preserve">GYKK 1 ve 6: 04.10 pozisyon metni (0410.90 Diğerleri). Çeldiriciler: 04.09 tabii bal (çağrışım), 13.01 reçineler (malzeme), 15.21 balmumu (malzeme), 05.11 yenilmeyen b.y.b. hayvansal ürünler (komşu pozisyon).</w:t>
      </w:r>
    </w:p>
    <w:bookmarkEnd w:id="65"/>
    <w:bookmarkStart w:id="66" w:name="soru-cevap-e-9"/>
    <w:p>
      <w:pPr>
        <w:pStyle w:val="Heading4"/>
      </w:pPr>
      <w:r>
        <w:t xml:space="preserve">45. soru — Cevap: E</w:t>
      </w:r>
    </w:p>
    <w:p>
      <w:pPr>
        <w:pStyle w:val="FirstParagraph"/>
      </w:pPr>
      <w:r>
        <w:rPr>
          <w:iCs/>
          <w:i/>
        </w:rPr>
        <w:t xml:space="preserve">TARİFE · Tarife – fasıl/pozisyon kapsamı · D5</w:t>
      </w:r>
    </w:p>
    <w:p>
      <w:pPr>
        <w:pStyle w:val="BodyText"/>
      </w:pPr>
      <w:r>
        <w:rPr>
          <w:bCs/>
          <w:b/>
        </w:rPr>
        <w:t xml:space="preserve">Doğru şık:</w:t>
      </w:r>
      <w:r>
        <w:t xml:space="preserve"> </w:t>
      </w:r>
      <w:r>
        <w:t xml:space="preserve">E) 19.04</w:t>
      </w:r>
    </w:p>
    <w:p>
      <w:pPr>
        <w:pStyle w:val="BodyText"/>
      </w:pPr>
      <w:r>
        <w:t xml:space="preserve">19.04 pozisyonu ön pişirme yapılmış veya başka surette hazırlanmış dane halindeki hububatı kapsar ve 1904.30 alt pozisyonu doğrudan</w:t>
      </w:r>
      <w:r>
        <w:t xml:space="preserve"> </w:t>
      </w:r>
      <w:r>
        <w:t xml:space="preserve">‘</w:t>
      </w:r>
      <w:r>
        <w:t xml:space="preserve">Bulgur’dur; 19.04 açıklama notunun (C) bendi, sert buğday tanelerinin pişirildikten sonra kurutulması, kabuğundan ayrılması, parçalanması ve elenmesiyle elde edilen işlenmiş tane halindeki bulguru bu gruba dahil eder. 11. Fasıl genel açıklamalarının hariçler (e) bendi ile 11.04 açıklama notunun hariçler (c) bendi de işlenmiş tane halindeki bulguru açıkça 19.04’e gönderir. 11. Fasıl 3 numaralı notunda 11.03’teki ’kabaca öğütülerek elde edilen küçük parçalar</w:t>
      </w:r>
      <w:r>
        <w:t xml:space="preserve">’</w:t>
      </w:r>
      <w:r>
        <w:t xml:space="preserve"> </w:t>
      </w:r>
      <w:r>
        <w:t xml:space="preserve">tabirinin yanında parantez içinde</w:t>
      </w:r>
      <w:r>
        <w:t xml:space="preserve"> </w:t>
      </w:r>
      <w:r>
        <w:t xml:space="preserve">‘</w:t>
      </w:r>
      <w:r>
        <w:t xml:space="preserve">(bulgur)</w:t>
      </w:r>
      <w:r>
        <w:t xml:space="preserve">’</w:t>
      </w:r>
      <w:r>
        <w:t xml:space="preserve"> </w:t>
      </w:r>
      <w:r>
        <w:t xml:space="preserve">ibaresi geçse de bu not yalnız elek kriterini tanımlar; pişirilerek hazırlanmış bulguru 11.03’e getirmez. 10.01 işlenmemiş buğday tanesini, 19.02 ise makarna ve kuskusu kapsar.</w:t>
      </w:r>
    </w:p>
    <w:p>
      <w:pPr>
        <w:pStyle w:val="BodyText"/>
      </w:pPr>
      <w:r>
        <w:rPr>
          <w:bCs/>
          <w:b/>
        </w:rPr>
        <w:t xml:space="preserve">Tuzak:</w:t>
      </w:r>
      <w:r>
        <w:t xml:space="preserve"> </w:t>
      </w:r>
      <w:r>
        <w:t xml:space="preserve">11.03 pozisyonu notundaki</w:t>
      </w:r>
      <w:r>
        <w:t xml:space="preserve"> </w:t>
      </w:r>
      <w:r>
        <w:t xml:space="preserve">‘</w:t>
      </w:r>
      <w:r>
        <w:t xml:space="preserve">(bulgur)</w:t>
      </w:r>
      <w:r>
        <w:t xml:space="preserve">’</w:t>
      </w:r>
      <w:r>
        <w:t xml:space="preserve"> </w:t>
      </w:r>
      <w:r>
        <w:t xml:space="preserve">ibaresine ve</w:t>
      </w:r>
      <w:r>
        <w:t xml:space="preserve"> </w:t>
      </w:r>
      <w:r>
        <w:t xml:space="preserve">‘</w:t>
      </w:r>
      <w:r>
        <w:t xml:space="preserve">kırılmış tane</w:t>
      </w:r>
      <w:r>
        <w:t xml:space="preserve">’</w:t>
      </w:r>
      <w:r>
        <w:t xml:space="preserve"> </w:t>
      </w:r>
      <w:r>
        <w:t xml:space="preserve">çağrışımına güvenen aday ön pişirme işlemini gözden kaçırarak 11.03’ü işaretler.</w:t>
      </w:r>
    </w:p>
    <w:p>
      <w:pPr>
        <w:pStyle w:val="BodyText"/>
      </w:pPr>
      <w:r>
        <w:rPr>
          <w:bCs/>
          <w:b/>
        </w:rPr>
        <w:t xml:space="preserve">Dayanak:</w:t>
      </w:r>
      <w:r>
        <w:t xml:space="preserve"> </w:t>
      </w:r>
      <w:r>
        <w:t xml:space="preserve">19.04 pozisyon metni ve 1904.30 alt pozisyonu; 19.04 Açıklama Notu (C); 11. Fasıl Genel Açıklamalar hariçler (e); 11.04 Açıklama Notu hariçler (c); 11. Fasıl Not 3. 10.01 → işlenmemiş buğday; 11.03 → hububatın kabaca öğütülmesinden elde edilen küçük parçalar, kaba unlar ve pelletler; 11.04 → yassılaştırılmış, yarma vb. diğer şekilde işlenmiş taneler; 19.02 → makarna ve kuskus; bulgur → 19.04 (1904.30).</w:t>
      </w:r>
    </w:p>
    <w:bookmarkEnd w:id="66"/>
    <w:bookmarkStart w:id="67" w:name="soru-cevap-d-8"/>
    <w:p>
      <w:pPr>
        <w:pStyle w:val="Heading4"/>
      </w:pPr>
      <w:r>
        <w:t xml:space="preserve">46. soru — Cevap: D</w:t>
      </w:r>
    </w:p>
    <w:p>
      <w:pPr>
        <w:pStyle w:val="FirstParagraph"/>
      </w:pPr>
      <w:r>
        <w:rPr>
          <w:iCs/>
          <w:i/>
        </w:rPr>
        <w:t xml:space="preserve">TARİFE · Tarife – fasıl/pozisyon kapsamı · O4</w:t>
      </w:r>
    </w:p>
    <w:p>
      <w:pPr>
        <w:pStyle w:val="BodyText"/>
      </w:pPr>
      <w:r>
        <w:rPr>
          <w:bCs/>
          <w:b/>
        </w:rPr>
        <w:t xml:space="preserve">Doğru şık:</w:t>
      </w:r>
      <w:r>
        <w:t xml:space="preserve"> </w:t>
      </w:r>
      <w:r>
        <w:t xml:space="preserve">D) Domates salçası</w:t>
      </w:r>
    </w:p>
    <w:p>
      <w:pPr>
        <w:pStyle w:val="BodyText"/>
      </w:pPr>
      <w:r>
        <w:t xml:space="preserve">21.03 pozisyonu soslar ve müstahzarlarını, çeşni ve lezzet verici karışımları, hardal unu ve kaba ununu ve hazır hardalı kapsar; soya sosu 2103.10, domates ketçabı 2103.20, hardal unu 2103.30 alt pozisyonundadır, mayonez de pozisyonun açıklama notunda sayılan örneklerdendir. Domates püresi, salçası veya konsantresi gibi homojenize hazırlanmış domatesler ise 20.02 pozisyonunda yer alır; 20.02 açıklama notu yalnız domates ketçabı ve diğer domates soslarını 21.03’e bırakır.</w:t>
      </w:r>
    </w:p>
    <w:p>
      <w:pPr>
        <w:pStyle w:val="BodyText"/>
      </w:pPr>
      <w:r>
        <w:rPr>
          <w:bCs/>
          <w:b/>
        </w:rPr>
        <w:t xml:space="preserve">Tuzak:</w:t>
      </w:r>
      <w:r>
        <w:t xml:space="preserve"> </w:t>
      </w:r>
      <w:r>
        <w:t xml:space="preserve">Ketçap ile salçayı aynı</w:t>
      </w:r>
      <w:r>
        <w:t xml:space="preserve"> </w:t>
      </w:r>
      <w:r>
        <w:t xml:space="preserve">‘</w:t>
      </w:r>
      <w:r>
        <w:t xml:space="preserve">domates sosu</w:t>
      </w:r>
      <w:r>
        <w:t xml:space="preserve">’</w:t>
      </w:r>
      <w:r>
        <w:t xml:space="preserve"> </w:t>
      </w:r>
      <w:r>
        <w:t xml:space="preserve">sayan aday salçayı da 21.03’te sanır; oysa salça hazırlanmış domates olarak 20.02’dedir.</w:t>
      </w:r>
    </w:p>
    <w:p>
      <w:pPr>
        <w:pStyle w:val="BodyText"/>
      </w:pPr>
      <w:r>
        <w:rPr>
          <w:bCs/>
          <w:b/>
        </w:rPr>
        <w:t xml:space="preserve">Dayanak:</w:t>
      </w:r>
      <w:r>
        <w:t xml:space="preserve"> </w:t>
      </w:r>
      <w:r>
        <w:t xml:space="preserve">TGTC 21.03 pozisyon metni ve 2103.10/2103.20/2103.30 alt pozisyonları; 21.03 Açıklama Notu (A); 20.02 Açıklama Notu. Domates ketçabı → 2103.20; domates salçası → 20.02 (2002.90); mayonez → 21.03; hardal unu → 2103.30; soya sosu → 2103.10.</w:t>
      </w:r>
    </w:p>
    <w:bookmarkEnd w:id="67"/>
    <w:bookmarkStart w:id="68" w:name="soru-cevap-c-8"/>
    <w:p>
      <w:pPr>
        <w:pStyle w:val="Heading4"/>
      </w:pPr>
      <w:r>
        <w:t xml:space="preserve">47. soru — Cevap: C</w:t>
      </w:r>
    </w:p>
    <w:p>
      <w:pPr>
        <w:pStyle w:val="FirstParagraph"/>
      </w:pPr>
      <w:r>
        <w:rPr>
          <w:iCs/>
          <w:i/>
        </w:rPr>
        <w:t xml:space="preserve">TARİFE · Tarife – notlar, izahname · O4</w:t>
      </w:r>
    </w:p>
    <w:p>
      <w:pPr>
        <w:pStyle w:val="BodyText"/>
      </w:pPr>
      <w:r>
        <w:rPr>
          <w:bCs/>
          <w:b/>
        </w:rPr>
        <w:t xml:space="preserve">Doğru şık:</w:t>
      </w:r>
      <w:r>
        <w:t xml:space="preserve"> </w:t>
      </w:r>
      <w:r>
        <w:t xml:space="preserve">C) Düğümlü yün halı</w:t>
      </w:r>
    </w:p>
    <w:p>
      <w:pPr>
        <w:numPr>
          <w:ilvl w:val="0"/>
          <w:numId w:val="1002"/>
        </w:numPr>
        <w:pStyle w:val="Compact"/>
      </w:pPr>
      <w:r>
        <w:t xml:space="preserve">Fasıl 3 numaralı notuna göre 63.09 pozisyonu yalnız dokumaya elverişli maddelerden giyim eşyası, battaniyeler, yatak çarşafı ve masa örtüleri ile 57.01-57.05 pozisyonlarındaki halılar ve 58.05’teki duvar halıları dışındaki mefruşat eşyasını; ayrıca amyant dışındaki herhangi bir maddeden ayakkabı ve başlıkları kapsar. Kullanılmış halı bu nedenle 57. fasılda (düğümlü halı 57.01) kalır; diğer dört eşya, fazlaca kullanılmış olma ve dökme veya balya halinde sunulma şartlarını taşıdığından 63.09’dadır.</w:t>
      </w:r>
    </w:p>
    <w:p>
      <w:pPr>
        <w:pStyle w:val="FirstParagraph"/>
      </w:pPr>
      <w:r>
        <w:rPr>
          <w:bCs/>
          <w:b/>
        </w:rPr>
        <w:t xml:space="preserve">Tuzak:</w:t>
      </w:r>
      <w:r>
        <w:t xml:space="preserve"> </w:t>
      </w:r>
      <w:r>
        <w:t xml:space="preserve">‘</w:t>
      </w:r>
      <w:r>
        <w:t xml:space="preserve">Kullanılmış tekstil eşyası 63.09’a gider</w:t>
      </w:r>
      <w:r>
        <w:t xml:space="preserve">’</w:t>
      </w:r>
      <w:r>
        <w:t xml:space="preserve"> </w:t>
      </w:r>
      <w:r>
        <w:t xml:space="preserve">genellemesiyle hareket eden aday notta halıların açıkça dışarıda bırakıldığını, deri ayakkabının ise kapsamda olduğunu gözden kaçırır.</w:t>
      </w:r>
    </w:p>
    <w:p>
      <w:pPr>
        <w:pStyle w:val="BodyText"/>
      </w:pPr>
      <w:r>
        <w:rPr>
          <w:bCs/>
          <w:b/>
        </w:rPr>
        <w:t xml:space="preserve">Dayanak:</w:t>
      </w:r>
      <w:r>
        <w:t xml:space="preserve"> </w:t>
      </w:r>
      <w:r>
        <w:t xml:space="preserve">63. Fasıl Not 3 (a)(i)-(iv), (b) ve iki şart; 57.01 pozisyon metni. Pamuklu gömlek, yün battaniye, masa örtüsü → 63.09 (Not 3(a)); deri ayakkabı → 63.09 (Not 3(b)); düğümlü yün halı → 57.01.</w:t>
      </w:r>
    </w:p>
    <w:bookmarkEnd w:id="68"/>
    <w:bookmarkStart w:id="69" w:name="soru-cevap-e-10"/>
    <w:p>
      <w:pPr>
        <w:pStyle w:val="Heading4"/>
      </w:pPr>
      <w:r>
        <w:t xml:space="preserve">48. soru — Cevap: E</w:t>
      </w:r>
    </w:p>
    <w:p>
      <w:pPr>
        <w:pStyle w:val="FirstParagraph"/>
      </w:pPr>
      <w:r>
        <w:rPr>
          <w:iCs/>
          <w:i/>
        </w:rPr>
        <w:t xml:space="preserve">TARİFE · Tarife – notlar, izahname · O4</w:t>
      </w:r>
    </w:p>
    <w:p>
      <w:pPr>
        <w:pStyle w:val="BodyText"/>
      </w:pPr>
      <w:r>
        <w:rPr>
          <w:bCs/>
          <w:b/>
        </w:rPr>
        <w:t xml:space="preserve">Doğru şık:</w:t>
      </w:r>
      <w:r>
        <w:t xml:space="preserve"> </w:t>
      </w:r>
      <w:r>
        <w:t xml:space="preserve">E) Kimya sanayiinde kullanılan, seramikten mamul asit pompası</w:t>
      </w:r>
    </w:p>
    <w:p>
      <w:pPr>
        <w:numPr>
          <w:ilvl w:val="0"/>
          <w:numId w:val="1003"/>
        </w:numPr>
        <w:pStyle w:val="Compact"/>
      </w:pPr>
      <w:r>
        <w:t xml:space="preserve">Fasıl 1(b) notuna göre seramikten mamul makina, cihaz ve aletler (pompalar gibi) bu fasla dahil değildir; seramik pompalar 69.09 pozisyonunda teknik işlerde kullanılan seramik eşya olarak yer alır. Buna karşılık XVI. Bölüm genel açıklamalarına göre tamamı plastikten mamul pompalar bu bölümde kalır (84.13); el ile kullanılan püskürtücüler 84.24, ev tipi bulaşık makineleri 84.22, merkezi ısıtma kazanları 84.03 pozisyonundadır.</w:t>
      </w:r>
    </w:p>
    <w:p>
      <w:pPr>
        <w:pStyle w:val="FirstParagraph"/>
      </w:pPr>
      <w:r>
        <w:rPr>
          <w:bCs/>
          <w:b/>
        </w:rPr>
        <w:t xml:space="preserve">Tuzak:</w:t>
      </w:r>
      <w:r>
        <w:t xml:space="preserve"> </w:t>
      </w:r>
      <w:r>
        <w:t xml:space="preserve">‘</w:t>
      </w:r>
      <w:r>
        <w:t xml:space="preserve">Pompa 84.13’tedir</w:t>
      </w:r>
      <w:r>
        <w:t xml:space="preserve">’</w:t>
      </w:r>
      <w:r>
        <w:t xml:space="preserve"> </w:t>
      </w:r>
      <w:r>
        <w:t xml:space="preserve">kalıbıyla düşünen aday malzemesi seramik olan pompanın fasıl notuyla 69. fasla gönderildiğini fark etmez; plastik pompayı ise yanlışlıkla 39. fasla atar.</w:t>
      </w:r>
    </w:p>
    <w:p>
      <w:pPr>
        <w:pStyle w:val="BodyText"/>
      </w:pPr>
      <w:r>
        <w:rPr>
          <w:bCs/>
          <w:b/>
        </w:rPr>
        <w:t xml:space="preserve">Dayanak:</w:t>
      </w:r>
      <w:r>
        <w:t xml:space="preserve"> </w:t>
      </w:r>
      <w:r>
        <w:t xml:space="preserve">84. Fasıl Not 1(b); XVI. Bölüm Genel Açıklamalar (I)(B); 69.09 Açıklama Notu (2). Plastik pompa → 84.13; el ile kullanılan püskürtücü → 84.24; seramik asit pompası → 69.09; ev tipi bulaşık makinesi → 84.22; merkezi ısıtma kazanı → 84.03.</w:t>
      </w:r>
    </w:p>
    <w:bookmarkEnd w:id="69"/>
    <w:bookmarkStart w:id="70" w:name="soru-cevap-b-6"/>
    <w:p>
      <w:pPr>
        <w:pStyle w:val="Heading4"/>
      </w:pPr>
      <w:r>
        <w:t xml:space="preserve">49. soru — Cevap: B</w:t>
      </w:r>
    </w:p>
    <w:p>
      <w:pPr>
        <w:pStyle w:val="FirstParagraph"/>
      </w:pPr>
      <w:r>
        <w:rPr>
          <w:iCs/>
          <w:i/>
        </w:rPr>
        <w:t xml:space="preserve">TARİFE · Tarife – notlar, izahname · D5</w:t>
      </w:r>
    </w:p>
    <w:p>
      <w:pPr>
        <w:pStyle w:val="BodyText"/>
      </w:pPr>
      <w:r>
        <w:rPr>
          <w:bCs/>
          <w:b/>
        </w:rPr>
        <w:t xml:space="preserve">Doğru şık:</w:t>
      </w:r>
      <w:r>
        <w:t xml:space="preserve"> </w:t>
      </w:r>
      <w:r>
        <w:t xml:space="preserve">B) Oyuncak bebeklere mahsus, mekanik tertibatı olmayan camdan gözler</w:t>
      </w:r>
    </w:p>
    <w:p>
      <w:pPr>
        <w:pStyle w:val="BodyText"/>
      </w:pPr>
      <w:r>
        <w:t xml:space="preserve">70.18 pozisyonu protez olanlar hariç camdan gözleri kapsar; 70. Fasıl 1(h) notu da oyuncak bebeklere ve 95. Fasıldaki diğer eşyaya mahsus mekanik tertibatı olmayan cam gözleri fasıl dışına çıkarılan oyuncaklardan ayrık tutarak 70. fasılda bırakır. İnsanlara mahsus protez gözler 90.21, Noel ağacı süsleri 95.05, elektrik izolatörleri 85.46, parfüm spreyleri 96.16 pozisyonunda yer alır.</w:t>
      </w:r>
    </w:p>
    <w:p>
      <w:pPr>
        <w:pStyle w:val="BodyText"/>
      </w:pPr>
      <w:r>
        <w:rPr>
          <w:bCs/>
          <w:b/>
        </w:rPr>
        <w:t xml:space="preserve">Tuzak:</w:t>
      </w:r>
      <w:r>
        <w:t xml:space="preserve"> </w:t>
      </w:r>
      <w:r>
        <w:t xml:space="preserve">Bebek gözünü oyuncak parçası sayıp 95. fasla, insan protez gözünü ise malzemesi nedeniyle 70. fasla götüren aday işlev ile malzeme ayrımını ters kurar.</w:t>
      </w:r>
    </w:p>
    <w:p>
      <w:pPr>
        <w:pStyle w:val="BodyText"/>
      </w:pPr>
      <w:r>
        <w:rPr>
          <w:bCs/>
          <w:b/>
        </w:rPr>
        <w:t xml:space="preserve">Dayanak:</w:t>
      </w:r>
      <w:r>
        <w:t xml:space="preserve"> </w:t>
      </w:r>
      <w:r>
        <w:t xml:space="preserve">70. Fasıl Not 1 (c), (f), (h), (ij); 70.18 pozisyon metni ve Açıklama Notu (F). Bebek cam gözü → 70.18; protez göz → 90.21; Noel ağacı süs küresi → 95.05; cam izolatör → 85.46; parfüm spreyi → 96.16.</w:t>
      </w:r>
    </w:p>
    <w:bookmarkEnd w:id="70"/>
    <w:bookmarkStart w:id="71" w:name="soru-cevap-c-9"/>
    <w:p>
      <w:pPr>
        <w:pStyle w:val="Heading4"/>
      </w:pPr>
      <w:r>
        <w:t xml:space="preserve">50. soru — Cevap: C</w:t>
      </w:r>
    </w:p>
    <w:p>
      <w:pPr>
        <w:pStyle w:val="FirstParagraph"/>
      </w:pPr>
      <w:r>
        <w:rPr>
          <w:iCs/>
          <w:i/>
        </w:rPr>
        <w:t xml:space="preserve">TARİFE · Tarife – fasıl/pozisyon kapsamı · O4</w:t>
      </w:r>
    </w:p>
    <w:p>
      <w:pPr>
        <w:pStyle w:val="BodyText"/>
      </w:pPr>
      <w:r>
        <w:rPr>
          <w:bCs/>
          <w:b/>
        </w:rPr>
        <w:t xml:space="preserve">Doğru şık:</w:t>
      </w:r>
      <w:r>
        <w:t xml:space="preserve"> </w:t>
      </w:r>
      <w:r>
        <w:t xml:space="preserve">C) Paslanmaz çelikten çay kaşığı</w:t>
      </w:r>
    </w:p>
    <w:p>
      <w:pPr>
        <w:pStyle w:val="BodyText"/>
      </w:pPr>
      <w:r>
        <w:t xml:space="preserve">Kaşıklar, çatallar, kepçeler ve benzeri mutfak ve sofra eşyası, demir veya çelikten olsa dahi 82.15 pozisyonunda yer alır; 73.23 pozisyonunun açıklama notu 82.11 ila 82.15 pozisyonlarındaki bıçakçı eşyasını, kaşık ve çatalları açıkça hariç tutar. Düdüklü tencere ve çelik yünü 73.23, odun yakan soba 73.21, paslanmaz çelikten evye 73.24 (7324.10) pozisyonunda, yani 73 üncü fasılda sınıflandırılır.</w:t>
      </w:r>
    </w:p>
    <w:p>
      <w:pPr>
        <w:pStyle w:val="BodyText"/>
      </w:pPr>
      <w:r>
        <w:rPr>
          <w:bCs/>
          <w:b/>
        </w:rPr>
        <w:t xml:space="preserve">Tuzak:</w:t>
      </w:r>
      <w:r>
        <w:t xml:space="preserve"> </w:t>
      </w:r>
      <w:r>
        <w:t xml:space="preserve">Malzemeyi esas alan aday paslanmaz çelikten çay kaşığını da sofra eşyası olarak 73.23’e yerleştirir; oysa kaşıklar işlevleri nedeniyle 82.15’tedir.</w:t>
      </w:r>
    </w:p>
    <w:p>
      <w:pPr>
        <w:pStyle w:val="BodyText"/>
      </w:pPr>
      <w:r>
        <w:rPr>
          <w:bCs/>
          <w:b/>
        </w:rPr>
        <w:t xml:space="preserve">Dayanak:</w:t>
      </w:r>
      <w:r>
        <w:t xml:space="preserve"> </w:t>
      </w:r>
      <w:r>
        <w:t xml:space="preserve">TGTC 82.15 pozisyon metni; 73.23 Açıklama Notu hariçler (e). Düdüklü tencere → 73.23; odun yakan soba → 73.21; paslanmaz çelik mutfak evyesi → 73.24 (7324.10); çelik yünü → 73.23 (7323.10); paslanmaz çelik çay kaşığı → 82.15.</w:t>
      </w:r>
    </w:p>
    <w:bookmarkEnd w:id="71"/>
    <w:bookmarkStart w:id="72" w:name="soru-cevap-d-9"/>
    <w:p>
      <w:pPr>
        <w:pStyle w:val="Heading4"/>
      </w:pPr>
      <w:r>
        <w:t xml:space="preserve">51. soru — Cevap: D</w:t>
      </w:r>
    </w:p>
    <w:p>
      <w:pPr>
        <w:pStyle w:val="FirstParagraph"/>
      </w:pPr>
      <w:r>
        <w:rPr>
          <w:iCs/>
          <w:i/>
        </w:rPr>
        <w:t xml:space="preserve">TARİFE · Tarife – fasıl/pozisyon kapsamı · D4</w:t>
      </w:r>
    </w:p>
    <w:p>
      <w:pPr>
        <w:pStyle w:val="BodyText"/>
      </w:pPr>
      <w:r>
        <w:rPr>
          <w:bCs/>
          <w:b/>
        </w:rPr>
        <w:t xml:space="preserve">Doğru şık:</w:t>
      </w:r>
      <w:r>
        <w:t xml:space="preserve"> </w:t>
      </w:r>
      <w:r>
        <w:t xml:space="preserve">D) Hassasiyeti 1 miligram olan analitik terazi</w:t>
      </w:r>
    </w:p>
    <w:p>
      <w:pPr>
        <w:pStyle w:val="BodyText"/>
      </w:pPr>
      <w:r>
        <w:t xml:space="preserve">84.23 pozisyonu tartı alet ve cihazlarını kapsar; ancak hassasiyeti 5 santigram veya daha iyi olan teraziler pozisyon metninde hariç tutulmuş ve 90.16 pozisyonuna verilmiştir. 1 miligram (0,1 santigram) hassasiyetli analitik terazi bu eşikten daha hassas olduğundan 90.16’dadır; bebek baskülü (8423.10), yaylı el kantarı, köprü tipi baskül ve mektup terazisi 84.23 açıklama notunda sayılan cihazlardır.</w:t>
      </w:r>
    </w:p>
    <w:p>
      <w:pPr>
        <w:pStyle w:val="BodyText"/>
      </w:pPr>
      <w:r>
        <w:rPr>
          <w:bCs/>
          <w:b/>
        </w:rPr>
        <w:t xml:space="preserve">Tuzak:</w:t>
      </w:r>
      <w:r>
        <w:t xml:space="preserve"> </w:t>
      </w:r>
      <w:r>
        <w:t xml:space="preserve">Bütün tartı aletlerini 84.23’te toplayan ya da 1 miligramı 5 santigramla karşılaştıramayan aday farklı olanı bulamaz.</w:t>
      </w:r>
    </w:p>
    <w:p>
      <w:pPr>
        <w:pStyle w:val="BodyText"/>
      </w:pPr>
      <w:r>
        <w:rPr>
          <w:bCs/>
          <w:b/>
        </w:rPr>
        <w:t xml:space="preserve">Dayanak:</w:t>
      </w:r>
      <w:r>
        <w:t xml:space="preserve"> </w:t>
      </w:r>
      <w:r>
        <w:t xml:space="preserve">84.23 ve 90.16 pozisyon metinleri; 84.23 Açıklama Notu (1), (3), (4), (6); 90.16 Açıklama Notu (1). 1 mg hassasiyetli analitik terazi → 90.16; bebek baskülü → 8423.10; yaylı el kantarı → 84.23; köprü tipi baskül → 84.23; mektup terazisi → 84.23.</w:t>
      </w:r>
    </w:p>
    <w:bookmarkEnd w:id="72"/>
    <w:bookmarkStart w:id="73" w:name="soru-cevap-e-11"/>
    <w:p>
      <w:pPr>
        <w:pStyle w:val="Heading4"/>
      </w:pPr>
      <w:r>
        <w:t xml:space="preserve">52. soru — Cevap: E</w:t>
      </w:r>
    </w:p>
    <w:p>
      <w:pPr>
        <w:pStyle w:val="FirstParagraph"/>
      </w:pPr>
      <w:r>
        <w:rPr>
          <w:iCs/>
          <w:i/>
        </w:rPr>
        <w:t xml:space="preserve">TARİFE · Tarife – fasıl/pozisyon kapsamı · D4</w:t>
      </w:r>
    </w:p>
    <w:p>
      <w:pPr>
        <w:pStyle w:val="BodyText"/>
      </w:pPr>
      <w:r>
        <w:rPr>
          <w:bCs/>
          <w:b/>
        </w:rPr>
        <w:t xml:space="preserve">Doğru şık:</w:t>
      </w:r>
      <w:r>
        <w:t xml:space="preserve"> </w:t>
      </w:r>
      <w:r>
        <w:t xml:space="preserve">E) Kendinden elektrik motorlu saç kesme makinesi</w:t>
      </w:r>
    </w:p>
    <w:p>
      <w:pPr>
        <w:pStyle w:val="BodyText"/>
      </w:pPr>
      <w:r>
        <w:t xml:space="preserve">Kendinden elektrik motorlu traş, saç kesme ve hayvan kırkma makineleri 85.10 pozisyonunda (8510.20) sınıflandırılır. Saç kurutucular (8516.31), saç kıvırma cihazları gibi berber işleri için elektrotermik cihazlar (8516.32), el kurutma cihazları (8516.33) ve elektrikli ütüler (8516.40) ise 85.16 pozisyonunda yer alır.</w:t>
      </w:r>
    </w:p>
    <w:p>
      <w:pPr>
        <w:pStyle w:val="BodyText"/>
      </w:pPr>
      <w:r>
        <w:rPr>
          <w:bCs/>
          <w:b/>
        </w:rPr>
        <w:t xml:space="preserve">Tuzak:</w:t>
      </w:r>
      <w:r>
        <w:t xml:space="preserve"> </w:t>
      </w:r>
      <w:r>
        <w:t xml:space="preserve">Saç bakımına yönelik bütün cihazları</w:t>
      </w:r>
      <w:r>
        <w:t xml:space="preserve"> </w:t>
      </w:r>
      <w:r>
        <w:t xml:space="preserve">‘</w:t>
      </w:r>
      <w:r>
        <w:t xml:space="preserve">berber işleri için cihaz</w:t>
      </w:r>
      <w:r>
        <w:t xml:space="preserve">’</w:t>
      </w:r>
      <w:r>
        <w:t xml:space="preserve"> </w:t>
      </w:r>
      <w:r>
        <w:t xml:space="preserve">sayan aday, motorla kesme yapan makine ile ısıyla çalışan elektrotermik cihaz ayrımını kaçırır.</w:t>
      </w:r>
    </w:p>
    <w:p>
      <w:pPr>
        <w:pStyle w:val="BodyText"/>
      </w:pPr>
      <w:r>
        <w:rPr>
          <w:bCs/>
          <w:b/>
        </w:rPr>
        <w:t xml:space="preserve">Dayanak:</w:t>
      </w:r>
      <w:r>
        <w:t xml:space="preserve"> </w:t>
      </w:r>
      <w:r>
        <w:t xml:space="preserve">85.10 ve 85.16 pozisyon metinleri ve alt pozisyonları; 85.16 Açıklama Notu (C), (D). Fanlı saç kurutucu → 8516.31; saç kesme makinesi → 8510.20; saç kıvırma cihazı → 8516.32; el kurutma cihazı → 8516.33; elektrikli ütü → 8516.40.</w:t>
      </w:r>
    </w:p>
    <w:bookmarkEnd w:id="73"/>
    <w:bookmarkStart w:id="74" w:name="soru-cevap-b-7"/>
    <w:p>
      <w:pPr>
        <w:pStyle w:val="Heading4"/>
      </w:pPr>
      <w:r>
        <w:t xml:space="preserve">53. soru — Cevap: B</w:t>
      </w:r>
    </w:p>
    <w:p>
      <w:pPr>
        <w:pStyle w:val="FirstParagraph"/>
      </w:pPr>
      <w:r>
        <w:rPr>
          <w:iCs/>
          <w:i/>
        </w:rPr>
        <w:t xml:space="preserve">TARİFE · Tarife – tanımı verilen eşya · V4</w:t>
      </w:r>
    </w:p>
    <w:p>
      <w:pPr>
        <w:pStyle w:val="BodyText"/>
      </w:pPr>
      <w:r>
        <w:rPr>
          <w:bCs/>
          <w:b/>
        </w:rPr>
        <w:t xml:space="preserve">Doğru şık:</w:t>
      </w:r>
      <w:r>
        <w:t xml:space="preserve"> </w:t>
      </w:r>
      <w:r>
        <w:t xml:space="preserve">B) 85.12</w:t>
      </w:r>
    </w:p>
    <w:p>
      <w:pPr>
        <w:pStyle w:val="BodyText"/>
      </w:pPr>
      <w:r>
        <w:t xml:space="preserve">85.12 pozisyonu motorlu taşıtlarda kullanılan türden elektrikli aydınlatma ve işaret cihazlarını kapsar; pozisyon açıklama notlarında sürücüyü civarda radar veya lazer gibi bir hız kontrol cihazının bulunduğu konusunda görsel veya ses sinyalleriyle uyaran elektrikli cihazlar açıkça sayılmıştır (sınıflandırma görüşü 8512.30/1). Cihaz radar sinyali yaymadığından 85.26 (radar cihazları) kapsamına girmez; 85.31’in pozisyon metni 85.12’deki cihazları hariç tutar. 90.29 hız göstergelerini kapsar; plastik gövde ise eşyayı 39.26’ya götürmez, çünkü 39. Fasıl XVI. Bölüme giren elektrikli cihazları kapsamaz.</w:t>
      </w:r>
    </w:p>
    <w:p>
      <w:pPr>
        <w:pStyle w:val="BodyText"/>
      </w:pPr>
      <w:r>
        <w:rPr>
          <w:bCs/>
          <w:b/>
        </w:rPr>
        <w:t xml:space="preserve">Tuzak:</w:t>
      </w:r>
      <w:r>
        <w:t xml:space="preserve"> </w:t>
      </w:r>
      <w:r>
        <w:t xml:space="preserve">‘</w:t>
      </w:r>
      <w:r>
        <w:t xml:space="preserve">Radar</w:t>
      </w:r>
      <w:r>
        <w:t xml:space="preserve">’</w:t>
      </w:r>
      <w:r>
        <w:t xml:space="preserve"> </w:t>
      </w:r>
      <w:r>
        <w:t xml:space="preserve">kelimesi 85.26’ya,</w:t>
      </w:r>
      <w:r>
        <w:t xml:space="preserve"> </w:t>
      </w:r>
      <w:r>
        <w:t xml:space="preserve">‘</w:t>
      </w:r>
      <w:r>
        <w:t xml:space="preserve">hız kontrolü</w:t>
      </w:r>
      <w:r>
        <w:t xml:space="preserve">’</w:t>
      </w:r>
      <w:r>
        <w:t xml:space="preserve"> </w:t>
      </w:r>
      <w:r>
        <w:t xml:space="preserve">90.29’a, uyarı sinyali genel işaret cihazları pozisyonu 85.31’e çeker.</w:t>
      </w:r>
    </w:p>
    <w:p>
      <w:pPr>
        <w:pStyle w:val="BodyText"/>
      </w:pPr>
      <w:r>
        <w:rPr>
          <w:bCs/>
          <w:b/>
        </w:rPr>
        <w:t xml:space="preserve">Dayanak:</w:t>
      </w:r>
      <w:r>
        <w:t xml:space="preserve"> </w:t>
      </w:r>
      <w:r>
        <w:t xml:space="preserve">GYKK 1 ve 6: 85.12 pozisyon metni ve açıklama notu (14) numaralı grup. Çeldiriciler: 39.26 (plastik eşya - malzeme; Fasıl 39 Not 2(s) XVI. Bölüm eşyasını hariç tutar), 85.26 (radar cihazları - çağrışım), 85.31 (sesli/görüntülü işaret cihazları; metni 85.12’dekileri hariç tutar), 90.29 (hız göstergeleri - çağrışım).</w:t>
      </w:r>
    </w:p>
    <w:bookmarkEnd w:id="74"/>
    <w:bookmarkStart w:id="75" w:name="soru-cevap-a-13"/>
    <w:p>
      <w:pPr>
        <w:pStyle w:val="Heading4"/>
      </w:pPr>
      <w:r>
        <w:t xml:space="preserve">54. soru — Cevap: A</w:t>
      </w:r>
    </w:p>
    <w:p>
      <w:pPr>
        <w:pStyle w:val="FirstParagraph"/>
      </w:pPr>
      <w:r>
        <w:rPr>
          <w:iCs/>
          <w:i/>
        </w:rPr>
        <w:t xml:space="preserve">TARİFE · Tarife – fasıl/pozisyon kapsamı · O4</w:t>
      </w:r>
    </w:p>
    <w:p>
      <w:pPr>
        <w:pStyle w:val="BodyText"/>
      </w:pPr>
      <w:r>
        <w:rPr>
          <w:bCs/>
          <w:b/>
        </w:rPr>
        <w:t xml:space="preserve">Doğru şık:</w:t>
      </w:r>
      <w:r>
        <w:t xml:space="preserve"> </w:t>
      </w:r>
      <w:r>
        <w:t xml:space="preserve">A) Sürücü dahil on kişi taşımaya mahsus motorlu taşıt</w:t>
      </w:r>
    </w:p>
    <w:p>
      <w:pPr>
        <w:pStyle w:val="BodyText"/>
      </w:pPr>
      <w:r>
        <w:t xml:space="preserve">87.02 pozisyonu sürücü dahil on veya daha fazla kişi taşımaya mahsus motorlu taşıtları kapsar; 87.03 pozisyon metni 87.02’ye girenleri açıkça hariç tutar. Kar taşıtları ve golf arabaları 8703.10 alt pozisyonunda; ambulanslar ile içinde oturulup yatılmak üzere düzenlenmiş motorlu karavanlar 87.03 açıklama notunda sayılan taşıtlar olarak 87.03’te yer alır.</w:t>
      </w:r>
    </w:p>
    <w:p>
      <w:pPr>
        <w:pStyle w:val="BodyText"/>
      </w:pPr>
      <w:r>
        <w:rPr>
          <w:bCs/>
          <w:b/>
        </w:rPr>
        <w:t xml:space="preserve">Tuzak:</w:t>
      </w:r>
      <w:r>
        <w:t xml:space="preserve"> </w:t>
      </w:r>
      <w:r>
        <w:t xml:space="preserve">Ambulansı özel amaçlı taşıt sanıp 87.05’e götüren ya da on kişilik eşiği sürücü hariç hesaplayan aday doğru cevabı kaçırır.</w:t>
      </w:r>
    </w:p>
    <w:p>
      <w:pPr>
        <w:pStyle w:val="BodyText"/>
      </w:pPr>
      <w:r>
        <w:rPr>
          <w:bCs/>
          <w:b/>
        </w:rPr>
        <w:t xml:space="preserve">Dayanak:</w:t>
      </w:r>
      <w:r>
        <w:t xml:space="preserve"> </w:t>
      </w:r>
      <w:r>
        <w:t xml:space="preserve">87.02 ve 87.03 pozisyon metinleri; 8703.10 alt pozisyonu; 87.03 Açıklama Notu (1) ve (2)(b)-(c). Kar taşıtı → 8703.10; golf arabası → 8703.10; ambulans → 87.03; motorlu karavan → 87.03; sürücü dahil on kişilik taşıt → 87.02.</w:t>
      </w:r>
    </w:p>
    <w:bookmarkEnd w:id="75"/>
    <w:bookmarkStart w:id="76" w:name="soru-cevap-b-8"/>
    <w:p>
      <w:pPr>
        <w:pStyle w:val="Heading4"/>
      </w:pPr>
      <w:r>
        <w:t xml:space="preserve">55. soru — Cevap: B</w:t>
      </w:r>
    </w:p>
    <w:p>
      <w:pPr>
        <w:pStyle w:val="FirstParagraph"/>
      </w:pPr>
      <w:r>
        <w:rPr>
          <w:iCs/>
          <w:i/>
        </w:rPr>
        <w:t xml:space="preserve">TARİFE · Tarife – fasıl/pozisyon kapsamı · D5</w:t>
      </w:r>
    </w:p>
    <w:p>
      <w:pPr>
        <w:pStyle w:val="BodyText"/>
      </w:pPr>
      <w:r>
        <w:rPr>
          <w:bCs/>
          <w:b/>
        </w:rPr>
        <w:t xml:space="preserve">Doğru şık:</w:t>
      </w:r>
      <w:r>
        <w:t xml:space="preserve"> </w:t>
      </w:r>
      <w:r>
        <w:t xml:space="preserve">B) Fotoğraf makinesi için tripod</w:t>
      </w:r>
    </w:p>
    <w:p>
      <w:pPr>
        <w:pStyle w:val="BodyText"/>
      </w:pPr>
      <w:r>
        <w:t xml:space="preserve">Monopodlar, bipodlar, tripodlar ve benzeri eşya 96.20 pozisyonunda yer alır. 96. Fasıl 1 numaralı notu makyaj veya tuvalet kalemlerini (33. Fasıl), şemsiye ve bastonların aksam ve parçaları gibi 66. Fasıl eşyasını (66.03), taklit mücevheratı (71.17) ve teknik çizim kalemleri gibi 90. Fasıl eşyasını (90.17) bu fasıl dışında bırakır; çizgi çizmeye mahsus mürekkepli kalem olan tirlin, 90.17 açıklama notunda sayılan çizim aletlerindendir.</w:t>
      </w:r>
    </w:p>
    <w:p>
      <w:pPr>
        <w:pStyle w:val="BodyText"/>
      </w:pPr>
      <w:r>
        <w:rPr>
          <w:bCs/>
          <w:b/>
        </w:rPr>
        <w:t xml:space="preserve">Tuzak:</w:t>
      </w:r>
      <w:r>
        <w:t xml:space="preserve"> </w:t>
      </w:r>
      <w:r>
        <w:t xml:space="preserve">‘</w:t>
      </w:r>
      <w:r>
        <w:t xml:space="preserve">Kalem</w:t>
      </w:r>
      <w:r>
        <w:t xml:space="preserve">’</w:t>
      </w:r>
      <w:r>
        <w:t xml:space="preserve"> </w:t>
      </w:r>
      <w:r>
        <w:t xml:space="preserve">adını taşıyan göz kalemi ile tirlini 96.08-96.09’daki yazı kalemleriyle aynı fasılda sanan aday ad tuzağına düşer.</w:t>
      </w:r>
    </w:p>
    <w:p>
      <w:pPr>
        <w:pStyle w:val="BodyText"/>
      </w:pPr>
      <w:r>
        <w:rPr>
          <w:bCs/>
          <w:b/>
        </w:rPr>
        <w:t xml:space="preserve">Dayanak:</w:t>
      </w:r>
      <w:r>
        <w:t xml:space="preserve"> </w:t>
      </w:r>
      <w:r>
        <w:t xml:space="preserve">96. Fasıl Not 1 (a), (b), (c), (f); 96.20 pozisyon metni; 90.17 Açıklama Notu (A)(3); 96.08 Açıklama Notu hariçler (c). Göz kalemi → 33. Fasıl; teknik çizim kalemi (tirlin) → 90.17; tripod → 96.20; şemsiye sapı → 66.03; taklit mücevher küpe → 71.17.</w:t>
      </w:r>
    </w:p>
    <w:bookmarkEnd w:id="76"/>
    <w:bookmarkStart w:id="77" w:name="soru-cevap-b-9"/>
    <w:p>
      <w:pPr>
        <w:pStyle w:val="Heading4"/>
      </w:pPr>
      <w:r>
        <w:t xml:space="preserve">56. soru — Cevap: B</w:t>
      </w:r>
    </w:p>
    <w:p>
      <w:pPr>
        <w:pStyle w:val="FirstParagraph"/>
      </w:pPr>
      <w:r>
        <w:rPr>
          <w:iCs/>
          <w:i/>
        </w:rPr>
        <w:t xml:space="preserve">GM · Genel hükümler · G1</w:t>
      </w:r>
    </w:p>
    <w:p>
      <w:pPr>
        <w:pStyle w:val="BodyText"/>
      </w:pPr>
      <w:r>
        <w:rPr>
          <w:bCs/>
          <w:b/>
        </w:rPr>
        <w:t xml:space="preserve">Doğru şık:</w:t>
      </w:r>
      <w:r>
        <w:t xml:space="preserve"> </w:t>
      </w:r>
      <w:r>
        <w:t xml:space="preserve">B) Gümrük idareleri, karar alınması talebine ilişkin başvurunun kendilerine ulaştığı tarihten itibaren otuz gün içinde karar alır ve verilen kararlar başvuru sahibine yazılı olarak tebliğ edilir.</w:t>
      </w:r>
    </w:p>
    <w:p>
      <w:pPr>
        <w:pStyle w:val="BodyText"/>
      </w:pPr>
      <w:r>
        <w:t xml:space="preserve">Kanunun 6 ncı maddesine göre karar alınması talebinin yazılı olarak yapılması gerekir; gümrük idareleri başvurunun kendilerine ulaştığı tarihten itibaren otuz gün içinde karar alır ve kararı başvuru sahibine yazılı olarak tebliğ eder. Bu süre içinde karar alınamaması talebin reddi sonucunu doğurmaz, süre aşılabilir. Gerek başvuruların reddine gerek muhatabın aleyhine verilen yazılı kararlar itiraz yolu açık olmak üzere gerekçeli olarak alınır. Kanunun tanımlar maddesinde</w:t>
      </w:r>
      <w:r>
        <w:t xml:space="preserve"> </w:t>
      </w:r>
      <w:r>
        <w:t xml:space="preserve">‘</w:t>
      </w:r>
      <w:r>
        <w:t xml:space="preserve">karar</w:t>
      </w:r>
      <w:r>
        <w:t xml:space="preserve">’</w:t>
      </w:r>
      <w:r>
        <w:t xml:space="preserve"> </w:t>
      </w:r>
      <w:r>
        <w:t xml:space="preserve">deyimi bağlayıcı tarife ve menşe bilgileri de dâhil olmak üzere tanımlanmıştır.</w:t>
      </w:r>
    </w:p>
    <w:p>
      <w:pPr>
        <w:pStyle w:val="BodyText"/>
      </w:pPr>
      <w:r>
        <w:rPr>
          <w:bCs/>
          <w:b/>
        </w:rPr>
        <w:t xml:space="preserve">Tuzak:</w:t>
      </w:r>
      <w:r>
        <w:t xml:space="preserve"> </w:t>
      </w:r>
      <w:r>
        <w:t xml:space="preserve">İdare hukukundaki zımni ret kurumunu gümrük kararlarına taşıyan aday, süre aşımında talebin reddedilmiş sayılacağını düşünür.</w:t>
      </w:r>
    </w:p>
    <w:p>
      <w:pPr>
        <w:pStyle w:val="BodyText"/>
      </w:pPr>
      <w:r>
        <w:rPr>
          <w:bCs/>
          <w:b/>
        </w:rPr>
        <w:t xml:space="preserve">Dayanak:</w:t>
      </w:r>
      <w:r>
        <w:t xml:space="preserve"> </w:t>
      </w:r>
      <w:r>
        <w:t xml:space="preserve">4458 sayılı GK md. 3 (</w:t>
      </w:r>
      <w:r>
        <w:t xml:space="preserve">‘</w:t>
      </w:r>
      <w:r>
        <w:t xml:space="preserve">karar</w:t>
      </w:r>
      <w:r>
        <w:t xml:space="preserve">’</w:t>
      </w:r>
      <w:r>
        <w:t xml:space="preserve"> </w:t>
      </w:r>
      <w:r>
        <w:t xml:space="preserve">tanımı) ve md. 6</w:t>
      </w:r>
    </w:p>
    <w:bookmarkEnd w:id="77"/>
    <w:bookmarkStart w:id="78" w:name="soru-cevap-d-10"/>
    <w:p>
      <w:pPr>
        <w:pStyle w:val="Heading4"/>
      </w:pPr>
      <w:r>
        <w:t xml:space="preserve">57. soru — Cevap: D</w:t>
      </w:r>
    </w:p>
    <w:p>
      <w:pPr>
        <w:pStyle w:val="FirstParagraph"/>
      </w:pPr>
      <w:r>
        <w:rPr>
          <w:iCs/>
          <w:i/>
        </w:rPr>
        <w:t xml:space="preserve">GM · Özet beyan, geçici depolama · O2</w:t>
      </w:r>
    </w:p>
    <w:p>
      <w:pPr>
        <w:pStyle w:val="BodyText"/>
      </w:pPr>
      <w:r>
        <w:rPr>
          <w:bCs/>
          <w:b/>
        </w:rPr>
        <w:t xml:space="preserve">Doğru şık:</w:t>
      </w:r>
      <w:r>
        <w:t xml:space="preserve"> </w:t>
      </w:r>
      <w:r>
        <w:t xml:space="preserve">D) Belirlenen süreler içinde gümrükçe onaylanmış bir işlem veya kullanım tayini için gerekli işlemlere başlanmamış eşya, hakkında adli veya idari bir takibat bulunsa dahi tasfiye edilir.</w:t>
      </w:r>
    </w:p>
    <w:p>
      <w:pPr>
        <w:pStyle w:val="BodyText"/>
      </w:pPr>
      <w:r>
        <w:t xml:space="preserve">Gümrük Kanununun 50 nci maddesine göre süresi içinde gümrükçe onaylanmış bir işlem veya kullanım tayini için işlemlerine başlanmamış eşya, ancak herhangi bir adli veya idari takibata konu olmaması hâlinde tasfiye edilir;</w:t>
      </w:r>
      <w:r>
        <w:t xml:space="preserve"> </w:t>
      </w:r>
      <w:r>
        <w:t xml:space="preserve">“</w:t>
      </w:r>
      <w:r>
        <w:t xml:space="preserve">takibat bulunsa dahi</w:t>
      </w:r>
      <w:r>
        <w:t xml:space="preserve">”</w:t>
      </w:r>
      <w:r>
        <w:t xml:space="preserve"> </w:t>
      </w:r>
      <w:r>
        <w:t xml:space="preserve">ifadesi bu şartı tersine çevirmiştir. Geçici depolanan eşya statüsünün tanımı (md. 47), geçici depolanan eşya için teminat istenebilmesi (md. 48), aynı durumda muhafaza amacıyla elleçleme (md. 49) ve kaçınılmaz tehlike hâlinde boşaltma izninin aranmayıp en yakın gümrük idaresine derhâl haber verilmesi Kanun metniyle uyumludur.</w:t>
      </w:r>
    </w:p>
    <w:p>
      <w:pPr>
        <w:pStyle w:val="BodyText"/>
      </w:pPr>
      <w:r>
        <w:rPr>
          <w:bCs/>
          <w:b/>
        </w:rPr>
        <w:t xml:space="preserve">Tuzak:</w:t>
      </w:r>
      <w:r>
        <w:t xml:space="preserve"> </w:t>
      </w:r>
      <w:r>
        <w:t xml:space="preserve">Süresi geçen eşyanın her durumda tasfiye edileceğini düşünüp adli veya idari takibata konu olmama şartını gözden kaçırmak.</w:t>
      </w:r>
    </w:p>
    <w:p>
      <w:pPr>
        <w:pStyle w:val="BodyText"/>
      </w:pPr>
      <w:r>
        <w:rPr>
          <w:bCs/>
          <w:b/>
        </w:rPr>
        <w:t xml:space="preserve">Dayanak:</w:t>
      </w:r>
      <w:r>
        <w:t xml:space="preserve"> </w:t>
      </w:r>
      <w:r>
        <w:t xml:space="preserve">4458 sayılı Gümrük Kanunu md. 44 (boşaltma ve aktarma), 47, 48/1, 49, 50/1</w:t>
      </w:r>
    </w:p>
    <w:bookmarkEnd w:id="78"/>
    <w:bookmarkStart w:id="79" w:name="soru-cevap-c-10"/>
    <w:p>
      <w:pPr>
        <w:pStyle w:val="Heading4"/>
      </w:pPr>
      <w:r>
        <w:t xml:space="preserve">58. soru — Cevap: C</w:t>
      </w:r>
    </w:p>
    <w:p>
      <w:pPr>
        <w:pStyle w:val="FirstParagraph"/>
      </w:pPr>
      <w:r>
        <w:rPr>
          <w:iCs/>
          <w:i/>
        </w:rPr>
        <w:t xml:space="preserve">GM · Özet beyan, geçici depolama · G1</w:t>
      </w:r>
    </w:p>
    <w:p>
      <w:pPr>
        <w:pStyle w:val="BodyText"/>
      </w:pPr>
      <w:r>
        <w:rPr>
          <w:bCs/>
          <w:b/>
        </w:rPr>
        <w:t xml:space="preserve">Doğru şık:</w:t>
      </w:r>
      <w:r>
        <w:t xml:space="preserve"> </w:t>
      </w:r>
      <w:r>
        <w:t xml:space="preserve">C) Taşıma aracının paylaşımı ya da taşımanın sözleşme kapsamında yapılması durumunda deniz ve hava taşımacılığında özet beyan verme yükümlülüğü, taşıma işlemini taahhüt ederek taşıma belgesi düzenleyene aittir.</w:t>
      </w:r>
    </w:p>
    <w:p>
      <w:pPr>
        <w:pStyle w:val="BodyText"/>
      </w:pPr>
      <w:r>
        <w:t xml:space="preserve">Deniz veya hava taşımacılığında taşıma aracının paylaşımı ya da sözleşmeli taşımada özet beyan verme yükümlülüğü, taşıma işlemini taahhüt ederek eşyanın araçta taşınması için taşıma belgesi düzenleyen kişiye aittir. Konteyner taşımacılığında özet beyan, varış limanına gelişten değil, hareket limanında eşyanın gemiye yüklenmesinden en az yirmi dört saat önce verilir; demiryolunda süre en az iki saattir. Transit bilgilerinin özet beyan olarak kullanılabilmesi için özet beyanın gerekli bütün unsurlarını içermesi şarttır; eşyanın boşaltılmasına izin verildikten sonra ise özet beyanda değişiklik yapılmasına izin verilmez.</w:t>
      </w:r>
    </w:p>
    <w:p>
      <w:pPr>
        <w:pStyle w:val="BodyText"/>
      </w:pPr>
      <w:r>
        <w:rPr>
          <w:bCs/>
          <w:b/>
        </w:rPr>
        <w:t xml:space="preserve">Tuzak:</w:t>
      </w:r>
      <w:r>
        <w:t xml:space="preserve"> </w:t>
      </w:r>
      <w:r>
        <w:t xml:space="preserve">Konteyner kuralındaki yirmi dört saati doğru hatırlayıp sürenin hareket limanındaki yüklemeden geriye doğru işlediğini gözden kaçırmak.</w:t>
      </w:r>
    </w:p>
    <w:p>
      <w:pPr>
        <w:pStyle w:val="BodyText"/>
      </w:pPr>
      <w:r>
        <w:rPr>
          <w:bCs/>
          <w:b/>
        </w:rPr>
        <w:t xml:space="preserve">Dayanak:</w:t>
      </w:r>
      <w:r>
        <w:t xml:space="preserve"> </w:t>
      </w:r>
      <w:r>
        <w:t xml:space="preserve">4458 sayılı Gümrük Kanunu ve Gümrük Yönetmeliğinin giriş özet beyanına ilişkin hükümleri (özet beyan yükümlüsü, süre sınırları, transit bilgilerinin özet beyan olarak kullanılması, özet beyanın değiştirilmesi)</w:t>
      </w:r>
    </w:p>
    <w:bookmarkEnd w:id="79"/>
    <w:bookmarkStart w:id="80" w:name="soru-cevap-e-12"/>
    <w:p>
      <w:pPr>
        <w:pStyle w:val="Heading4"/>
      </w:pPr>
      <w:r>
        <w:t xml:space="preserve">59. soru — Cevap: E</w:t>
      </w:r>
    </w:p>
    <w:p>
      <w:pPr>
        <w:pStyle w:val="FirstParagraph"/>
      </w:pPr>
      <w:r>
        <w:rPr>
          <w:iCs/>
          <w:i/>
        </w:rPr>
        <w:t xml:space="preserve">GM · Gümrük beyanı, muayene · Ö1</w:t>
      </w:r>
    </w:p>
    <w:p>
      <w:pPr>
        <w:pStyle w:val="BodyText"/>
      </w:pPr>
      <w:r>
        <w:rPr>
          <w:bCs/>
          <w:b/>
        </w:rPr>
        <w:t xml:space="preserve">Doğru şık:</w:t>
      </w:r>
      <w:r>
        <w:t xml:space="preserve"> </w:t>
      </w:r>
      <w:r>
        <w:t xml:space="preserve">E) I, II, III ve IV</w:t>
      </w:r>
    </w:p>
    <w:p>
      <w:pPr>
        <w:pStyle w:val="BodyText"/>
      </w:pPr>
      <w:r>
        <w:t xml:space="preserve">Tebliğden, Genel Müdürlükçe belirlenen eşyadan serbest dolaşıma giriş ve dahilde işleme rejimi kapsamında deniz yolu konteyner taşımacılığı veya (15.05.2021 tarihli değişiklikle eklenen) hava yolu taşımacılığıyla gelenler yararlanır (md. 1, 5). İzin kapsamındaki beyannamenin BS kutusuna BS-18 yazılır (md. 9/2); hat bildirimi varış bildirimi onayına kadar yükümlüye bildirilmez (md. 10/1). Kırmızı hatta sevk edilen beyanname kapsamı eşya izin kapsamında değerlendirilmez, BS-18 kodu iptal edilir ve eşyanın geçici depolama giriş kaydı yapılır (md. 13/2). Dört ifade de doğrudur.</w:t>
      </w:r>
    </w:p>
    <w:p>
      <w:pPr>
        <w:pStyle w:val="BodyText"/>
      </w:pPr>
      <w:r>
        <w:rPr>
          <w:bCs/>
          <w:b/>
        </w:rPr>
        <w:t xml:space="preserve">Tuzak:</w:t>
      </w:r>
      <w:r>
        <w:t xml:space="preserve"> </w:t>
      </w:r>
      <w:r>
        <w:t xml:space="preserve">Hat bildiriminin yükümlüye sonradan bildirilmesini ya da hava yolunun kapsamda olmasını yanlış sanıp</w:t>
      </w:r>
      <w:r>
        <w:t xml:space="preserve"> </w:t>
      </w:r>
      <w:r>
        <w:t xml:space="preserve">“</w:t>
      </w:r>
      <w:r>
        <w:t xml:space="preserve">hepsi doğru olamaz</w:t>
      </w:r>
      <w:r>
        <w:t xml:space="preserve">”</w:t>
      </w:r>
      <w:r>
        <w:t xml:space="preserve"> </w:t>
      </w:r>
      <w:r>
        <w:t xml:space="preserve">refleksiyle ara bir kombinasyona kaymak.</w:t>
      </w:r>
    </w:p>
    <w:p>
      <w:pPr>
        <w:pStyle w:val="BodyText"/>
      </w:pPr>
      <w:r>
        <w:rPr>
          <w:bCs/>
          <w:b/>
        </w:rPr>
        <w:t xml:space="preserve">Dayanak:</w:t>
      </w:r>
      <w:r>
        <w:t xml:space="preserve"> </w:t>
      </w:r>
      <w:r>
        <w:t xml:space="preserve">Gümrük Genel Tebliği (Varış Öncesi Gümrük İşlemleri) (Seri No: 1) md. 1, 5/2, 9/2, 10/1, 13/2</w:t>
      </w:r>
    </w:p>
    <w:bookmarkEnd w:id="80"/>
    <w:bookmarkStart w:id="81" w:name="soru-cevap-a-14"/>
    <w:p>
      <w:pPr>
        <w:pStyle w:val="Heading4"/>
      </w:pPr>
      <w:r>
        <w:t xml:space="preserve">60. soru — Cevap: A</w:t>
      </w:r>
    </w:p>
    <w:p>
      <w:pPr>
        <w:pStyle w:val="FirstParagraph"/>
      </w:pPr>
      <w:r>
        <w:rPr>
          <w:iCs/>
          <w:i/>
        </w:rPr>
        <w:t xml:space="preserve">GM · Gümrük beyanı, muayene · O2</w:t>
      </w:r>
    </w:p>
    <w:p>
      <w:pPr>
        <w:pStyle w:val="BodyText"/>
      </w:pPr>
      <w:r>
        <w:rPr>
          <w:bCs/>
          <w:b/>
        </w:rPr>
        <w:t xml:space="preserve">Doğru şık:</w:t>
      </w:r>
      <w:r>
        <w:t xml:space="preserve"> </w:t>
      </w:r>
      <w:r>
        <w:t xml:space="preserve">A) Talep üzerine gümrükçe onaylanmış bir işlem veya kullanımdan önce yapılan incelemede, eşyanın incelenmesi, numune alınması, tahlili ve ekspertizine ilişkin masraflar gümrük idaresine aittir.</w:t>
      </w:r>
    </w:p>
    <w:p>
      <w:pPr>
        <w:pStyle w:val="BodyText"/>
      </w:pPr>
      <w:r>
        <w:t xml:space="preserve">Gümrük Yönetmeliğinin 87 nci maddesinin dördüncü fıkrasına göre eşyanın gümrükçe onaylanmış bir işlem veya kullanımdan önce incelenmesi, numune alınması, tahlile ve ekspertize tabi tutulması ile ilgili sorumluluk ve masraflar yükümlüye aittir; masrafları gümrük idaresine yükleyen ifade yanlıştır. Talep üzerine inceleme ve numune alma izni verilebilmesi (GY md. 87/1), telef olan veya telafi edilemez şekilde kaybolan numune için gümrük yükümlülüğünün doğmamış sayılması (GY md. 87/5), tahlilden arta kalan numunelerin bildirimden sonra bir ay içinde alınmazsa gümrüğe terk edilmiş sayılması (GK md. 66; tasfiye için GK md. 177/1-d) ve incelemenin makul sürede tamamlanamadığı, eşyanın hazır bulundurulmasına da gerek olmadığı hâllerde eşyanın teslim edilmesi mevzuata uygundur.</w:t>
      </w:r>
    </w:p>
    <w:p>
      <w:pPr>
        <w:pStyle w:val="BodyText"/>
      </w:pPr>
      <w:r>
        <w:rPr>
          <w:bCs/>
          <w:b/>
        </w:rPr>
        <w:t xml:space="preserve">Tuzak:</w:t>
      </w:r>
      <w:r>
        <w:t xml:space="preserve"> </w:t>
      </w:r>
      <w:r>
        <w:t xml:space="preserve">İnceleme ve numune alma gümrük idaresinin gözetimi altında yapıldığı için bunlara ilişkin masrafların da idareye ait olduğunu düşünmek.</w:t>
      </w:r>
    </w:p>
    <w:p>
      <w:pPr>
        <w:pStyle w:val="BodyText"/>
      </w:pPr>
      <w:r>
        <w:rPr>
          <w:bCs/>
          <w:b/>
        </w:rPr>
        <w:t xml:space="preserve">Dayanak:</w:t>
      </w:r>
      <w:r>
        <w:t xml:space="preserve"> </w:t>
      </w:r>
      <w:r>
        <w:t xml:space="preserve">Gümrük Yönetmeliği md. 87/1, 87/4, 87/5; 4458 sayılı Gümrük Kanunu md. 66 (tahlilden arta kalan numuneler), md. 177/1-d ve eşyanın teslimine ilişkin hüküm</w:t>
      </w:r>
    </w:p>
    <w:bookmarkEnd w:id="81"/>
    <w:bookmarkStart w:id="82" w:name="soru-cevap-e-13"/>
    <w:p>
      <w:pPr>
        <w:pStyle w:val="Heading4"/>
      </w:pPr>
      <w:r>
        <w:t xml:space="preserve">61. soru — Cevap: E</w:t>
      </w:r>
    </w:p>
    <w:p>
      <w:pPr>
        <w:pStyle w:val="FirstParagraph"/>
      </w:pPr>
      <w:r>
        <w:rPr>
          <w:iCs/>
          <w:i/>
        </w:rPr>
        <w:t xml:space="preserve">GM · Yükümlülük, teminat, tecil · O2</w:t>
      </w:r>
    </w:p>
    <w:p>
      <w:pPr>
        <w:pStyle w:val="BodyText"/>
      </w:pPr>
      <w:r>
        <w:rPr>
          <w:bCs/>
          <w:b/>
        </w:rPr>
        <w:t xml:space="preserve">Doğru şık:</w:t>
      </w:r>
      <w:r>
        <w:t xml:space="preserve"> </w:t>
      </w:r>
      <w:r>
        <w:t xml:space="preserve">E) Eşyanın tabi tutulduğu gümrük rejimine ilişkin koşullardan birine uyulmadığının sonradan tespiti hâlinde gümrük yükümlülüğü, bu durumun gümrük idaresince tespit edildiği tarihte başlar.</w:t>
      </w:r>
    </w:p>
    <w:p>
      <w:pPr>
        <w:pStyle w:val="BodyText"/>
      </w:pPr>
      <w:r>
        <w:t xml:space="preserve">Gümrük Kanununun 184 üncü maddesinin ikinci fıkrasının (b) bendine göre eşyanın gümrük rejimine tabi tutulmasına ilişkin bir koşula uyulmadığının sonradan tespiti hâlinde yükümlülük, eşyanın ilgili rejime tabi tutulduğu tarihte başlar; tespit tarihi esas alınmaz. Beyansız ihracatta fiili çıkış tarihi (md. 189/2), dolaylı temsilcinin bilme şartıyla sınırlı sorumluluğu (md. 181/2), kanuna aykırı girişte giriş tarihi (md. 182/2) ve gümrük gözetiminden çıkarmada çıkarma tarihi (md. 183/2) Kanun metniyle uyumludur.</w:t>
      </w:r>
    </w:p>
    <w:p>
      <w:pPr>
        <w:pStyle w:val="BodyText"/>
      </w:pPr>
      <w:r>
        <w:rPr>
          <w:bCs/>
          <w:b/>
        </w:rPr>
        <w:t xml:space="preserve">Tuzak:</w:t>
      </w:r>
      <w:r>
        <w:t xml:space="preserve"> </w:t>
      </w:r>
      <w:r>
        <w:t xml:space="preserve">Yükümlülüğün başladığı tarihin kesin tespit edilemediği hâllerde idarenin vardığı tarihin esas alınmasına ilişkin vergilendirme kuralını (md. 193/2) rejim koşulu ihlaline taşımak.</w:t>
      </w:r>
    </w:p>
    <w:p>
      <w:pPr>
        <w:pStyle w:val="BodyText"/>
      </w:pPr>
      <w:r>
        <w:rPr>
          <w:bCs/>
          <w:b/>
        </w:rPr>
        <w:t xml:space="preserve">Dayanak:</w:t>
      </w:r>
      <w:r>
        <w:t xml:space="preserve"> </w:t>
      </w:r>
      <w:r>
        <w:t xml:space="preserve">4458 sayılı Gümrük Kanunu md. 181/2, 182/2, 183/2, 184/2-b, 189/2</w:t>
      </w:r>
    </w:p>
    <w:bookmarkEnd w:id="82"/>
    <w:bookmarkStart w:id="83" w:name="soru-cevap-c-11"/>
    <w:p>
      <w:pPr>
        <w:pStyle w:val="Heading4"/>
      </w:pPr>
      <w:r>
        <w:t xml:space="preserve">62. soru — Cevap: C</w:t>
      </w:r>
    </w:p>
    <w:p>
      <w:pPr>
        <w:pStyle w:val="FirstParagraph"/>
      </w:pPr>
      <w:r>
        <w:rPr>
          <w:iCs/>
          <w:i/>
        </w:rPr>
        <w:t xml:space="preserve">GM · Yükümlülük, teminat, tecil · B1</w:t>
      </w:r>
    </w:p>
    <w:p>
      <w:pPr>
        <w:pStyle w:val="BodyText"/>
      </w:pPr>
      <w:r>
        <w:rPr>
          <w:bCs/>
          <w:b/>
        </w:rPr>
        <w:t xml:space="preserve">Doğru şık:</w:t>
      </w:r>
      <w:r>
        <w:t xml:space="preserve"> </w:t>
      </w:r>
      <w:r>
        <w:t xml:space="preserve">C) kesinleştiği – gecikme zammı oranında faiz</w:t>
      </w:r>
    </w:p>
    <w:p>
      <w:pPr>
        <w:pStyle w:val="BodyText"/>
      </w:pPr>
      <w:r>
        <w:t xml:space="preserve">Gümrük Kanununun 193 üncü maddesinin üçüncü fıkrasına göre hatalı beyan nedeniyle hiç alınmayan veya noksan alınan vergilere, yükümlülüğün başladığı tarih ile vergilerin kesinleştiği tarih arasındaki süre için 6183 sayılı Kanunun 51 inci maddesine göre belirlenen gecikme zammı oranında faiz uygulanır; Tahsilat İşlemleri Tebliğinin 15 inci maddesi de aynı kuralı tekrarlar. Gecikme zammı ise tebligata rağmen vadesinde ödenmeyen vergiye vadenin bitiminden ödeme tarihine kadar uygulanır; tecil faizi ödeme süresi uzatılan veya tecil edilen alacağa ilişkindir. Vergilerin kesinleşmeden önce ödenmek istenmesi hâlinde faizin ödeme tarihine kadar hesaplanması bir istisnadır.</w:t>
      </w:r>
    </w:p>
    <w:p>
      <w:pPr>
        <w:pStyle w:val="BodyText"/>
      </w:pPr>
      <w:r>
        <w:rPr>
          <w:bCs/>
          <w:b/>
        </w:rPr>
        <w:t xml:space="preserve">Tuzak:</w:t>
      </w:r>
      <w:r>
        <w:t xml:space="preserve"> </w:t>
      </w:r>
      <w:r>
        <w:t xml:space="preserve">Faizin tebliğ tarihinde duracağını sanmak ya da</w:t>
      </w:r>
      <w:r>
        <w:t xml:space="preserve"> </w:t>
      </w:r>
      <w:r>
        <w:t xml:space="preserve">“</w:t>
      </w:r>
      <w:r>
        <w:t xml:space="preserve">gecikme zammı</w:t>
      </w:r>
      <w:r>
        <w:t xml:space="preserve">”</w:t>
      </w:r>
      <w:r>
        <w:t xml:space="preserve"> </w:t>
      </w:r>
      <w:r>
        <w:t xml:space="preserve">ile</w:t>
      </w:r>
      <w:r>
        <w:t xml:space="preserve"> </w:t>
      </w:r>
      <w:r>
        <w:t xml:space="preserve">“</w:t>
      </w:r>
      <w:r>
        <w:t xml:space="preserve">gecikme zammı oranında faiz</w:t>
      </w:r>
      <w:r>
        <w:t xml:space="preserve">”</w:t>
      </w:r>
      <w:r>
        <w:t xml:space="preserve">i aynı fer’i alacak saymak.</w:t>
      </w:r>
    </w:p>
    <w:p>
      <w:pPr>
        <w:pStyle w:val="BodyText"/>
      </w:pPr>
      <w:r>
        <w:rPr>
          <w:bCs/>
          <w:b/>
        </w:rPr>
        <w:t xml:space="preserve">Dayanak:</w:t>
      </w:r>
      <w:r>
        <w:t xml:space="preserve"> </w:t>
      </w:r>
      <w:r>
        <w:t xml:space="preserve">4458 sayılı Gümrük Kanunu md. 193/3; Gümrük Genel Tebliği (Tahsilat İşlemleri) (Seri No: 2) md. 15/1-2</w:t>
      </w:r>
    </w:p>
    <w:bookmarkEnd w:id="83"/>
    <w:bookmarkStart w:id="84" w:name="soru-cevap-a-15"/>
    <w:p>
      <w:pPr>
        <w:pStyle w:val="Heading4"/>
      </w:pPr>
      <w:r>
        <w:t xml:space="preserve">63. soru — Cevap: A</w:t>
      </w:r>
    </w:p>
    <w:p>
      <w:pPr>
        <w:pStyle w:val="FirstParagraph"/>
      </w:pPr>
      <w:r>
        <w:rPr>
          <w:iCs/>
          <w:i/>
        </w:rPr>
        <w:t xml:space="preserve">GM · Serbest dolaşım, nihai kullanım · G1</w:t>
      </w:r>
    </w:p>
    <w:p>
      <w:pPr>
        <w:pStyle w:val="BodyText"/>
      </w:pPr>
      <w:r>
        <w:rPr>
          <w:bCs/>
          <w:b/>
        </w:rPr>
        <w:t xml:space="preserve">Doğru şık:</w:t>
      </w:r>
      <w:r>
        <w:t xml:space="preserve"> </w:t>
      </w:r>
      <w:r>
        <w:t xml:space="preserve">A) Nihai kullanımı nedeniyle sıfır vergi oranından yararlanarak serbest dolaşıma giren eşyanın gümrük idaresinin izniyle ihraç edilmesi halinde ithalat nedeniyle gümrük yükümlülüğü doğmuş sayılmaz.</w:t>
      </w:r>
    </w:p>
    <w:p>
      <w:pPr>
        <w:pStyle w:val="BodyText"/>
      </w:pPr>
      <w:r>
        <w:t xml:space="preserve">Kanunun 186 ncı maddesinin ikinci fıkrasına göre nihai kullanım nedeniyle indirimli veya sıfır oranla serbest dolaşıma giren eşyanın gümrük idaresinin izniyle ihraç veya yeniden ihraç edilmesi halinde ithalat nedeniyle gümrük yükümlülüğü doğmuş sayılmaz. Mükerrer kullanılabilen eşyada süre bir yıl değil iki yıldır; sivil hava taşıtları başvuru tarihinde değil resmi kayıtlara tescil edildikleri tarihte, montajda kullanılan araç parçaları ise araçlar diğer kişilere devredildiğinde nihai kullanıma geçmiş sayılır. Nihai kullanım izni, eşyayı nihai kullanıma tabi tutacak firmalara devretmek suretiyle ithal eden ithalatçılara da verilir.</w:t>
      </w:r>
    </w:p>
    <w:p>
      <w:pPr>
        <w:pStyle w:val="BodyText"/>
      </w:pPr>
      <w:r>
        <w:rPr>
          <w:bCs/>
          <w:b/>
        </w:rPr>
        <w:t xml:space="preserve">Tuzak:</w:t>
      </w:r>
      <w:r>
        <w:t xml:space="preserve"> </w:t>
      </w:r>
      <w:r>
        <w:t xml:space="preserve">Nihai kullanıma geçişi fiziki montaj anına bağlayan aday araç parçalarına ilişkin ifadeye kayar.</w:t>
      </w:r>
    </w:p>
    <w:p>
      <w:pPr>
        <w:pStyle w:val="BodyText"/>
      </w:pPr>
      <w:r>
        <w:rPr>
          <w:bCs/>
          <w:b/>
        </w:rPr>
        <w:t xml:space="preserve">Dayanak:</w:t>
      </w:r>
      <w:r>
        <w:t xml:space="preserve"> </w:t>
      </w:r>
      <w:r>
        <w:t xml:space="preserve">4458 sayılı Gümrük Kanunu md. 186/2; Gümrük Yönetmeliği nihai kullanım hükümleri; Gümrük Genel Tebliği (Nihai Kullanım) Seri No: 1</w:t>
      </w:r>
    </w:p>
    <w:bookmarkEnd w:id="84"/>
    <w:bookmarkStart w:id="85" w:name="soru-cevap-d-11"/>
    <w:p>
      <w:pPr>
        <w:pStyle w:val="Heading4"/>
      </w:pPr>
      <w:r>
        <w:t xml:space="preserve">64. soru — Cevap: D</w:t>
      </w:r>
    </w:p>
    <w:p>
      <w:pPr>
        <w:pStyle w:val="FirstParagraph"/>
      </w:pPr>
      <w:r>
        <w:rPr>
          <w:iCs/>
          <w:i/>
        </w:rPr>
        <w:t xml:space="preserve">GM · Transit · O1</w:t>
      </w:r>
    </w:p>
    <w:p>
      <w:pPr>
        <w:pStyle w:val="BodyText"/>
      </w:pPr>
      <w:r>
        <w:rPr>
          <w:bCs/>
          <w:b/>
        </w:rPr>
        <w:t xml:space="preserve">Doğru şık:</w:t>
      </w:r>
      <w:r>
        <w:t xml:space="preserve"> </w:t>
      </w:r>
      <w:r>
        <w:t xml:space="preserve">D) İlgili tesiste kullanılan lojistik programının gerekli nitelikleri taşımadığının veya bu programın usulüne uygun kullanılmadığının tespit edilmesi</w:t>
      </w:r>
    </w:p>
    <w:p>
      <w:pPr>
        <w:pStyle w:val="BodyText"/>
      </w:pPr>
      <w:r>
        <w:t xml:space="preserve">Seri No: 14 Tebliğe göre güvenlik önlemlerinin alınmaması ve kamera ile lojistik kayıtlarının saklanmaması, tesise varmamış eşya için hazır bildiriminden sonra giriş yapılması, başka rejim hak sahibinin mühürlü aracına genel muvafakatname olmaksızın yeni mühür tatbiki ve ihracat beyannamesi çıkabilir statüye gelmeden çıkışa izin verilmesi tesis yetkilendirmesinin iptal sebepleridir. Lojistik programının gerekli nitelikleri taşımaması veya usulüne uygun kullanılmaması ise tesis yetkilendirmesinin, durum ortadan kalkıncaya kadar askıya alınması sebebi olarak sayılmıştır; iptal sebebi değildir.</w:t>
      </w:r>
    </w:p>
    <w:p>
      <w:pPr>
        <w:pStyle w:val="BodyText"/>
      </w:pPr>
      <w:r>
        <w:rPr>
          <w:bCs/>
          <w:b/>
        </w:rPr>
        <w:t xml:space="preserve">Tuzak:</w:t>
      </w:r>
      <w:r>
        <w:t xml:space="preserve"> </w:t>
      </w:r>
      <w:r>
        <w:t xml:space="preserve">Askıya alma ve iptal listelerinin ikisinde de</w:t>
      </w:r>
      <w:r>
        <w:t xml:space="preserve"> </w:t>
      </w:r>
      <w:r>
        <w:t xml:space="preserve">‘</w:t>
      </w:r>
      <w:r>
        <w:t xml:space="preserve">lojistik</w:t>
      </w:r>
      <w:r>
        <w:t xml:space="preserve">’</w:t>
      </w:r>
      <w:r>
        <w:t xml:space="preserve"> </w:t>
      </w:r>
      <w:r>
        <w:t xml:space="preserve">ifadesi geçtiği için askıya alma sebebini iptal sebebi sanmak.</w:t>
      </w:r>
    </w:p>
    <w:p>
      <w:pPr>
        <w:pStyle w:val="BodyText"/>
      </w:pPr>
      <w:r>
        <w:rPr>
          <w:bCs/>
          <w:b/>
        </w:rPr>
        <w:t xml:space="preserve">Dayanak:</w:t>
      </w:r>
      <w:r>
        <w:t xml:space="preserve"> </w:t>
      </w:r>
      <w:r>
        <w:t xml:space="preserve">Gümrük Genel Tebliği (Transit Rejimi) (Seri No: 14) md. 6 (tesis yetkilendirmesinin askıya alınması) ve md. 7 (tesis yetkilendirmesinin iptali)</w:t>
      </w:r>
    </w:p>
    <w:bookmarkEnd w:id="85"/>
    <w:bookmarkStart w:id="86" w:name="soru-cevap-d-12"/>
    <w:p>
      <w:pPr>
        <w:pStyle w:val="Heading4"/>
      </w:pPr>
      <w:r>
        <w:t xml:space="preserve">65. soru — Cevap: D</w:t>
      </w:r>
    </w:p>
    <w:p>
      <w:pPr>
        <w:pStyle w:val="FirstParagraph"/>
      </w:pPr>
      <w:r>
        <w:rPr>
          <w:iCs/>
          <w:i/>
        </w:rPr>
        <w:t xml:space="preserve">GM · Transit · Ö3</w:t>
      </w:r>
    </w:p>
    <w:p>
      <w:pPr>
        <w:pStyle w:val="BodyText"/>
      </w:pPr>
      <w:r>
        <w:rPr>
          <w:bCs/>
          <w:b/>
        </w:rPr>
        <w:t xml:space="preserve">Doğru şık:</w:t>
      </w:r>
      <w:r>
        <w:t xml:space="preserve"> </w:t>
      </w:r>
      <w:r>
        <w:t xml:space="preserve">D) I, III ve IV</w:t>
      </w:r>
    </w:p>
    <w:p>
      <w:pPr>
        <w:pStyle w:val="BodyText"/>
      </w:pPr>
      <w:r>
        <w:t xml:space="preserve">Seri No: 14 Tebliğe göre hazır bildirimi sonrasında belge kontrolüne tabi tutulacağı bildirilen ihracat beyannameleri ile eşyanın muayene edileceği bildirilen ihracat ve transit beyannamelerine ilişkin işlemlerin mesai dışında tamamlanması fazla mesai ücreti yatırılması koşuluyla yapılır (I, III, IV). Belge kontrolüne tabi tutulmayacağı bildirilen ihracat beyannameleri ile eşyanın muayene edilmeyeceği bildirilen beyannamelere ilişkin işlemler ise fazla mesai ücreti ödenmeksizin tamamlanır; II bu nedenle kapsam dışıdır.</w:t>
      </w:r>
    </w:p>
    <w:p>
      <w:pPr>
        <w:pStyle w:val="BodyText"/>
      </w:pPr>
      <w:r>
        <w:rPr>
          <w:bCs/>
          <w:b/>
        </w:rPr>
        <w:t xml:space="preserve">Tuzak:</w:t>
      </w:r>
      <w:r>
        <w:t xml:space="preserve"> </w:t>
      </w:r>
      <w:r>
        <w:t xml:space="preserve">Mesai dışında yapılan her işlemin ücrete tabi olduğunu düşünüp tüm öncülleri işaretlemek.</w:t>
      </w:r>
    </w:p>
    <w:p>
      <w:pPr>
        <w:pStyle w:val="BodyText"/>
      </w:pPr>
      <w:r>
        <w:rPr>
          <w:bCs/>
          <w:b/>
        </w:rPr>
        <w:t xml:space="preserve">Dayanak:</w:t>
      </w:r>
      <w:r>
        <w:t xml:space="preserve"> </w:t>
      </w:r>
      <w:r>
        <w:t xml:space="preserve">Gümrük Genel Tebliği (Transit Rejimi) (Seri No: 14) md. 13 (mesai saatleri dışında gümrük işlemleri)</w:t>
      </w:r>
    </w:p>
    <w:bookmarkEnd w:id="86"/>
    <w:bookmarkStart w:id="87" w:name="soru-cevap-b-10"/>
    <w:p>
      <w:pPr>
        <w:pStyle w:val="Heading4"/>
      </w:pPr>
      <w:r>
        <w:t xml:space="preserve">66. soru — Cevap: B</w:t>
      </w:r>
    </w:p>
    <w:p>
      <w:pPr>
        <w:pStyle w:val="FirstParagraph"/>
      </w:pPr>
      <w:r>
        <w:rPr>
          <w:iCs/>
          <w:i/>
        </w:rPr>
        <w:t xml:space="preserve">GM · Transit · Ö1</w:t>
      </w:r>
    </w:p>
    <w:p>
      <w:pPr>
        <w:pStyle w:val="BodyText"/>
      </w:pPr>
      <w:r>
        <w:rPr>
          <w:bCs/>
          <w:b/>
        </w:rPr>
        <w:t xml:space="preserve">Doğru şık:</w:t>
      </w:r>
      <w:r>
        <w:t xml:space="preserve"> </w:t>
      </w:r>
      <w:r>
        <w:t xml:space="preserve">B) I ve III</w:t>
      </w:r>
    </w:p>
    <w:p>
      <w:pPr>
        <w:pStyle w:val="BodyText"/>
      </w:pPr>
      <w:r>
        <w:t xml:space="preserve">Transit Tebliğine göre kefil, Türkiye’de yerleşik, teminat mektubu vermeye yetkili banka ve finans kuruluşları olabilir (I) ve kefilin verdiği teminat sonradan kontrolleri müteakiben ödenebilir gümrük vergileri ve diğer yükleri de kapsar (III). Kefilin yükümlülüğü teminat mektubunda belirtilen maksimum tutarla sınırlıdır ve para cezalarını kapsamaz; II bu nedenle yanlıştır. Bireysel teminatta teminat gümrük idaresi varış değil hareket gümrük idaresidir; IV de yanlıştır.</w:t>
      </w:r>
    </w:p>
    <w:p>
      <w:pPr>
        <w:pStyle w:val="BodyText"/>
      </w:pPr>
      <w:r>
        <w:rPr>
          <w:bCs/>
          <w:b/>
        </w:rPr>
        <w:t xml:space="preserve">Tuzak:</w:t>
      </w:r>
      <w:r>
        <w:t xml:space="preserve"> </w:t>
      </w:r>
      <w:r>
        <w:t xml:space="preserve">Kefilin bütün kamu alacaklarını üstlendiği ve teminatın eşyanın vardığı idarede takip edildiği sezgisiyle II ya da IV’ü doğru sayıp daha geniş bir kümeye kaymak.</w:t>
      </w:r>
    </w:p>
    <w:p>
      <w:pPr>
        <w:pStyle w:val="BodyText"/>
      </w:pPr>
      <w:r>
        <w:rPr>
          <w:bCs/>
          <w:b/>
        </w:rPr>
        <w:t xml:space="preserve">Dayanak:</w:t>
      </w:r>
      <w:r>
        <w:t xml:space="preserve"> </w:t>
      </w:r>
      <w:r>
        <w:t xml:space="preserve">Gümrük Genel Tebliği (Transit Rejimi) (Seri No: 4) – kefil ve teminat gümrük idaresi hükümleri</w:t>
      </w:r>
    </w:p>
    <w:bookmarkEnd w:id="87"/>
    <w:bookmarkStart w:id="88" w:name="soru-cevap-c-12"/>
    <w:p>
      <w:pPr>
        <w:pStyle w:val="Heading4"/>
      </w:pPr>
      <w:r>
        <w:t xml:space="preserve">67. soru — Cevap: C</w:t>
      </w:r>
    </w:p>
    <w:p>
      <w:pPr>
        <w:pStyle w:val="FirstParagraph"/>
      </w:pPr>
      <w:r>
        <w:rPr>
          <w:iCs/>
          <w:i/>
        </w:rPr>
        <w:t xml:space="preserve">GM · Transit · Ö2</w:t>
      </w:r>
    </w:p>
    <w:p>
      <w:pPr>
        <w:pStyle w:val="BodyText"/>
      </w:pPr>
      <w:r>
        <w:rPr>
          <w:bCs/>
          <w:b/>
        </w:rPr>
        <w:t xml:space="preserve">Doğru şık:</w:t>
      </w:r>
      <w:r>
        <w:t xml:space="preserve"> </w:t>
      </w:r>
      <w:r>
        <w:t xml:space="preserve">C) Yalnız III</w:t>
      </w:r>
    </w:p>
    <w:p>
      <w:pPr>
        <w:pStyle w:val="BodyText"/>
      </w:pPr>
      <w:r>
        <w:t xml:space="preserve">Aynı taşıma aracında farklı varış idarelerine gidecek eşya için her varış idaresine ayrı transit beyanı düzenlenir (I); ulusal transit beyanında</w:t>
      </w:r>
      <w:r>
        <w:t xml:space="preserve"> </w:t>
      </w:r>
      <w:r>
        <w:t xml:space="preserve">‘</w:t>
      </w:r>
      <w:r>
        <w:t xml:space="preserve">taşıyıcı</w:t>
      </w:r>
      <w:r>
        <w:t xml:space="preserve">’</w:t>
      </w:r>
      <w:r>
        <w:t xml:space="preserve"> </w:t>
      </w:r>
      <w:r>
        <w:t xml:space="preserve">kutusunun doldurulması zorunludur (II) ve ulusal transitte transit idaresi belirlenmez (IV). Bir transit beyanı tek bir taşıma aracına yüklenen eşyayı kapsadığından, sevkiyatın iki veya daha fazla araca bölünmesi halinde hareket ve varış idareleri aynı olsa bile tüm araçlar için tek beyan düzenlenemez; yanlış olan yalnız III’tür.</w:t>
      </w:r>
    </w:p>
    <w:p>
      <w:pPr>
        <w:pStyle w:val="BodyText"/>
      </w:pPr>
      <w:r>
        <w:rPr>
          <w:bCs/>
          <w:b/>
        </w:rPr>
        <w:t xml:space="preserve">Tuzak:</w:t>
      </w:r>
      <w:r>
        <w:t xml:space="preserve"> </w:t>
      </w:r>
      <w:r>
        <w:t xml:space="preserve">Hareket ve varış idareleri aynı olunca tek beyanın yeterli olacağını düşünüp III’ü doğru,</w:t>
      </w:r>
      <w:r>
        <w:t xml:space="preserve"> </w:t>
      </w:r>
      <w:r>
        <w:t xml:space="preserve">‘</w:t>
      </w:r>
      <w:r>
        <w:t xml:space="preserve">transit idaresi belirlenmez</w:t>
      </w:r>
      <w:r>
        <w:t xml:space="preserve">’</w:t>
      </w:r>
      <w:r>
        <w:t xml:space="preserve"> </w:t>
      </w:r>
      <w:r>
        <w:t xml:space="preserve">ifadesini ise ortak transit kuralıyla karıştırıp yanlış saymak.</w:t>
      </w:r>
    </w:p>
    <w:p>
      <w:pPr>
        <w:pStyle w:val="BodyText"/>
      </w:pPr>
      <w:r>
        <w:rPr>
          <w:bCs/>
          <w:b/>
        </w:rPr>
        <w:t xml:space="preserve">Dayanak:</w:t>
      </w:r>
      <w:r>
        <w:t xml:space="preserve"> </w:t>
      </w:r>
      <w:r>
        <w:t xml:space="preserve">Gümrük Genel Tebliği (Transit Rejimi) (Seri No: 4) – transit beyanının düzenlenmesi ve ulusal transite ilişkin hükümler</w:t>
      </w:r>
    </w:p>
    <w:bookmarkEnd w:id="88"/>
    <w:bookmarkStart w:id="89" w:name="soru-cevap-c-13"/>
    <w:p>
      <w:pPr>
        <w:pStyle w:val="Heading4"/>
      </w:pPr>
      <w:r>
        <w:t xml:space="preserve">68. soru — Cevap: C</w:t>
      </w:r>
    </w:p>
    <w:p>
      <w:pPr>
        <w:pStyle w:val="FirstParagraph"/>
      </w:pPr>
      <w:r>
        <w:rPr>
          <w:iCs/>
          <w:i/>
        </w:rPr>
        <w:t xml:space="preserve">GM · Antrepo · E2</w:t>
      </w:r>
    </w:p>
    <w:p>
      <w:pPr>
        <w:pStyle w:val="BodyText"/>
      </w:pPr>
      <w:r>
        <w:rPr>
          <w:bCs/>
          <w:b/>
        </w:rPr>
        <w:t xml:space="preserve">Doğru şık:</w:t>
      </w:r>
      <w:r>
        <w:t xml:space="preserve"> </w:t>
      </w:r>
      <w:r>
        <w:t xml:space="preserve">C) II ve III</w:t>
      </w:r>
    </w:p>
    <w:p>
      <w:pPr>
        <w:pStyle w:val="BodyText"/>
      </w:pPr>
      <w:r>
        <w:t xml:space="preserve">Antrepo planında değişiklik gerektiren tadilat, genişletme ve daraltma talepleri bölge müdürlüğünce sonuçlandırılarak Bakanlığa bilgi verilir (II); geçici depolama yerinde plan değişikliği gerektiren talepler bölge müdürlüğünün görüşü ile Bakanlıkça sonuçlandırılır (III). Plan değişikliği gerektirmeyen antrepo değişiklik taleplerinde yetkilendirilmiş gümrük müşavirince tespit raporu düzenlenmez (I yanlış); antreponun aynı bölge müdürlüğüne bağlı başka bir gümrük müdürlüğüne bağlanması başvurusu bölge müdürlüğüne yapılır ancak Bakanlıkça sonuçlandırılır (IV yanlış).</w:t>
      </w:r>
    </w:p>
    <w:p>
      <w:pPr>
        <w:pStyle w:val="BodyText"/>
      </w:pPr>
      <w:r>
        <w:rPr>
          <w:bCs/>
          <w:b/>
        </w:rPr>
        <w:t xml:space="preserve">Tuzak:</w:t>
      </w:r>
      <w:r>
        <w:t xml:space="preserve"> </w:t>
      </w:r>
      <w:r>
        <w:t xml:space="preserve">Başvurunun bölge müdürlüğüne yapıldığı işlemde sonuçlandırma yetkisinin de bölge müdürlüğünde olduğunu varsaymak.</w:t>
      </w:r>
    </w:p>
    <w:p>
      <w:pPr>
        <w:pStyle w:val="BodyText"/>
      </w:pPr>
      <w:r>
        <w:rPr>
          <w:bCs/>
          <w:b/>
        </w:rPr>
        <w:t xml:space="preserve">Dayanak:</w:t>
      </w:r>
      <w:r>
        <w:t xml:space="preserve"> </w:t>
      </w:r>
      <w:r>
        <w:t xml:space="preserve">Gümrük Yönetmeliği md. 524/1, 524/3, 524/5 ve md. 516/A-2</w:t>
      </w:r>
    </w:p>
    <w:bookmarkEnd w:id="89"/>
    <w:bookmarkStart w:id="90" w:name="soru-cevap-b-11"/>
    <w:p>
      <w:pPr>
        <w:pStyle w:val="Heading4"/>
      </w:pPr>
      <w:r>
        <w:t xml:space="preserve">69. soru — Cevap: B</w:t>
      </w:r>
    </w:p>
    <w:p>
      <w:pPr>
        <w:pStyle w:val="FirstParagraph"/>
      </w:pPr>
      <w:r>
        <w:rPr>
          <w:iCs/>
          <w:i/>
        </w:rPr>
        <w:t xml:space="preserve">GM · Antrepo · Ö1</w:t>
      </w:r>
    </w:p>
    <w:p>
      <w:pPr>
        <w:pStyle w:val="BodyText"/>
      </w:pPr>
      <w:r>
        <w:rPr>
          <w:bCs/>
          <w:b/>
        </w:rPr>
        <w:t xml:space="preserve">Doğru şık:</w:t>
      </w:r>
      <w:r>
        <w:t xml:space="preserve"> </w:t>
      </w:r>
      <w:r>
        <w:t xml:space="preserve">B) II ve IV</w:t>
      </w:r>
    </w:p>
    <w:p>
      <w:pPr>
        <w:pStyle w:val="BodyText"/>
      </w:pPr>
      <w:r>
        <w:t xml:space="preserve">Özel antreponun devrinde eşya devralana devredilmezse çıkarılması için bir ay süre verilir ve bu süre en çok iki ay uzatılabilir (II); kapatılacak antrepodaki eşya en geç altı ay içinde başka antrepoya nakledilir, ihraç edilir ya da serbest dolaşıma sokulur (IV). D tipi antrepo ancak kayıt yoluyla rejime giriş iznine sahip bir başka kişiye devredilebilir (I yanlış); şirket hisselerinin devrinde gümrük müdürlüğüne bilgi verme süresi bir ay değil 10 iş günüdür (III yanlış).</w:t>
      </w:r>
    </w:p>
    <w:p>
      <w:pPr>
        <w:pStyle w:val="BodyText"/>
      </w:pPr>
      <w:r>
        <w:rPr>
          <w:bCs/>
          <w:b/>
        </w:rPr>
        <w:t xml:space="preserve">Tuzak:</w:t>
      </w:r>
      <w:r>
        <w:t xml:space="preserve"> </w:t>
      </w:r>
      <w:r>
        <w:t xml:space="preserve">Hisse devrinde bildirim süresini antrepo hükümlerinde sık geçen</w:t>
      </w:r>
      <w:r>
        <w:t xml:space="preserve"> </w:t>
      </w:r>
      <w:r>
        <w:t xml:space="preserve">‘</w:t>
      </w:r>
      <w:r>
        <w:t xml:space="preserve">bir ay</w:t>
      </w:r>
      <w:r>
        <w:t xml:space="preserve">’</w:t>
      </w:r>
      <w:r>
        <w:t xml:space="preserve"> </w:t>
      </w:r>
      <w:r>
        <w:t xml:space="preserve">ile karıştırmak.</w:t>
      </w:r>
    </w:p>
    <w:p>
      <w:pPr>
        <w:pStyle w:val="BodyText"/>
      </w:pPr>
      <w:r>
        <w:rPr>
          <w:bCs/>
          <w:b/>
        </w:rPr>
        <w:t xml:space="preserve">Dayanak:</w:t>
      </w:r>
      <w:r>
        <w:t xml:space="preserve"> </w:t>
      </w:r>
      <w:r>
        <w:t xml:space="preserve">Gümrük Yönetmeliği md. 523/3, 523/4, 523/10, 523/12</w:t>
      </w:r>
    </w:p>
    <w:bookmarkEnd w:id="90"/>
    <w:bookmarkStart w:id="91" w:name="soru-cevap-e-14"/>
    <w:p>
      <w:pPr>
        <w:pStyle w:val="Heading4"/>
      </w:pPr>
      <w:r>
        <w:t xml:space="preserve">70. soru — Cevap: E</w:t>
      </w:r>
    </w:p>
    <w:p>
      <w:pPr>
        <w:pStyle w:val="FirstParagraph"/>
      </w:pPr>
      <w:r>
        <w:rPr>
          <w:iCs/>
          <w:i/>
        </w:rPr>
        <w:t xml:space="preserve">GM · Antrepo · Ö3</w:t>
      </w:r>
    </w:p>
    <w:p>
      <w:pPr>
        <w:pStyle w:val="BodyText"/>
      </w:pPr>
      <w:r>
        <w:rPr>
          <w:bCs/>
          <w:b/>
        </w:rPr>
        <w:t xml:space="preserve">Doğru şık:</w:t>
      </w:r>
      <w:r>
        <w:t xml:space="preserve"> </w:t>
      </w:r>
      <w:r>
        <w:t xml:space="preserve">E) I, II ve III</w:t>
      </w:r>
    </w:p>
    <w:p>
      <w:pPr>
        <w:pStyle w:val="BodyText"/>
      </w:pPr>
      <w:r>
        <w:t xml:space="preserve">Gümrük Yönetmeliğinin antrepo rejiminde teminata ilişkin hükmüne göre Kanunun 98 inci maddesi uyarınca fuar ve sergilere konulan, ithalat vergilerinden muaf olan ya da ihraç edilmek üzere antrepolara konulan eşya için teminat aranmaz. Üç öncül de bu hükümde sayıldığından cevap tüm öncüllerdir.</w:t>
      </w:r>
    </w:p>
    <w:p>
      <w:pPr>
        <w:pStyle w:val="BodyText"/>
      </w:pPr>
      <w:r>
        <w:rPr>
          <w:bCs/>
          <w:b/>
        </w:rPr>
        <w:t xml:space="preserve">Tuzak:</w:t>
      </w:r>
      <w:r>
        <w:t xml:space="preserve"> </w:t>
      </w:r>
      <w:r>
        <w:t xml:space="preserve">‘</w:t>
      </w:r>
      <w:r>
        <w:t xml:space="preserve">Antrepoya konulan eşya mutlaka teminata bağlanır</w:t>
      </w:r>
      <w:r>
        <w:t xml:space="preserve">’</w:t>
      </w:r>
      <w:r>
        <w:t xml:space="preserve"> </w:t>
      </w:r>
      <w:r>
        <w:t xml:space="preserve">genellemesiyle ve</w:t>
      </w:r>
      <w:r>
        <w:t xml:space="preserve"> </w:t>
      </w:r>
      <w:r>
        <w:t xml:space="preserve">‘</w:t>
      </w:r>
      <w:r>
        <w:t xml:space="preserve">hepsi olamaz</w:t>
      </w:r>
      <w:r>
        <w:t xml:space="preserve">’</w:t>
      </w:r>
      <w:r>
        <w:t xml:space="preserve"> </w:t>
      </w:r>
      <w:r>
        <w:t xml:space="preserve">önyargısıyla ihraç edilmek üzere konulan eşyayı ya da fuar eşyasını dışarıda bırakmak.</w:t>
      </w:r>
    </w:p>
    <w:p>
      <w:pPr>
        <w:pStyle w:val="BodyText"/>
      </w:pPr>
      <w:r>
        <w:rPr>
          <w:bCs/>
          <w:b/>
        </w:rPr>
        <w:t xml:space="preserve">Dayanak:</w:t>
      </w:r>
      <w:r>
        <w:t xml:space="preserve"> </w:t>
      </w:r>
      <w:r>
        <w:t xml:space="preserve">Gümrük Yönetmeliği md. 526/7</w:t>
      </w:r>
    </w:p>
    <w:bookmarkEnd w:id="91"/>
    <w:bookmarkStart w:id="92" w:name="soru-cevap-e-15"/>
    <w:p>
      <w:pPr>
        <w:pStyle w:val="Heading4"/>
      </w:pPr>
      <w:r>
        <w:t xml:space="preserve">71. soru — Cevap: E</w:t>
      </w:r>
    </w:p>
    <w:p>
      <w:pPr>
        <w:pStyle w:val="FirstParagraph"/>
      </w:pPr>
      <w:r>
        <w:rPr>
          <w:iCs/>
          <w:i/>
        </w:rPr>
        <w:t xml:space="preserve">GM · Antrepo · O1</w:t>
      </w:r>
    </w:p>
    <w:p>
      <w:pPr>
        <w:pStyle w:val="BodyText"/>
      </w:pPr>
      <w:r>
        <w:rPr>
          <w:bCs/>
          <w:b/>
        </w:rPr>
        <w:t xml:space="preserve">Doğru şık:</w:t>
      </w:r>
      <w:r>
        <w:t xml:space="preserve"> </w:t>
      </w:r>
      <w:r>
        <w:t xml:space="preserve">E) Solvent nafta</w:t>
      </w:r>
    </w:p>
    <w:p>
      <w:pPr>
        <w:pStyle w:val="BodyText"/>
      </w:pPr>
      <w:r>
        <w:t xml:space="preserve">Gümrük Yönetmeliğine göre akaryakıt antrepoları; benzin türleri, ham petrol, nafta (hammadde ve solvent nafta hariç), gaz yağı, jet yakıtı, motorin türleri, fuel-oil türleri, bio dizel ile sıvılaştırılmış petrol gazının (LPG) dökme veya kaplı olarak konulmasına özgü genel veya özel antrepolardır. Solvent nafta, nafta kapsamından açıkça hariç tutulmuştur; ham petrol, jet yakıtı, bio dizel ve LPG ise hükümde sayılmıştır.</w:t>
      </w:r>
    </w:p>
    <w:p>
      <w:pPr>
        <w:pStyle w:val="BodyText"/>
      </w:pPr>
      <w:r>
        <w:rPr>
          <w:bCs/>
          <w:b/>
        </w:rPr>
        <w:t xml:space="preserve">Tuzak:</w:t>
      </w:r>
      <w:r>
        <w:t xml:space="preserve"> </w:t>
      </w:r>
      <w:r>
        <w:t xml:space="preserve">Hükümde</w:t>
      </w:r>
      <w:r>
        <w:t xml:space="preserve"> </w:t>
      </w:r>
      <w:r>
        <w:t xml:space="preserve">‘</w:t>
      </w:r>
      <w:r>
        <w:t xml:space="preserve">nafta</w:t>
      </w:r>
      <w:r>
        <w:t xml:space="preserve">’</w:t>
      </w:r>
      <w:r>
        <w:t xml:space="preserve"> </w:t>
      </w:r>
      <w:r>
        <w:t xml:space="preserve">sayıldığı için solvent naftanın da akaryakıt antreposuna konulabileceğini düşünmek.</w:t>
      </w:r>
    </w:p>
    <w:p>
      <w:pPr>
        <w:pStyle w:val="BodyText"/>
      </w:pPr>
      <w:r>
        <w:rPr>
          <w:bCs/>
          <w:b/>
        </w:rPr>
        <w:t xml:space="preserve">Dayanak:</w:t>
      </w:r>
      <w:r>
        <w:t xml:space="preserve"> </w:t>
      </w:r>
      <w:r>
        <w:t xml:space="preserve">Gümrük Yönetmeliği md. 541/1</w:t>
      </w:r>
    </w:p>
    <w:bookmarkEnd w:id="92"/>
    <w:bookmarkStart w:id="93" w:name="soru-cevap-d-13"/>
    <w:p>
      <w:pPr>
        <w:pStyle w:val="Heading4"/>
      </w:pPr>
      <w:r>
        <w:t xml:space="preserve">72. soru — Cevap: D</w:t>
      </w:r>
    </w:p>
    <w:p>
      <w:pPr>
        <w:pStyle w:val="FirstParagraph"/>
      </w:pPr>
      <w:r>
        <w:rPr>
          <w:iCs/>
          <w:i/>
        </w:rPr>
        <w:t xml:space="preserve">GM · Geçici ithalat · D1</w:t>
      </w:r>
    </w:p>
    <w:p>
      <w:pPr>
        <w:pStyle w:val="BodyText"/>
      </w:pPr>
      <w:r>
        <w:rPr>
          <w:bCs/>
          <w:b/>
        </w:rPr>
        <w:t xml:space="preserve">Doğru şık:</w:t>
      </w:r>
      <w:r>
        <w:t xml:space="preserve"> </w:t>
      </w:r>
      <w:r>
        <w:t xml:space="preserve">D) 75</w:t>
      </w:r>
    </w:p>
    <w:p>
      <w:pPr>
        <w:pStyle w:val="BodyText"/>
      </w:pPr>
      <w:r>
        <w:t xml:space="preserve">Karar’ın özel nitelikte eşyaya ilişkin hükmüne göre, yurt dışında yerleşik kişiye ait ölçme, kontrol, test araçları ile kalıp, çizim, taslak ve benzeri araçlara, kullanımı sonucunda elde edilen ürünün en az %75’inin Türkiye Gümrük Bölgesinden ihraç edilmesi koşuluyla geçici ithalat izni verilir. %100 (tamamı) koşulu, aynı maddede bedelsiz gönderilen özel alet ve araçlar için öngörülen komşu kuraldır. %3 kısmi muafiyetteki aylık vergi oranı, %10 ise ATA karnesinde kefil kuruluşun sorumluluk sınırına ilişkin orandır; %50 mevzuatta bu eşya için geçmez.</w:t>
      </w:r>
    </w:p>
    <w:p>
      <w:pPr>
        <w:pStyle w:val="BodyText"/>
      </w:pPr>
      <w:r>
        <w:rPr>
          <w:bCs/>
          <w:b/>
        </w:rPr>
        <w:t xml:space="preserve">Tuzak:</w:t>
      </w:r>
      <w:r>
        <w:t xml:space="preserve"> </w:t>
      </w:r>
      <w:r>
        <w:t xml:space="preserve">Aynı maddenin bir sonraki bendindeki</w:t>
      </w:r>
      <w:r>
        <w:t xml:space="preserve"> </w:t>
      </w:r>
      <w:r>
        <w:t xml:space="preserve">“</w:t>
      </w:r>
      <w:r>
        <w:t xml:space="preserve">tamamı ihraç edilecek ürün</w:t>
      </w:r>
      <w:r>
        <w:t xml:space="preserve">”</w:t>
      </w:r>
      <w:r>
        <w:t xml:space="preserve"> </w:t>
      </w:r>
      <w:r>
        <w:t xml:space="preserve">koşulunu hatırlayan aday %100’ü işaretler.</w:t>
      </w:r>
    </w:p>
    <w:p>
      <w:pPr>
        <w:pStyle w:val="BodyText"/>
      </w:pPr>
      <w:r>
        <w:rPr>
          <w:bCs/>
          <w:b/>
        </w:rPr>
        <w:t xml:space="preserve">Dayanak:</w:t>
      </w:r>
      <w:r>
        <w:t xml:space="preserve"> </w:t>
      </w:r>
      <w:r>
        <w:t xml:space="preserve">2009/15481 sayılı Karar md. 34/1-a (ve md. 34/1-b)</w:t>
      </w:r>
    </w:p>
    <w:bookmarkEnd w:id="93"/>
    <w:bookmarkStart w:id="94" w:name="soru-cevap-b-12"/>
    <w:p>
      <w:pPr>
        <w:pStyle w:val="Heading4"/>
      </w:pPr>
      <w:r>
        <w:t xml:space="preserve">73. soru — Cevap: B</w:t>
      </w:r>
    </w:p>
    <w:p>
      <w:pPr>
        <w:pStyle w:val="FirstParagraph"/>
      </w:pPr>
      <w:r>
        <w:rPr>
          <w:iCs/>
          <w:i/>
        </w:rPr>
        <w:t xml:space="preserve">GM · Geçici ithalat · O2</w:t>
      </w:r>
    </w:p>
    <w:p>
      <w:pPr>
        <w:pStyle w:val="BodyText"/>
      </w:pPr>
      <w:r>
        <w:rPr>
          <w:bCs/>
          <w:b/>
        </w:rPr>
        <w:t xml:space="preserve">Doğru şık:</w:t>
      </w:r>
      <w:r>
        <w:t xml:space="preserve"> </w:t>
      </w:r>
      <w:r>
        <w:t xml:space="preserve">B) Posta trafiğinde gönderilen eşyanın geçici ithalinde de, diğer taşıma şekillerinde olduğu gibi ATA karnesi kabul edilir.</w:t>
      </w:r>
    </w:p>
    <w:p>
      <w:pPr>
        <w:pStyle w:val="BodyText"/>
      </w:pPr>
      <w:r>
        <w:t xml:space="preserve">Geçici İthalat Sözleşmesi çekincelerle onaylandığından, Tebliğe göre posta trafiğinde ATA karneleri kabul edilmez; bu nedenle posta trafiğinde de karnenin kabul edileceğini söyleyen ifade yanlıştır. Karnenin taşıma araçları hariç eşyanın geçici ithalinde beyanname yerine geçen uluslararası belge olması, ayrıca belge ve teminat aranmaması (GY md. 382/2), sergi-fuar eşyasına en az altı ay süre verilmesi ve süresi uzatılamayan karnenin yeni karne ile değiştirilmesi Tebliğ ve Yönetmelikteki hükümlerin aynısıdır.</w:t>
      </w:r>
    </w:p>
    <w:p>
      <w:pPr>
        <w:pStyle w:val="BodyText"/>
      </w:pPr>
      <w:r>
        <w:rPr>
          <w:bCs/>
          <w:b/>
        </w:rPr>
        <w:t xml:space="preserve">Tuzak:</w:t>
      </w:r>
      <w:r>
        <w:t xml:space="preserve"> </w:t>
      </w:r>
      <w:r>
        <w:t xml:space="preserve">ATA karnesinin</w:t>
      </w:r>
      <w:r>
        <w:t xml:space="preserve"> </w:t>
      </w:r>
      <w:r>
        <w:t xml:space="preserve">“</w:t>
      </w:r>
      <w:r>
        <w:t xml:space="preserve">uluslararası ve her yerde geçerli</w:t>
      </w:r>
      <w:r>
        <w:t xml:space="preserve">”</w:t>
      </w:r>
      <w:r>
        <w:t xml:space="preserve"> </w:t>
      </w:r>
      <w:r>
        <w:t xml:space="preserve">teminat belgesi olduğunu bilen aday, Türkiye’nin posta trafiği çekincesini atlayarak bu ifadeyi doğru sanır.</w:t>
      </w:r>
    </w:p>
    <w:p>
      <w:pPr>
        <w:pStyle w:val="BodyText"/>
      </w:pPr>
      <w:r>
        <w:rPr>
          <w:bCs/>
          <w:b/>
        </w:rPr>
        <w:t xml:space="preserve">Dayanak:</w:t>
      </w:r>
      <w:r>
        <w:t xml:space="preserve"> </w:t>
      </w:r>
      <w:r>
        <w:t xml:space="preserve">Gümrük Genel Tebliği (Geçici İthalat) Seri No: 4 md. 2, 3, 6, 8; Gümrük Yönetmeliği md. 382</w:t>
      </w:r>
    </w:p>
    <w:bookmarkEnd w:id="94"/>
    <w:bookmarkStart w:id="95" w:name="soru-cevap-c-14"/>
    <w:p>
      <w:pPr>
        <w:pStyle w:val="Heading4"/>
      </w:pPr>
      <w:r>
        <w:t xml:space="preserve">74. soru — Cevap: C</w:t>
      </w:r>
    </w:p>
    <w:p>
      <w:pPr>
        <w:pStyle w:val="FirstParagraph"/>
      </w:pPr>
      <w:r>
        <w:rPr>
          <w:iCs/>
          <w:i/>
        </w:rPr>
        <w:t xml:space="preserve">GM · Dahilde işleme · G3</w:t>
      </w:r>
    </w:p>
    <w:p>
      <w:pPr>
        <w:pStyle w:val="BodyText"/>
      </w:pPr>
      <w:r>
        <w:rPr>
          <w:bCs/>
          <w:b/>
        </w:rPr>
        <w:t xml:space="preserve">Doğru şık:</w:t>
      </w:r>
      <w:r>
        <w:t xml:space="preserve"> </w:t>
      </w:r>
      <w:r>
        <w:t xml:space="preserve">C) İzin hak sahibinin, işlem görmüş ürünlerin serbest bölgeye konulduğunu belgelendirmesi ve rejimin diğer şartlarına uyması kaydıyla ithalat vergilerinin geri verilmesini isteyebilmesi</w:t>
      </w:r>
    </w:p>
    <w:p>
      <w:pPr>
        <w:pStyle w:val="BodyText"/>
      </w:pPr>
      <w:r>
        <w:t xml:space="preserve">Kanunun 121 inci maddesine göre izin hak sahibi, geri ödeme sistemi çerçevesinde serbest dolaşıma giren ithal eşyasından elde edilen işlem görmüş ürünlerin ihraç edildiğini, belirli rejimlere tabi tutulduğunu ya da serbest bölgeye konulduğunu belgelendirerek vergilerin geri verilmesini veya kaldırılmasını isteyebilir; bu hüküm geri ödeme sisteminin kendisidir. Önceden ihracat imkânı, ithal eşyası ile eşdeğer eşyanın yer değiştirmesi ve ihracat vergileri kadar teminat alınması (109 uncu madde hükümleri) ile vergilerin rejim beyannamesinin tescil tarihindeki unsurlara göre hesaplanması (114 üncü madde) ise 119 uncu madde uyarınca geri ödeme sisteminde uygulanmaz.</w:t>
      </w:r>
    </w:p>
    <w:p>
      <w:pPr>
        <w:pStyle w:val="BodyText"/>
      </w:pPr>
      <w:r>
        <w:rPr>
          <w:bCs/>
          <w:b/>
        </w:rPr>
        <w:t xml:space="preserve">Tuzak:</w:t>
      </w:r>
      <w:r>
        <w:t xml:space="preserve"> </w:t>
      </w:r>
      <w:r>
        <w:t xml:space="preserve">Eşdeğer eşya ve önceden ihracat kolaylıklarının dahilde işleme rejiminin her iki sisteminde de geçerli olduğunu sanan aday, eşdeğer eşyaya veya önceden ihracata ilişkin seçeneklerden birine kayar.</w:t>
      </w:r>
    </w:p>
    <w:p>
      <w:pPr>
        <w:pStyle w:val="BodyText"/>
      </w:pPr>
      <w:r>
        <w:rPr>
          <w:bCs/>
          <w:b/>
        </w:rPr>
        <w:t xml:space="preserve">Dayanak:</w:t>
      </w:r>
      <w:r>
        <w:t xml:space="preserve"> </w:t>
      </w:r>
      <w:r>
        <w:t xml:space="preserve">4458 sayılı Gümrük Kanunu md. 109, 114, 119, 121</w:t>
      </w:r>
    </w:p>
    <w:bookmarkEnd w:id="95"/>
    <w:bookmarkStart w:id="96" w:name="soru-cevap-c-15"/>
    <w:p>
      <w:pPr>
        <w:pStyle w:val="Heading4"/>
      </w:pPr>
      <w:r>
        <w:t xml:space="preserve">75. soru — Cevap: C</w:t>
      </w:r>
    </w:p>
    <w:p>
      <w:pPr>
        <w:pStyle w:val="FirstParagraph"/>
      </w:pPr>
      <w:r>
        <w:rPr>
          <w:iCs/>
          <w:i/>
        </w:rPr>
        <w:t xml:space="preserve">GM · Hariçte işleme / GKAİR · O2</w:t>
      </w:r>
    </w:p>
    <w:p>
      <w:pPr>
        <w:pStyle w:val="BodyText"/>
      </w:pPr>
      <w:r>
        <w:rPr>
          <w:bCs/>
          <w:b/>
        </w:rPr>
        <w:t xml:space="preserve">Doğru şık:</w:t>
      </w:r>
      <w:r>
        <w:t xml:space="preserve"> </w:t>
      </w:r>
      <w:r>
        <w:t xml:space="preserve">C) Rejime ilişkin iznin geçerlilik süresi, gümrük idaresince her başvuru için azami üç yıl olarak belirlenir.</w:t>
      </w:r>
    </w:p>
    <w:p>
      <w:pPr>
        <w:pStyle w:val="BodyText"/>
      </w:pPr>
      <w:r>
        <w:t xml:space="preserve">Gümrük Yönetmeliğinin 372 nci maddesine göre gümrük kontrolü altında işleme iznin geçerlilik süresi gümrük idaresince her başvuru için azami iki yıl olarak belirlenir; üç yıl ifadesi yanlıştır. İznin sadece Türkiye Gümrük Bölgesinde yerleşik kişilere verilmesi Kanunun 124 üncü maddesinin, rejimin vergi farkı ve teknik düzenlemeye uygunluk amacıyla uygulanması Yönetmeliğin 370 inci maddesinin, işlem görmüş ürünlerin serbest dolaşım beyannamesinin başka bir gümrük müdürlüğüne verilebilmesi ise Tebliğin 5 inci maddesinin hükmüdür.</w:t>
      </w:r>
    </w:p>
    <w:p>
      <w:pPr>
        <w:pStyle w:val="BodyText"/>
      </w:pPr>
      <w:r>
        <w:rPr>
          <w:bCs/>
          <w:b/>
        </w:rPr>
        <w:t xml:space="preserve">Tuzak:</w:t>
      </w:r>
      <w:r>
        <w:t xml:space="preserve"> </w:t>
      </w:r>
      <w:r>
        <w:t xml:space="preserve">Doğru olan</w:t>
      </w:r>
      <w:r>
        <w:t xml:space="preserve"> </w:t>
      </w:r>
      <w:r>
        <w:t xml:space="preserve">“</w:t>
      </w:r>
      <w:r>
        <w:t xml:space="preserve">sadece</w:t>
      </w:r>
      <w:r>
        <w:t xml:space="preserve">”</w:t>
      </w:r>
      <w:r>
        <w:t xml:space="preserve"> </w:t>
      </w:r>
      <w:r>
        <w:t xml:space="preserve">ifadesini mutlaklaştırma bozulması sanan aday, iznin yalnız Türkiye Gümrük Bölgesinde yerleşik kişilere verileceğini söyleyen ifadeyi işaretler.</w:t>
      </w:r>
    </w:p>
    <w:p>
      <w:pPr>
        <w:pStyle w:val="BodyText"/>
      </w:pPr>
      <w:r>
        <w:rPr>
          <w:bCs/>
          <w:b/>
        </w:rPr>
        <w:t xml:space="preserve">Dayanak:</w:t>
      </w:r>
      <w:r>
        <w:t xml:space="preserve"> </w:t>
      </w:r>
      <w:r>
        <w:t xml:space="preserve">4458 sayılı Gümrük Kanunu md. 124; Gümrük Yönetmeliği md. 370, 372; Gümrük Genel Tebliği (Gümrük Kontrolü Altında İşleme) Seri No: 3 md. 3, 5</w:t>
      </w:r>
    </w:p>
    <w:bookmarkEnd w:id="96"/>
    <w:bookmarkStart w:id="97" w:name="soru-cevap-b-13"/>
    <w:p>
      <w:pPr>
        <w:pStyle w:val="Heading4"/>
      </w:pPr>
      <w:r>
        <w:t xml:space="preserve">76. soru — Cevap: B</w:t>
      </w:r>
    </w:p>
    <w:p>
      <w:pPr>
        <w:pStyle w:val="FirstParagraph"/>
      </w:pPr>
      <w:r>
        <w:rPr>
          <w:iCs/>
          <w:i/>
        </w:rPr>
        <w:t xml:space="preserve">GM · İhracat (gümrük) · G1</w:t>
      </w:r>
    </w:p>
    <w:p>
      <w:pPr>
        <w:pStyle w:val="BodyText"/>
      </w:pPr>
      <w:r>
        <w:rPr>
          <w:bCs/>
          <w:b/>
        </w:rPr>
        <w:t xml:space="preserve">Doğru şık:</w:t>
      </w:r>
      <w:r>
        <w:t xml:space="preserve"> </w:t>
      </w:r>
      <w:r>
        <w:t xml:space="preserve">B) Süresinde kaldırılmayan eşya, yükümlüye yapılan tebligatın tebliğ tarihinden itibaren otuz gün içinde de yerinden çıkarılmazsa gümrüğe terk edilmiş sayılır.</w:t>
      </w:r>
    </w:p>
    <w:p>
      <w:pPr>
        <w:pStyle w:val="BodyText"/>
      </w:pPr>
      <w:r>
        <w:t xml:space="preserve">Gümrük Yönetmeliğinin 417 nci maddesine göre süresi içinde kaldırılmayan eşya için yükümlüye tebligat yapılır ve tebliğ tarihinden itibaren otuz gün içinde çıkarılmayan eşya gümrüğe terk edilmiş sayılarak tasfiye hükümlerine göre işlem görür. İhracat amacıyla geçici depolama yerine konulan eşyanın kalış süresi üç ay değil bir aydır ve ek süre beyannamenin tescil edilip edilmediğine bakılmaksızın talep edilebilir. Geçici depolama yerine konulmaksızın ihraç edilecek eşyada kapatma süresi iki ay olup en çok iki ay uzatılabilir.</w:t>
      </w:r>
    </w:p>
    <w:p>
      <w:pPr>
        <w:pStyle w:val="BodyText"/>
      </w:pPr>
      <w:r>
        <w:rPr>
          <w:bCs/>
          <w:b/>
        </w:rPr>
        <w:t xml:space="preserve">Tuzak:</w:t>
      </w:r>
      <w:r>
        <w:t xml:space="preserve"> </w:t>
      </w:r>
      <w:r>
        <w:t xml:space="preserve">Geçici depolamadaki eşyaya verilebilecek</w:t>
      </w:r>
      <w:r>
        <w:t xml:space="preserve"> </w:t>
      </w:r>
      <w:r>
        <w:t xml:space="preserve">“</w:t>
      </w:r>
      <w:r>
        <w:t xml:space="preserve">en çok üç ay</w:t>
      </w:r>
      <w:r>
        <w:t xml:space="preserve">”</w:t>
      </w:r>
      <w:r>
        <w:t xml:space="preserve"> </w:t>
      </w:r>
      <w:r>
        <w:t xml:space="preserve">ek süreyi asıl kalış süresiyle karıştıran aday, üç aylık kalış süresi öngören ifadeye kayar.</w:t>
      </w:r>
    </w:p>
    <w:p>
      <w:pPr>
        <w:pStyle w:val="BodyText"/>
      </w:pPr>
      <w:r>
        <w:rPr>
          <w:bCs/>
          <w:b/>
        </w:rPr>
        <w:t xml:space="preserve">Dayanak:</w:t>
      </w:r>
      <w:r>
        <w:t xml:space="preserve"> </w:t>
      </w:r>
      <w:r>
        <w:t xml:space="preserve">Gümrük Yönetmeliği md. 417</w:t>
      </w:r>
    </w:p>
    <w:bookmarkEnd w:id="97"/>
    <w:bookmarkStart w:id="98" w:name="soru-cevap-a-16"/>
    <w:p>
      <w:pPr>
        <w:pStyle w:val="Heading4"/>
      </w:pPr>
      <w:r>
        <w:t xml:space="preserve">77. soru — Cevap: A</w:t>
      </w:r>
    </w:p>
    <w:p>
      <w:pPr>
        <w:pStyle w:val="FirstParagraph"/>
      </w:pPr>
      <w:r>
        <w:rPr>
          <w:iCs/>
          <w:i/>
        </w:rPr>
        <w:t xml:space="preserve">GM · Geri gelen eşya · D3</w:t>
      </w:r>
    </w:p>
    <w:p>
      <w:pPr>
        <w:pStyle w:val="BodyText"/>
      </w:pPr>
      <w:r>
        <w:rPr>
          <w:bCs/>
          <w:b/>
        </w:rPr>
        <w:t xml:space="preserve">Doğru şık:</w:t>
      </w:r>
      <w:r>
        <w:t xml:space="preserve"> </w:t>
      </w:r>
      <w:r>
        <w:t xml:space="preserve">A) Piyasa kuralları gereği gönderildiği ülkede satılamayan sebze ve meyveler</w:t>
      </w:r>
    </w:p>
    <w:p>
      <w:pPr>
        <w:pStyle w:val="BodyText"/>
      </w:pPr>
      <w:r>
        <w:t xml:space="preserve">Yönetmeliğin 446 ncı maddesinin üçüncü fıkrası,</w:t>
      </w:r>
      <w:r>
        <w:t xml:space="preserve"> </w:t>
      </w:r>
      <w:r>
        <w:t xml:space="preserve">“</w:t>
      </w:r>
      <w:r>
        <w:t xml:space="preserve">ihracatçının elinde olmayan sebeplerle amaçlanan kullanıma girememe</w:t>
      </w:r>
      <w:r>
        <w:t xml:space="preserve">”</w:t>
      </w:r>
      <w:r>
        <w:t xml:space="preserve"> </w:t>
      </w:r>
      <w:r>
        <w:t xml:space="preserve">durumlarını sayar ve bunlar arasında Türkiye Gümrük Bölgesi dışındaki ülkelere gönderilip piyasa kuralları gereği satılamayan sebze ve meyveler de yer alır. Gönderildiği ülkenin mevzuatı nedeniyle kullanıma arz edilememe birinci fıkranın (a) bendindeki ayrı bir sebeptir; kusurlu olma veya sözleşmeye uygun olmama nedeniyle alıcının kabul etmemesi (b) bendindedir. Üretime yönelik makineler ise dördüncü fıkra uyarınca bu şartlara bağlı olmaksızın ayniyet tespiti kaydıyla muafiyetten yararlanır.</w:t>
      </w:r>
    </w:p>
    <w:p>
      <w:pPr>
        <w:pStyle w:val="BodyText"/>
      </w:pPr>
      <w:r>
        <w:rPr>
          <w:bCs/>
          <w:b/>
        </w:rPr>
        <w:t xml:space="preserve">Tuzak:</w:t>
      </w:r>
      <w:r>
        <w:t xml:space="preserve"> </w:t>
      </w:r>
      <w:r>
        <w:t xml:space="preserve">Satıcının iradesi dışındaki her geri gelişi</w:t>
      </w:r>
      <w:r>
        <w:t xml:space="preserve"> </w:t>
      </w:r>
      <w:r>
        <w:t xml:space="preserve">“</w:t>
      </w:r>
      <w:r>
        <w:t xml:space="preserve">elinde olmayan sebep</w:t>
      </w:r>
      <w:r>
        <w:t xml:space="preserve">”</w:t>
      </w:r>
      <w:r>
        <w:t xml:space="preserve"> </w:t>
      </w:r>
      <w:r>
        <w:t xml:space="preserve">sayan aday kusurlu eşya veya mevzuat engeli seçeneklerine kayar.</w:t>
      </w:r>
    </w:p>
    <w:p>
      <w:pPr>
        <w:pStyle w:val="BodyText"/>
      </w:pPr>
      <w:r>
        <w:rPr>
          <w:bCs/>
          <w:b/>
        </w:rPr>
        <w:t xml:space="preserve">Dayanak:</w:t>
      </w:r>
      <w:r>
        <w:t xml:space="preserve"> </w:t>
      </w:r>
      <w:r>
        <w:t xml:space="preserve">Gümrük Yönetmeliği md. 446</w:t>
      </w:r>
    </w:p>
    <w:bookmarkEnd w:id="98"/>
    <w:bookmarkStart w:id="99" w:name="soru-cevap-e-16"/>
    <w:p>
      <w:pPr>
        <w:pStyle w:val="Heading4"/>
      </w:pPr>
      <w:r>
        <w:t xml:space="preserve">78. soru — Cevap: E</w:t>
      </w:r>
    </w:p>
    <w:p>
      <w:pPr>
        <w:pStyle w:val="FirstParagraph"/>
      </w:pPr>
      <w:r>
        <w:rPr>
          <w:iCs/>
          <w:i/>
        </w:rPr>
        <w:t xml:space="preserve">GM · Geri gelen eşya · O1</w:t>
      </w:r>
    </w:p>
    <w:p>
      <w:pPr>
        <w:pStyle w:val="BodyText"/>
      </w:pPr>
      <w:r>
        <w:rPr>
          <w:bCs/>
          <w:b/>
        </w:rPr>
        <w:t xml:space="preserve">Doğru şık:</w:t>
      </w:r>
      <w:r>
        <w:t xml:space="preserve"> </w:t>
      </w:r>
      <w:r>
        <w:t xml:space="preserve">E) Hariçte işleme rejimi çerçevesinde ihraç edilip yurt dışında tamir edildikten sonra geri getirilen eşyaya</w:t>
      </w:r>
    </w:p>
    <w:p>
      <w:pPr>
        <w:pStyle w:val="BodyText"/>
      </w:pPr>
      <w:r>
        <w:t xml:space="preserve">Kanunun 168 inci maddesinin ikinci fıkrasına göre, aynen ihraç edildiği durumda olması hali hariç, hariçte işleme rejimi çerçevesinde ihraç edilen eşyaya geri gelen eşya muafiyeti tanınmaz; yurt dışında tamir edilen eşya hariçte işleme hükümlerine göre vergilendirilir. Aynen ihraç edildiği durumda geri getirilen hariçte işleme eşyası bu istisnanın dışındadır. Dahilde işleme rejiminden sonra ihraç edilip geri gelen işlem görmüş ürünlere 170 inci madde, ihraç edilen eşyaya ait parçalara Yönetmeliğin 447 nci maddesi, konsinye ihraç edilip geri gelen eşyaya ise 449 uncu maddesi uyarınca geri gelen eşya hükümleri uygulanır.</w:t>
      </w:r>
    </w:p>
    <w:p>
      <w:pPr>
        <w:pStyle w:val="BodyText"/>
      </w:pPr>
      <w:r>
        <w:rPr>
          <w:bCs/>
          <w:b/>
        </w:rPr>
        <w:t xml:space="preserve">Tuzak:</w:t>
      </w:r>
      <w:r>
        <w:t xml:space="preserve"> </w:t>
      </w:r>
      <w:r>
        <w:t xml:space="preserve">“</w:t>
      </w:r>
      <w:r>
        <w:t xml:space="preserve">Hariçte işleme eşyasına muafiyet tanınmaz</w:t>
      </w:r>
      <w:r>
        <w:t xml:space="preserve">”</w:t>
      </w:r>
      <w:r>
        <w:t xml:space="preserve"> </w:t>
      </w:r>
      <w:r>
        <w:t xml:space="preserve">kuralını istisnasıyla birlikte bilmeyen aday aynen geri getirilen eşyayı işaretler.</w:t>
      </w:r>
    </w:p>
    <w:p>
      <w:pPr>
        <w:pStyle w:val="BodyText"/>
      </w:pPr>
      <w:r>
        <w:rPr>
          <w:bCs/>
          <w:b/>
        </w:rPr>
        <w:t xml:space="preserve">Dayanak:</w:t>
      </w:r>
      <w:r>
        <w:t xml:space="preserve"> </w:t>
      </w:r>
      <w:r>
        <w:t xml:space="preserve">4458 sayılı Gümrük Kanunu md. 168/2-a, 170; Gümrük Yönetmeliği md. 447, 449</w:t>
      </w:r>
    </w:p>
    <w:bookmarkEnd w:id="99"/>
    <w:bookmarkStart w:id="100" w:name="soru-cevap-d-14"/>
    <w:p>
      <w:pPr>
        <w:pStyle w:val="Heading4"/>
      </w:pPr>
      <w:r>
        <w:t xml:space="preserve">79. soru — Cevap: D</w:t>
      </w:r>
    </w:p>
    <w:p>
      <w:pPr>
        <w:pStyle w:val="FirstParagraph"/>
      </w:pPr>
      <w:r>
        <w:rPr>
          <w:iCs/>
          <w:i/>
        </w:rPr>
        <w:t xml:space="preserve">GM · Akaryakıt, kumanya · V2</w:t>
      </w:r>
    </w:p>
    <w:p>
      <w:pPr>
        <w:pStyle w:val="BodyText"/>
      </w:pPr>
      <w:r>
        <w:rPr>
          <w:bCs/>
          <w:b/>
        </w:rPr>
        <w:t xml:space="preserve">Doğru şık:</w:t>
      </w:r>
      <w:r>
        <w:t xml:space="preserve"> </w:t>
      </w:r>
      <w:r>
        <w:t xml:space="preserve">D) (X) gemisinin Türk limanları arasındaki seferde tükettiği akaryakıt İskenderun Limanında vergilendirilir.</w:t>
      </w:r>
    </w:p>
    <w:p>
      <w:pPr>
        <w:pStyle w:val="BodyText"/>
      </w:pPr>
      <w:r>
        <w:t xml:space="preserve">Yönetmeliğin 482 nci maddesine göre dış seferden dönen geminin transit akaryakıt ve kumanyası Türkiye’ye ilk giriş limanında (İskenderun) tespit edilir; üç aylık süre içinde Türk limanları arasında sefer yapılırsa tüketilen akaryakıt uğranılan en son Türk limanında, yani İzmir’de vergilendirilir. Bu nedenle vergilendirmenin İskenderun’da yapılacağını söyleyen ifade yanlıştır. Yükünün tamamını boşaltıp kısmen ihraç yükü alarak diğer Türk limanına giden (Y) gemisinin seferi dış seferin devamıdır; üç ay içinde yabancı limana çıkmayan (Z) gemisinin vergileri tahsil edilir ve süre ancak zorunlu nedenin belgelendirilmesi halinde uzatılabilir.</w:t>
      </w:r>
    </w:p>
    <w:p>
      <w:pPr>
        <w:pStyle w:val="BodyText"/>
      </w:pPr>
      <w:r>
        <w:rPr>
          <w:bCs/>
          <w:b/>
        </w:rPr>
        <w:t xml:space="preserve">Tuzak:</w:t>
      </w:r>
      <w:r>
        <w:t xml:space="preserve"> </w:t>
      </w:r>
      <w:r>
        <w:t xml:space="preserve">Tespit limanı ile vergilendirme limanını aynı sanan aday, ilk giriş limanını vergilendirme yeri olarak doğru kabul eder.</w:t>
      </w:r>
    </w:p>
    <w:p>
      <w:pPr>
        <w:pStyle w:val="BodyText"/>
      </w:pPr>
      <w:r>
        <w:rPr>
          <w:bCs/>
          <w:b/>
        </w:rPr>
        <w:t xml:space="preserve">Dayanak:</w:t>
      </w:r>
      <w:r>
        <w:t xml:space="preserve"> </w:t>
      </w:r>
      <w:r>
        <w:t xml:space="preserve">Gümrük Yönetmeliği md. 482</w:t>
      </w:r>
    </w:p>
    <w:bookmarkEnd w:id="100"/>
    <w:bookmarkStart w:id="101" w:name="soru-cevap-a-17"/>
    <w:p>
      <w:pPr>
        <w:pStyle w:val="Heading4"/>
      </w:pPr>
      <w:r>
        <w:t xml:space="preserve">80. soru — Cevap: A</w:t>
      </w:r>
    </w:p>
    <w:p>
      <w:pPr>
        <w:pStyle w:val="FirstParagraph"/>
      </w:pPr>
      <w:r>
        <w:rPr>
          <w:iCs/>
          <w:i/>
        </w:rPr>
        <w:t xml:space="preserve">GM · GSM, sınır ticareti, serbest bölge · O2</w:t>
      </w:r>
    </w:p>
    <w:p>
      <w:pPr>
        <w:pStyle w:val="BodyText"/>
      </w:pPr>
      <w:r>
        <w:rPr>
          <w:bCs/>
          <w:b/>
        </w:rPr>
        <w:t xml:space="preserve">Doğru şık:</w:t>
      </w:r>
      <w:r>
        <w:t xml:space="preserve"> </w:t>
      </w:r>
      <w:r>
        <w:t xml:space="preserve">A) Serbest bölgede faaliyette bulunan kişilerce tutulan envanter kayıtlarına eşya, kişiye ait yere konulmasından sonra yetmiş iki saat içinde geçirilir.</w:t>
      </w:r>
    </w:p>
    <w:p>
      <w:pPr>
        <w:pStyle w:val="BodyText"/>
      </w:pPr>
      <w:r>
        <w:t xml:space="preserve">Kanunun 159 uncu maddesine göre serbest bölgelerde depolama, işçilik, işleme veya alım satım faaliyetinde bulunanların tuttuğu envanter kayıtlarına eşya, kişiye ait yere konulmasından sonra kırk sekiz saat içinde geçirilir; yetmiş iki saat ifadesi yanlıştır. Eşyanın serbest bölgede kalış süresinin sınırsız olması 156 ncı maddenin, kural olarak sunuş ve beyanname aranmaması 155 inci maddenin, izinsiz mutat elleçleme 157 nci maddenin, şüpheli kişilerin girişine izin verilmemesi ise 153 üncü maddenin hükmüdür.</w:t>
      </w:r>
    </w:p>
    <w:p>
      <w:pPr>
        <w:pStyle w:val="BodyText"/>
      </w:pPr>
      <w:r>
        <w:rPr>
          <w:bCs/>
          <w:b/>
        </w:rPr>
        <w:t xml:space="preserve">Tuzak:</w:t>
      </w:r>
      <w:r>
        <w:t xml:space="preserve"> </w:t>
      </w:r>
      <w:r>
        <w:t xml:space="preserve">“</w:t>
      </w:r>
      <w:r>
        <w:t xml:space="preserve">Sınırsız</w:t>
      </w:r>
      <w:r>
        <w:t xml:space="preserve">”</w:t>
      </w:r>
      <w:r>
        <w:t xml:space="preserve"> </w:t>
      </w:r>
      <w:r>
        <w:t xml:space="preserve">sözcüğünü mutlaklaştırma bozulması sanan aday kalış süresine ilişkin doğru ifadeyi işaretler.</w:t>
      </w:r>
    </w:p>
    <w:p>
      <w:pPr>
        <w:pStyle w:val="BodyText"/>
      </w:pPr>
      <w:r>
        <w:rPr>
          <w:bCs/>
          <w:b/>
        </w:rPr>
        <w:t xml:space="preserve">Dayanak:</w:t>
      </w:r>
      <w:r>
        <w:t xml:space="preserve"> </w:t>
      </w:r>
      <w:r>
        <w:t xml:space="preserve">4458 sayılı Gümrük Kanunu md. 153/4, 155/1, 156, 157/1-b, 159/1</w:t>
      </w:r>
    </w:p>
    <w:bookmarkEnd w:id="101"/>
    <w:bookmarkStart w:id="102" w:name="soru-cevap-c-16"/>
    <w:p>
      <w:pPr>
        <w:pStyle w:val="Heading4"/>
      </w:pPr>
      <w:r>
        <w:t xml:space="preserve">81. soru — Cevap: C</w:t>
      </w:r>
    </w:p>
    <w:p>
      <w:pPr>
        <w:pStyle w:val="FirstParagraph"/>
      </w:pPr>
      <w:r>
        <w:rPr>
          <w:iCs/>
          <w:i/>
        </w:rPr>
        <w:t xml:space="preserve">SAİR · İhracat rejimi · O1</w:t>
      </w:r>
    </w:p>
    <w:p>
      <w:pPr>
        <w:pStyle w:val="BodyText"/>
      </w:pPr>
      <w:r>
        <w:rPr>
          <w:bCs/>
          <w:b/>
        </w:rPr>
        <w:t xml:space="preserve">Doğru şık:</w:t>
      </w:r>
      <w:r>
        <w:t xml:space="preserve"> </w:t>
      </w:r>
      <w:r>
        <w:t xml:space="preserve">C) Yurt dışı müteahhitlik ve teknik müşavirlik kapsamındaki ihracatta, müteahhitlik sözleşmesinin taraflarca imzalanmış olması</w:t>
      </w:r>
    </w:p>
    <w:p>
      <w:pPr>
        <w:pStyle w:val="BodyText"/>
      </w:pPr>
      <w:r>
        <w:t xml:space="preserve">İhracat Yönetmeliğinin tanımlar maddesine göre konsinye ihracat ile yurt dışı müteahhitlik ve teknik müşavirlik kapsamındaki ihracatta başlamış işlem</w:t>
      </w:r>
      <w:r>
        <w:t xml:space="preserve"> </w:t>
      </w:r>
      <w:r>
        <w:t xml:space="preserve">“</w:t>
      </w:r>
      <w:r>
        <w:t xml:space="preserve">iznin verilmiş olması</w:t>
      </w:r>
      <w:r>
        <w:t xml:space="preserve">”</w:t>
      </w:r>
      <w:r>
        <w:t xml:space="preserve">dır; sözleşmenin imzalanması ölçütü yalnız uluslararası ihalelere istinaden yapılan yabancı devlet bağlantıları için öngörülmüştür. Kayda bağlı ihracatta kaydın verilmesi, bedelsiz ihracatta beyannamenin tescili, offset ihracatında offset anlaşmasının imzalanması ve yabancı devlet bağlantısında yazılı sözleşmenin imzalanması tanımda aynen sayılan hâllerdir.</w:t>
      </w:r>
    </w:p>
    <w:p>
      <w:pPr>
        <w:pStyle w:val="BodyText"/>
      </w:pPr>
      <w:r>
        <w:rPr>
          <w:bCs/>
          <w:b/>
        </w:rPr>
        <w:t xml:space="preserve">Tuzak:</w:t>
      </w:r>
      <w:r>
        <w:t xml:space="preserve"> </w:t>
      </w:r>
      <w:r>
        <w:t xml:space="preserve">Aday,</w:t>
      </w:r>
      <w:r>
        <w:t xml:space="preserve"> </w:t>
      </w:r>
      <w:r>
        <w:t xml:space="preserve">“</w:t>
      </w:r>
      <w:r>
        <w:t xml:space="preserve">sözleşme imzalanması</w:t>
      </w:r>
      <w:r>
        <w:t xml:space="preserve">”</w:t>
      </w:r>
      <w:r>
        <w:t xml:space="preserve"> </w:t>
      </w:r>
      <w:r>
        <w:t xml:space="preserve">ölçütünü uluslararası ihale bağlantısından müteahhitlik ihracatına taşıyan şıkkı tanımın bir parçası sanır.</w:t>
      </w:r>
    </w:p>
    <w:p>
      <w:pPr>
        <w:pStyle w:val="BodyText"/>
      </w:pPr>
      <w:r>
        <w:rPr>
          <w:bCs/>
          <w:b/>
        </w:rPr>
        <w:t xml:space="preserve">Dayanak:</w:t>
      </w:r>
      <w:r>
        <w:t xml:space="preserve"> </w:t>
      </w:r>
      <w:r>
        <w:t xml:space="preserve">İhracat Yönetmeliği md. 4/1-ç (başlamış işlem tanımı; 06.05.2025 tarihli değişiklikle yeniden düzenlenmiş hâli)</w:t>
      </w:r>
    </w:p>
    <w:bookmarkEnd w:id="102"/>
    <w:bookmarkStart w:id="103" w:name="soru-cevap-b-14"/>
    <w:p>
      <w:pPr>
        <w:pStyle w:val="Heading4"/>
      </w:pPr>
      <w:r>
        <w:t xml:space="preserve">82. soru — Cevap: B</w:t>
      </w:r>
    </w:p>
    <w:p>
      <w:pPr>
        <w:pStyle w:val="FirstParagraph"/>
      </w:pPr>
      <w:r>
        <w:rPr>
          <w:iCs/>
          <w:i/>
        </w:rPr>
        <w:t xml:space="preserve">SAİR · İhracat rejimi · Ö3</w:t>
      </w:r>
    </w:p>
    <w:p>
      <w:pPr>
        <w:pStyle w:val="BodyText"/>
      </w:pPr>
      <w:r>
        <w:rPr>
          <w:bCs/>
          <w:b/>
        </w:rPr>
        <w:t xml:space="preserve">Doğru şık:</w:t>
      </w:r>
      <w:r>
        <w:t xml:space="preserve"> </w:t>
      </w:r>
      <w:r>
        <w:t xml:space="preserve">B) I ve III</w:t>
      </w:r>
    </w:p>
    <w:p>
      <w:pPr>
        <w:pStyle w:val="BodyText"/>
      </w:pPr>
      <w:r>
        <w:t xml:space="preserve">Tebliğin Ek-2 sayılı İhracı Ön İzne Bağlı Mallar Listesinde</w:t>
      </w:r>
      <w:r>
        <w:t xml:space="preserve"> </w:t>
      </w:r>
      <w:r>
        <w:t xml:space="preserve">“</w:t>
      </w:r>
      <w:r>
        <w:t xml:space="preserve">yaprak tütün, tütün döküntüleri</w:t>
      </w:r>
      <w:r>
        <w:t xml:space="preserve">”</w:t>
      </w:r>
      <w:r>
        <w:t xml:space="preserve"> </w:t>
      </w:r>
      <w:r>
        <w:t xml:space="preserve">ile</w:t>
      </w:r>
      <w:r>
        <w:t xml:space="preserve"> </w:t>
      </w:r>
      <w:r>
        <w:t xml:space="preserve">“</w:t>
      </w:r>
      <w:r>
        <w:t xml:space="preserve">mavi yüzgeçli orkinos (canlı, taze soğutulmuş, dondurulmuş veya işlenmiş)</w:t>
      </w:r>
      <w:r>
        <w:t xml:space="preserve">”</w:t>
      </w:r>
      <w:r>
        <w:t xml:space="preserve"> </w:t>
      </w:r>
      <w:r>
        <w:t xml:space="preserve">yer alır. Salep (toz, tablet ve her türlü formda) ile ceviz ağacının kütük, tomruk, kereste, kalas ve taslak olarak ihracı Ek-1 sayılı İhracı Yasak Mallar Listesindedir; bu nedenle II ve IV ön izinli değil, yasaktır.</w:t>
      </w:r>
    </w:p>
    <w:p>
      <w:pPr>
        <w:pStyle w:val="BodyText"/>
      </w:pPr>
      <w:r>
        <w:rPr>
          <w:bCs/>
          <w:b/>
        </w:rPr>
        <w:t xml:space="preserve">Tuzak:</w:t>
      </w:r>
      <w:r>
        <w:t xml:space="preserve"> </w:t>
      </w:r>
      <w:r>
        <w:t xml:space="preserve">Aday</w:t>
      </w:r>
      <w:r>
        <w:t xml:space="preserve"> </w:t>
      </w:r>
      <w:r>
        <w:t xml:space="preserve">“</w:t>
      </w:r>
      <w:r>
        <w:t xml:space="preserve">tütün tohumu ve fidesi yasak</w:t>
      </w:r>
      <w:r>
        <w:t xml:space="preserve">”</w:t>
      </w:r>
      <w:r>
        <w:t xml:space="preserve"> </w:t>
      </w:r>
      <w:r>
        <w:t xml:space="preserve">bilgisinden hareketle yaprak tütünü de yasak sanır ya da salebi koruma altındaki bir ürün olarak ön izinli listesine koyar.</w:t>
      </w:r>
    </w:p>
    <w:p>
      <w:pPr>
        <w:pStyle w:val="BodyText"/>
      </w:pPr>
      <w:r>
        <w:rPr>
          <w:bCs/>
          <w:b/>
        </w:rPr>
        <w:t xml:space="preserve">Dayanak:</w:t>
      </w:r>
      <w:r>
        <w:t xml:space="preserve"> </w:t>
      </w:r>
      <w:r>
        <w:t xml:space="preserve">İhracı Yasak ve Ön İzne Bağlı Mallara İlişkin Tebliğ (İhracat 96/31) Ek-1 sıra 5 ve 12, Ek-2 sıra 16 ve 24</w:t>
      </w:r>
    </w:p>
    <w:bookmarkEnd w:id="103"/>
    <w:bookmarkStart w:id="104" w:name="soru-cevap-e-17"/>
    <w:p>
      <w:pPr>
        <w:pStyle w:val="Heading4"/>
      </w:pPr>
      <w:r>
        <w:t xml:space="preserve">83. soru — Cevap: E</w:t>
      </w:r>
    </w:p>
    <w:p>
      <w:pPr>
        <w:pStyle w:val="FirstParagraph"/>
      </w:pPr>
      <w:r>
        <w:rPr>
          <w:iCs/>
          <w:i/>
        </w:rPr>
        <w:t xml:space="preserve">SAİR · İhracat rejimi · D3</w:t>
      </w:r>
    </w:p>
    <w:p>
      <w:pPr>
        <w:pStyle w:val="BodyText"/>
      </w:pPr>
      <w:r>
        <w:rPr>
          <w:bCs/>
          <w:b/>
        </w:rPr>
        <w:t xml:space="preserve">Doğru şık:</w:t>
      </w:r>
      <w:r>
        <w:t xml:space="preserve"> </w:t>
      </w:r>
      <w:r>
        <w:t xml:space="preserve">E) Garantili olarak ihraç edilen malların garanti süresi içinde yenilenmesi gereken parçaları</w:t>
      </w:r>
    </w:p>
    <w:p>
      <w:pPr>
        <w:pStyle w:val="BodyText"/>
      </w:pPr>
      <w:r>
        <w:t xml:space="preserve">Tebliğe göre İhracatçı Birliğine üye olma şartı, ikinci maddenin birinci fıkrasının (a), (c), (ç), (d) ve (e) bentleri kapsamındaki bedelsiz ihracatta aranmaz. Numuneler (a), yabancı turistlerin malları (ç), kamu kurum ve kuruluşları, belediyeler ve üniversitelerin gönderileri (d) ve afetlerde Kızılay’ın insani yardım malzemeleri (e) bendindedir. Garanti süresi içinde yenilenmesi gereken parçalar (b) bendinde yer aldığından bu ihracatta üyelik şartı aranır.</w:t>
      </w:r>
    </w:p>
    <w:p>
      <w:pPr>
        <w:pStyle w:val="BodyText"/>
      </w:pPr>
      <w:r>
        <w:rPr>
          <w:bCs/>
          <w:b/>
        </w:rPr>
        <w:t xml:space="preserve">Tuzak:</w:t>
      </w:r>
      <w:r>
        <w:t xml:space="preserve"> </w:t>
      </w:r>
      <w:r>
        <w:t xml:space="preserve">Aday, garanti parçasının da bedelsiz olarak</w:t>
      </w:r>
      <w:r>
        <w:t xml:space="preserve"> </w:t>
      </w:r>
      <w:r>
        <w:t xml:space="preserve">“</w:t>
      </w:r>
      <w:r>
        <w:t xml:space="preserve">ücretsiz gönderilen eşya</w:t>
      </w:r>
      <w:r>
        <w:t xml:space="preserve">”</w:t>
      </w:r>
      <w:r>
        <w:t xml:space="preserve"> </w:t>
      </w:r>
      <w:r>
        <w:t xml:space="preserve">olduğunu düşünerek üyelik istisnasının tüm bedelsiz ihracatı kapsadığını varsayar.</w:t>
      </w:r>
    </w:p>
    <w:p>
      <w:pPr>
        <w:pStyle w:val="BodyText"/>
      </w:pPr>
      <w:r>
        <w:rPr>
          <w:bCs/>
          <w:b/>
        </w:rPr>
        <w:t xml:space="preserve">Dayanak:</w:t>
      </w:r>
      <w:r>
        <w:t xml:space="preserve"> </w:t>
      </w:r>
      <w:r>
        <w:t xml:space="preserve">Bedelsiz İhracata İlişkin Tebliğ (İhracat 2008/12) md. 2/1 ve md. 8</w:t>
      </w:r>
    </w:p>
    <w:bookmarkEnd w:id="104"/>
    <w:bookmarkStart w:id="105" w:name="soru-cevap-d-15"/>
    <w:p>
      <w:pPr>
        <w:pStyle w:val="Heading4"/>
      </w:pPr>
      <w:r>
        <w:t xml:space="preserve">84. soru — Cevap: D</w:t>
      </w:r>
    </w:p>
    <w:p>
      <w:pPr>
        <w:pStyle w:val="FirstParagraph"/>
      </w:pPr>
      <w:r>
        <w:rPr>
          <w:iCs/>
          <w:i/>
        </w:rPr>
        <w:t xml:space="preserve">SAİR · Ürün güvenliği, TAREKS · Ö3</w:t>
      </w:r>
    </w:p>
    <w:p>
      <w:pPr>
        <w:pStyle w:val="BodyText"/>
      </w:pPr>
      <w:r>
        <w:rPr>
          <w:bCs/>
          <w:b/>
        </w:rPr>
        <w:t xml:space="preserve">Doğru şık:</w:t>
      </w:r>
      <w:r>
        <w:t xml:space="preserve"> </w:t>
      </w:r>
      <w:r>
        <w:t xml:space="preserve">D) I, III ve IV</w:t>
      </w:r>
    </w:p>
    <w:p>
      <w:pPr>
        <w:pStyle w:val="BodyText"/>
      </w:pPr>
      <w:r>
        <w:t xml:space="preserve">Tebliğin muafiyet ve istisnalar maddesine göre yatırım teşvik mevzuatı kapsamındaki makine ve teçhizat ithalatında, Milli Savunma Bakanlığınca yapılan ithalatta ve geri gelen eşyada TAREKS üzerinden başvuru yapılmaz; işlemler beyannamenin 44 numaralı hanesine yazılan sabit 23 haneli TAREKS referans numarasıyla sonuçlandırılır. AB’de serbest dolaşıma girmiş A.TR belgeli üründe ise durumun kullanıcı tarafından TAREKS’te beyan edilmesi hâlinde referans numarası doğrudan oluşturulur; yani başvuru TAREKS üzerinden yapılır ve ürün risk analiziyle fiili denetime de yönlendirilebilir.</w:t>
      </w:r>
    </w:p>
    <w:p>
      <w:pPr>
        <w:pStyle w:val="BodyText"/>
      </w:pPr>
      <w:r>
        <w:rPr>
          <w:bCs/>
          <w:b/>
        </w:rPr>
        <w:t xml:space="preserve">Tuzak:</w:t>
      </w:r>
      <w:r>
        <w:t xml:space="preserve"> </w:t>
      </w:r>
      <w:r>
        <w:t xml:space="preserve">Aday,</w:t>
      </w:r>
      <w:r>
        <w:t xml:space="preserve"> </w:t>
      </w:r>
      <w:r>
        <w:t xml:space="preserve">“</w:t>
      </w:r>
      <w:r>
        <w:t xml:space="preserve">TAREKS numarası doğrudan oluşturulur</w:t>
      </w:r>
      <w:r>
        <w:t xml:space="preserve">”</w:t>
      </w:r>
      <w:r>
        <w:t xml:space="preserve"> </w:t>
      </w:r>
      <w:r>
        <w:t xml:space="preserve">ile</w:t>
      </w:r>
      <w:r>
        <w:t xml:space="preserve"> </w:t>
      </w:r>
      <w:r>
        <w:t xml:space="preserve">“</w:t>
      </w:r>
      <w:r>
        <w:t xml:space="preserve">TAREKS üzerinden başvuru yapılmaz</w:t>
      </w:r>
      <w:r>
        <w:t xml:space="preserve">”</w:t>
      </w:r>
      <w:r>
        <w:t xml:space="preserve"> </w:t>
      </w:r>
      <w:r>
        <w:t xml:space="preserve">hükümlerini aynı muafiyet sanarak A.TR belgeli ürünü de listeye katar.</w:t>
      </w:r>
    </w:p>
    <w:p>
      <w:pPr>
        <w:pStyle w:val="BodyText"/>
      </w:pPr>
      <w:r>
        <w:rPr>
          <w:bCs/>
          <w:b/>
        </w:rPr>
        <w:t xml:space="preserve">Dayanak:</w:t>
      </w:r>
      <w:r>
        <w:t xml:space="preserve"> </w:t>
      </w:r>
      <w:r>
        <w:t xml:space="preserve">İthalatta Standartlara Uygunluk Denetimi Tebliği (ÜGD: 2026/1) md. 6/1, 6/3, 6/7, 6/9 ve md. 11</w:t>
      </w:r>
    </w:p>
    <w:bookmarkEnd w:id="105"/>
    <w:bookmarkStart w:id="106" w:name="soru-cevap-d-16"/>
    <w:p>
      <w:pPr>
        <w:pStyle w:val="Heading4"/>
      </w:pPr>
      <w:r>
        <w:t xml:space="preserve">85. soru — Cevap: D</w:t>
      </w:r>
    </w:p>
    <w:p>
      <w:pPr>
        <w:pStyle w:val="FirstParagraph"/>
      </w:pPr>
      <w:r>
        <w:rPr>
          <w:iCs/>
          <w:i/>
        </w:rPr>
        <w:t xml:space="preserve">SAİR · Ürün güvenliği, TAREKS · D2</w:t>
      </w:r>
    </w:p>
    <w:p>
      <w:pPr>
        <w:pStyle w:val="BodyText"/>
      </w:pPr>
      <w:r>
        <w:rPr>
          <w:bCs/>
          <w:b/>
        </w:rPr>
        <w:t xml:space="preserve">Doğru şık:</w:t>
      </w:r>
      <w:r>
        <w:t xml:space="preserve"> </w:t>
      </w:r>
      <w:r>
        <w:t xml:space="preserve">D) Katı Yakıt İthalatçısı Kayıt Belgesi</w:t>
      </w:r>
    </w:p>
    <w:p>
      <w:pPr>
        <w:pStyle w:val="BodyText"/>
      </w:pPr>
      <w:r>
        <w:t xml:space="preserve">Tebliğe göre Ek-1’deki katı yakıtların ithalatı, Çevre, Şehircilik ve İklim Değişikliği Bakanlığından alınan Katı Yakıt İthalatçısı Kayıt Belgesine sahip firmalar tarafından yapılabilir. Metal Hurda İthalatçı Belgesi metal hurda ithalatında, OTİM Kontrol Belgesi ozon tabakasını incelten maddelerin ithalatında, Çevre İzin ve Lisans Belgesi atık ve hurda ithalatı yapacak sanayicilerde aranan belgedir. İthal Katı Yakıt Uygunluk Belgesi ise firmaya değil, her parti yakıttan alınan numunenin analiz sonucu uygun bulunduğunda Çevre İl Müdürlüğünce düzenlenen ve beyannamenin tescilinde aranan belgedir (md. 5/3, 9/1); Kayıt Belgesi ise Tebliğ kapsamındaki tüm ithalat işlemlerinde geçerlidir (md. 4/4).</w:t>
      </w:r>
    </w:p>
    <w:p>
      <w:pPr>
        <w:pStyle w:val="BodyText"/>
      </w:pPr>
      <w:r>
        <w:rPr>
          <w:bCs/>
          <w:b/>
        </w:rPr>
        <w:t xml:space="preserve">Tuzak:</w:t>
      </w:r>
      <w:r>
        <w:t xml:space="preserve"> </w:t>
      </w:r>
      <w:r>
        <w:t xml:space="preserve">Her parti için beyannamenin tescilinde aranan İthal Katı Yakıt Uygunluk Belgesini ithalatçı firmanın sahip olması gereken belge sanan aday bu belgeye, atık ve hurda ithalatındaki belgeleri yeterli sayan aday Çevre İzin ve Lisans Belgesine kayar.</w:t>
      </w:r>
    </w:p>
    <w:p>
      <w:pPr>
        <w:pStyle w:val="BodyText"/>
      </w:pPr>
      <w:r>
        <w:rPr>
          <w:bCs/>
          <w:b/>
        </w:rPr>
        <w:t xml:space="preserve">Dayanak:</w:t>
      </w:r>
      <w:r>
        <w:t xml:space="preserve"> </w:t>
      </w:r>
      <w:r>
        <w:t xml:space="preserve">Çevrenin Korunması Yönünden Kontrol Altında Tutulan Katı Yakıtların İthalat Denetimi Tebliği (ÜGD: 2026/7) md. 4/1, 4/4, 5/3, 9/1; ÜGD 2026/3, 2026/6, 2026/23 (çeldirici belgeler)</w:t>
      </w:r>
    </w:p>
    <w:bookmarkEnd w:id="106"/>
    <w:bookmarkStart w:id="107" w:name="soru-cevap-b-15"/>
    <w:p>
      <w:pPr>
        <w:pStyle w:val="Heading4"/>
      </w:pPr>
      <w:r>
        <w:t xml:space="preserve">86. soru — Cevap: B</w:t>
      </w:r>
    </w:p>
    <w:p>
      <w:pPr>
        <w:pStyle w:val="FirstParagraph"/>
      </w:pPr>
      <w:r>
        <w:rPr>
          <w:iCs/>
          <w:i/>
        </w:rPr>
        <w:t xml:space="preserve">SAİR · Yatırım teşvik · K1</w:t>
      </w:r>
    </w:p>
    <w:p>
      <w:pPr>
        <w:pStyle w:val="BodyText"/>
      </w:pPr>
      <w:r>
        <w:rPr>
          <w:bCs/>
          <w:b/>
        </w:rPr>
        <w:t xml:space="preserve">Doğru şık:</w:t>
      </w:r>
      <w:r>
        <w:t xml:space="preserve"> </w:t>
      </w:r>
      <w:r>
        <w:t xml:space="preserve">B) Yerel yatırım konuları listesi</w:t>
      </w:r>
    </w:p>
    <w:p>
      <w:pPr>
        <w:pStyle w:val="BodyText"/>
      </w:pPr>
      <w:r>
        <w:t xml:space="preserve">Karar, her il özelinde belirlenecek dört yatırım konusunun yer aldığı ve Bakanlık tebliği ile yayımlanacak listeyi</w:t>
      </w:r>
      <w:r>
        <w:t xml:space="preserve"> </w:t>
      </w:r>
      <w:r>
        <w:t xml:space="preserve">“</w:t>
      </w:r>
      <w:r>
        <w:t xml:space="preserve">yerel yatırım konuları listesi</w:t>
      </w:r>
      <w:r>
        <w:t xml:space="preserve">”</w:t>
      </w:r>
      <w:r>
        <w:t xml:space="preserve"> </w:t>
      </w:r>
      <w:r>
        <w:t xml:space="preserve">olarak tanımlar; liste Yerel Kalkınma Hamlesi Programında kullanılır ve her yıl ocak ayında güncellenebilir. Öncelikli ürün listesi orta-yüksek ve yüksek teknolojili ürünleri (Teknoloji Hamlesi Programı), stratejik hamle yatırım konuları listesi Stratejik Hamle Programı konularını içerir; yurt dışından temin edilecek makine ve teçhizat listesi teşvik belgesinin ekidir.</w:t>
      </w:r>
      <w:r>
        <w:t xml:space="preserve"> </w:t>
      </w:r>
      <w:r>
        <w:t xml:space="preserve">“</w:t>
      </w:r>
      <w:r>
        <w:t xml:space="preserve">Bölgesel yatırım konuları listesi</w:t>
      </w:r>
      <w:r>
        <w:t xml:space="preserve">”</w:t>
      </w:r>
      <w:r>
        <w:t xml:space="preserve"> </w:t>
      </w:r>
      <w:r>
        <w:t xml:space="preserve">Kararda tanımlanmış bir liste değildir.</w:t>
      </w:r>
    </w:p>
    <w:p>
      <w:pPr>
        <w:pStyle w:val="BodyText"/>
      </w:pPr>
      <w:r>
        <w:rPr>
          <w:bCs/>
          <w:b/>
        </w:rPr>
        <w:t xml:space="preserve">Tuzak:</w:t>
      </w:r>
      <w:r>
        <w:t xml:space="preserve"> </w:t>
      </w:r>
      <w:r>
        <w:t xml:space="preserve">Aday</w:t>
      </w:r>
      <w:r>
        <w:t xml:space="preserve"> </w:t>
      </w:r>
      <w:r>
        <w:t xml:space="preserve">“</w:t>
      </w:r>
      <w:r>
        <w:t xml:space="preserve">il özelinde</w:t>
      </w:r>
      <w:r>
        <w:t xml:space="preserve">”</w:t>
      </w:r>
      <w:r>
        <w:t xml:space="preserve"> </w:t>
      </w:r>
      <w:r>
        <w:t xml:space="preserve">ifadesini bölgesel teşviklerle ilişkilendirerek Kararda bulunmayan</w:t>
      </w:r>
      <w:r>
        <w:t xml:space="preserve"> </w:t>
      </w:r>
      <w:r>
        <w:t xml:space="preserve">“</w:t>
      </w:r>
      <w:r>
        <w:t xml:space="preserve">bölgesel</w:t>
      </w:r>
      <w:r>
        <w:t xml:space="preserve">”</w:t>
      </w:r>
      <w:r>
        <w:t xml:space="preserve"> </w:t>
      </w:r>
      <w:r>
        <w:t xml:space="preserve">listeyi seçer.</w:t>
      </w:r>
    </w:p>
    <w:p>
      <w:pPr>
        <w:pStyle w:val="BodyText"/>
      </w:pPr>
      <w:r>
        <w:rPr>
          <w:bCs/>
          <w:b/>
        </w:rPr>
        <w:t xml:space="preserve">Dayanak:</w:t>
      </w:r>
      <w:r>
        <w:t xml:space="preserve"> </w:t>
      </w:r>
      <w:r>
        <w:t xml:space="preserve">2025/9903 sayılı Yatırımlarda Devlet Yardımları Hakkında Karar md. 2 (tanımlar), md. 6/4, 7/5, 8/9</w:t>
      </w:r>
    </w:p>
    <w:bookmarkEnd w:id="107"/>
    <w:bookmarkStart w:id="108" w:name="soru-cevap-d-17"/>
    <w:p>
      <w:pPr>
        <w:pStyle w:val="Heading4"/>
      </w:pPr>
      <w:r>
        <w:t xml:space="preserve">87. soru — Cevap: D</w:t>
      </w:r>
    </w:p>
    <w:p>
      <w:pPr>
        <w:pStyle w:val="FirstParagraph"/>
      </w:pPr>
      <w:r>
        <w:rPr>
          <w:iCs/>
          <w:i/>
        </w:rPr>
        <w:t xml:space="preserve">GM · Posta ve hızlı kargo · O2</w:t>
      </w:r>
    </w:p>
    <w:p>
      <w:pPr>
        <w:pStyle w:val="BodyText"/>
      </w:pPr>
      <w:r>
        <w:rPr>
          <w:bCs/>
          <w:b/>
        </w:rPr>
        <w:t xml:space="preserve">Doğru şık:</w:t>
      </w:r>
      <w:r>
        <w:t xml:space="preserve"> </w:t>
      </w:r>
      <w:r>
        <w:t xml:space="preserve">D) Posta yolu ile gelen ticari nitelikte olmayan eşyaya ilişkin Déclaration en Douane’larda kayıtlı bilgilere nazaran tespit edilen farklılıklar için Kanunun 234 üncü maddesine göre ceza uygulanır.</w:t>
      </w:r>
    </w:p>
    <w:p>
      <w:pPr>
        <w:pStyle w:val="BodyText"/>
      </w:pPr>
      <w:r>
        <w:t xml:space="preserve">Gümrük Yönetmeliğinin 474 üncü maddesine göre posta yoluyla gelen ticari nitelikte olmayan eşyaya ilişkin Déclaration en Douane’larda kayıtlı bilgilere nazaran tespit edilen farklılıklardan dolayı ceza aranmaz; Kanunun 234 üncü maddesine göre işlem, ticari nitelikteki eşyanın beyanının kontrolünde tespit edilen farklar için öngörülmüştür. Diğer ifadeler Kanunun 173 ve 175 inci maddeleri ile Yönetmeliğin 462 ve 469 uncu maddelerinin aynısıdır.</w:t>
      </w:r>
    </w:p>
    <w:p>
      <w:pPr>
        <w:pStyle w:val="BodyText"/>
      </w:pPr>
      <w:r>
        <w:rPr>
          <w:bCs/>
          <w:b/>
        </w:rPr>
        <w:t xml:space="preserve">Tuzak:</w:t>
      </w:r>
      <w:r>
        <w:t xml:space="preserve"> </w:t>
      </w:r>
      <w:r>
        <w:t xml:space="preserve">Ticari eşyaya ait 234 üncü madde yaptırımının posta yoluyla gelen her eşyaya uygulandığını düşünen aday yanlış ifadeyi doğru sanır.</w:t>
      </w:r>
    </w:p>
    <w:p>
      <w:pPr>
        <w:pStyle w:val="BodyText"/>
      </w:pPr>
      <w:r>
        <w:rPr>
          <w:bCs/>
          <w:b/>
        </w:rPr>
        <w:t xml:space="preserve">Dayanak:</w:t>
      </w:r>
      <w:r>
        <w:t xml:space="preserve"> </w:t>
      </w:r>
      <w:r>
        <w:t xml:space="preserve">4458 sayılı GK md. 173/2, 175/2; Gümrük Yönetmeliği md. 462/3, 469/1, 474</w:t>
      </w:r>
    </w:p>
    <w:bookmarkEnd w:id="108"/>
    <w:bookmarkStart w:id="109" w:name="soru-cevap-d-18"/>
    <w:p>
      <w:pPr>
        <w:pStyle w:val="Heading4"/>
      </w:pPr>
      <w:r>
        <w:t xml:space="preserve">88. soru — Cevap: D</w:t>
      </w:r>
    </w:p>
    <w:p>
      <w:pPr>
        <w:pStyle w:val="FirstParagraph"/>
      </w:pPr>
      <w:r>
        <w:rPr>
          <w:iCs/>
          <w:i/>
        </w:rPr>
        <w:t xml:space="preserve">GM · Fikri ve sınai haklar · D1</w:t>
      </w:r>
    </w:p>
    <w:p>
      <w:pPr>
        <w:pStyle w:val="BodyText"/>
      </w:pPr>
      <w:r>
        <w:rPr>
          <w:bCs/>
          <w:b/>
        </w:rPr>
        <w:t xml:space="preserve">Doğru şık:</w:t>
      </w:r>
      <w:r>
        <w:t xml:space="preserve"> </w:t>
      </w:r>
      <w:r>
        <w:t xml:space="preserve">D) 10</w:t>
      </w:r>
    </w:p>
    <w:p>
      <w:pPr>
        <w:pStyle w:val="BodyText"/>
      </w:pPr>
      <w:r>
        <w:t xml:space="preserve">Durdurma veya alıkoyma kararının hak sahibine tebliğinden itibaren çabuk bozulabilir eşya için üç iş günü, diğer eşya için on iş günü içinde ihtiyati tedbir kararı getirilmemesi hâlinde eşya hakkında beyan sahibinin talepte bulunduğu gümrük rejimi hükümlerine göre işlem yapılır. Üç iş günü çabuk bozulabilir eşyaya ve hak sahibinin başvurusu öncesindeki re’sen alıkoymaya ilişkin süredir; diğer değerler bu işlem için öngörülmüş süreler değildir.</w:t>
      </w:r>
    </w:p>
    <w:p>
      <w:pPr>
        <w:pStyle w:val="BodyText"/>
      </w:pPr>
      <w:r>
        <w:rPr>
          <w:bCs/>
          <w:b/>
        </w:rPr>
        <w:t xml:space="preserve">Tuzak:</w:t>
      </w:r>
      <w:r>
        <w:t xml:space="preserve"> </w:t>
      </w:r>
      <w:r>
        <w:t xml:space="preserve">Çabuk bozulabilir eşya ve re’sen alıkoyma için öngörülen üç iş günlük süreyi genel süre sanan aday 3’ü işaretler.</w:t>
      </w:r>
    </w:p>
    <w:p>
      <w:pPr>
        <w:pStyle w:val="BodyText"/>
      </w:pPr>
      <w:r>
        <w:rPr>
          <w:bCs/>
          <w:b/>
        </w:rPr>
        <w:t xml:space="preserve">Dayanak:</w:t>
      </w:r>
      <w:r>
        <w:t xml:space="preserve"> </w:t>
      </w:r>
      <w:r>
        <w:t xml:space="preserve">4458 sayılı GK md. 57; Gümrük Yönetmeliğinin fikri ve sınai hakların korunmasına ilişkin hükümleri</w:t>
      </w:r>
    </w:p>
    <w:bookmarkEnd w:id="109"/>
    <w:bookmarkStart w:id="110" w:name="soru-cevap-c-17"/>
    <w:p>
      <w:pPr>
        <w:pStyle w:val="Heading4"/>
      </w:pPr>
      <w:r>
        <w:t xml:space="preserve">89. soru — Cevap: C</w:t>
      </w:r>
    </w:p>
    <w:p>
      <w:pPr>
        <w:pStyle w:val="FirstParagraph"/>
      </w:pPr>
      <w:r>
        <w:rPr>
          <w:iCs/>
          <w:i/>
        </w:rPr>
        <w:t xml:space="preserve">SAİR · Tercihli ticaret, menşe belgeleri · D4</w:t>
      </w:r>
    </w:p>
    <w:p>
      <w:pPr>
        <w:pStyle w:val="BodyText"/>
      </w:pPr>
      <w:r>
        <w:rPr>
          <w:bCs/>
          <w:b/>
        </w:rPr>
        <w:t xml:space="preserve">Doğru şık:</w:t>
      </w:r>
      <w:r>
        <w:t xml:space="preserve"> </w:t>
      </w:r>
      <w:r>
        <w:t xml:space="preserve">C) Gürcistan, Moldova, Ukrayna</w:t>
      </w:r>
    </w:p>
    <w:p>
      <w:pPr>
        <w:pStyle w:val="BodyText"/>
      </w:pPr>
      <w:r>
        <w:t xml:space="preserve">Bölgesel Konvansiyona Avrupa Birliği; İstikrar ve Ortaklık Sürecine katılan Batı Balkan ülkeleri (Arnavutluk, Bosna-Hersek, Kuzey Makedonya, Karadağ, Sırbistan, Kosova); Barselona sürecine katılan Akdeniz ülkeleri (Cezayir, Mısır, İsrail, Ürdün, Lübnan, Fas, Filistin, Suriye, Tunus); EFTA ülkeleri; Faroe Adaları bakımından Danimarka; Türkiye ile Gürcistan, Moldova ve Ukrayna taraftır. Azerbaycan, Libya, Belarus ve Ermenistan taraf değildir; yanlış seçeneklerin her birinde bu ülkelerden biri bulunmaktadır.</w:t>
      </w:r>
    </w:p>
    <w:p>
      <w:pPr>
        <w:pStyle w:val="BodyText"/>
      </w:pPr>
      <w:r>
        <w:rPr>
          <w:bCs/>
          <w:b/>
        </w:rPr>
        <w:t xml:space="preserve">Tuzak:</w:t>
      </w:r>
      <w:r>
        <w:t xml:space="preserve"> </w:t>
      </w:r>
      <w:r>
        <w:t xml:space="preserve">Akdeniz kıyısındaki Libya’yı Barselona süreci ülkesi, Kafkasya’daki Azerbaycan’ı Gürcistan gibi taraf sanan aday ilgili seçeneğe kayar.</w:t>
      </w:r>
    </w:p>
    <w:p>
      <w:pPr>
        <w:pStyle w:val="BodyText"/>
      </w:pPr>
      <w:r>
        <w:rPr>
          <w:bCs/>
          <w:b/>
        </w:rPr>
        <w:t xml:space="preserve">Dayanak:</w:t>
      </w:r>
      <w:r>
        <w:t xml:space="preserve"> </w:t>
      </w:r>
      <w:r>
        <w:t xml:space="preserve">Pan-Avrupa-Akdeniz Tercihli Menşe Kurallarına Dair Bölgesel Konvansiyon (taraf ülkeler)</w:t>
      </w:r>
    </w:p>
    <w:bookmarkEnd w:id="110"/>
    <w:bookmarkStart w:id="111" w:name="soru-cevap-b-16"/>
    <w:p>
      <w:pPr>
        <w:pStyle w:val="Heading4"/>
      </w:pPr>
      <w:r>
        <w:t xml:space="preserve">90. soru — Cevap: B</w:t>
      </w:r>
    </w:p>
    <w:p>
      <w:pPr>
        <w:pStyle w:val="FirstParagraph"/>
      </w:pPr>
      <w:r>
        <w:rPr>
          <w:iCs/>
          <w:i/>
        </w:rPr>
        <w:t xml:space="preserve">SAİR · Tercihli ticaret, menşe belgeleri · D2</w:t>
      </w:r>
    </w:p>
    <w:p>
      <w:pPr>
        <w:pStyle w:val="BodyText"/>
      </w:pPr>
      <w:r>
        <w:rPr>
          <w:bCs/>
          <w:b/>
        </w:rPr>
        <w:t xml:space="preserve">Doğru şık:</w:t>
      </w:r>
      <w:r>
        <w:t xml:space="preserve"> </w:t>
      </w:r>
      <w:r>
        <w:t xml:space="preserve">B) Menşe Beyanı</w:t>
      </w:r>
    </w:p>
    <w:p>
      <w:pPr>
        <w:pStyle w:val="BodyText"/>
      </w:pPr>
      <w:r>
        <w:t xml:space="preserve">Türkiye–Güney Kore STA’sında tercihli menşe, ihracatçının fatura veya başka bir ticari belge üzerinde yaptığı menşe beyanı ile ispatlanır; gümrük vizesine tabi bir dolaşım belgesi öngörülmemiştir. EUR.1 ve EUR-MED belgeleri Avrupa-Akdeniz kökenli anlaşmalarda kullanılır, Form A yalnız GTS’ye özgüdür.</w:t>
      </w:r>
      <w:r>
        <w:t xml:space="preserve"> </w:t>
      </w:r>
      <w:r>
        <w:t xml:space="preserve">‘</w:t>
      </w:r>
      <w:r>
        <w:t xml:space="preserve">TR-KR Menşe İspat Belgesi</w:t>
      </w:r>
      <w:r>
        <w:t xml:space="preserve">’</w:t>
      </w:r>
      <w:r>
        <w:t xml:space="preserve"> </w:t>
      </w:r>
      <w:r>
        <w:t xml:space="preserve">anlaşma adından türetilmiş, mevzuatta bulunmayan bir addır.</w:t>
      </w:r>
    </w:p>
    <w:p>
      <w:pPr>
        <w:pStyle w:val="BodyText"/>
      </w:pPr>
      <w:r>
        <w:rPr>
          <w:bCs/>
          <w:b/>
        </w:rPr>
        <w:t xml:space="preserve">Tuzak:</w:t>
      </w:r>
      <w:r>
        <w:t xml:space="preserve"> </w:t>
      </w:r>
      <w:r>
        <w:t xml:space="preserve">‘</w:t>
      </w:r>
      <w:r>
        <w:t xml:space="preserve">Her STA’da EUR.1 kullanılır</w:t>
      </w:r>
      <w:r>
        <w:t xml:space="preserve">’</w:t>
      </w:r>
      <w:r>
        <w:t xml:space="preserve"> </w:t>
      </w:r>
      <w:r>
        <w:t xml:space="preserve">genellemesiyle hareket eden aday EUR.1 Dolaşım Belgesini işaretler.</w:t>
      </w:r>
    </w:p>
    <w:p>
      <w:pPr>
        <w:pStyle w:val="BodyText"/>
      </w:pPr>
      <w:r>
        <w:rPr>
          <w:bCs/>
          <w:b/>
        </w:rPr>
        <w:t xml:space="preserve">Dayanak:</w:t>
      </w:r>
      <w:r>
        <w:t xml:space="preserve"> </w:t>
      </w:r>
      <w:r>
        <w:t xml:space="preserve">Türkiye–Kore Cumhuriyeti STA menşe kuralları (menşe beyanı)</w:t>
      </w:r>
    </w:p>
    <w:bookmarkEnd w:id="111"/>
    <w:bookmarkStart w:id="112" w:name="soru-cevap-e-18"/>
    <w:p>
      <w:pPr>
        <w:pStyle w:val="Heading4"/>
      </w:pPr>
      <w:r>
        <w:t xml:space="preserve">91. soru — Cevap: E</w:t>
      </w:r>
    </w:p>
    <w:p>
      <w:pPr>
        <w:pStyle w:val="FirstParagraph"/>
      </w:pPr>
      <w:r>
        <w:rPr>
          <w:iCs/>
          <w:i/>
        </w:rPr>
        <w:t xml:space="preserve">GM · YYS, yerinde gümrükleme · K1</w:t>
      </w:r>
    </w:p>
    <w:p>
      <w:pPr>
        <w:pStyle w:val="BodyText"/>
      </w:pPr>
      <w:r>
        <w:rPr>
          <w:bCs/>
          <w:b/>
        </w:rPr>
        <w:t xml:space="preserve">Doğru şık:</w:t>
      </w:r>
      <w:r>
        <w:t xml:space="preserve"> </w:t>
      </w:r>
      <w:r>
        <w:t xml:space="preserve">E) Mavi hat</w:t>
      </w:r>
    </w:p>
    <w:p>
      <w:pPr>
        <w:pStyle w:val="BodyText"/>
      </w:pPr>
      <w:r>
        <w:t xml:space="preserve">Tebliğde mavi hat, eşyanın çıkış işlemlerinin tamamlanmasından önce belge kontrolüne veya muayeneye tabi tutulmadığı hat olarak tanımlanmış; bu hattan onaylanmış kişi statüsü sahiplerinin yalnızca tebliğde belirlenen ihracat beyannamelerinde yararlanacağı ve beyanın kontrolünün eşyanın çıkış işlemlerinin tamamlanmasından sonra yapılacağı hükme bağlanmıştır. Yeşil, sarı ve kırmızı hat, statüye ve ihracat beyannamesine özgü olmayan genel kontrol hatlarıdır;</w:t>
      </w:r>
      <w:r>
        <w:t xml:space="preserve"> </w:t>
      </w:r>
      <w:r>
        <w:t xml:space="preserve">‘</w:t>
      </w:r>
      <w:r>
        <w:t xml:space="preserve">beyaz hat</w:t>
      </w:r>
      <w:r>
        <w:t xml:space="preserve">’</w:t>
      </w:r>
      <w:r>
        <w:t xml:space="preserve"> </w:t>
      </w:r>
      <w:r>
        <w:t xml:space="preserve">adıyla bir kontrol hattı mevzuatta yer almaz.</w:t>
      </w:r>
    </w:p>
    <w:p>
      <w:pPr>
        <w:pStyle w:val="BodyText"/>
      </w:pPr>
      <w:r>
        <w:rPr>
          <w:bCs/>
          <w:b/>
        </w:rPr>
        <w:t xml:space="preserve">Tuzak:</w:t>
      </w:r>
      <w:r>
        <w:t xml:space="preserve"> </w:t>
      </w:r>
      <w:r>
        <w:t xml:space="preserve">Belge kontrolü ve muayene yapılmaması unsuruna takılan aday yeşil hattı işaretler; oysa tanımdaki onaylanmış kişi statüsü ve kontrolün çıkıştan sonra yapılması unsurları mavi hatta özgüdür.</w:t>
      </w:r>
    </w:p>
    <w:p>
      <w:pPr>
        <w:pStyle w:val="BodyText"/>
      </w:pPr>
      <w:r>
        <w:rPr>
          <w:bCs/>
          <w:b/>
        </w:rPr>
        <w:t xml:space="preserve">Dayanak:</w:t>
      </w:r>
      <w:r>
        <w:t xml:space="preserve"> </w:t>
      </w:r>
      <w:r>
        <w:t xml:space="preserve">Onaylanmış Kişi Statüsüne İlişkin Gümrük Genel Tebliği (Sıra No: 1) md. 3 (mavi hat tanımı) ve md. 43</w:t>
      </w:r>
    </w:p>
    <w:bookmarkEnd w:id="112"/>
    <w:bookmarkStart w:id="113" w:name="soru-cevap-a-18"/>
    <w:p>
      <w:pPr>
        <w:pStyle w:val="Heading4"/>
      </w:pPr>
      <w:r>
        <w:t xml:space="preserve">92. soru — Cevap: A</w:t>
      </w:r>
    </w:p>
    <w:p>
      <w:pPr>
        <w:pStyle w:val="FirstParagraph"/>
      </w:pPr>
      <w:r>
        <w:rPr>
          <w:iCs/>
          <w:i/>
        </w:rPr>
        <w:t xml:space="preserve">GM · YYS, yerinde gümrükleme · D3</w:t>
      </w:r>
    </w:p>
    <w:p>
      <w:pPr>
        <w:pStyle w:val="BodyText"/>
      </w:pPr>
      <w:r>
        <w:rPr>
          <w:bCs/>
          <w:b/>
        </w:rPr>
        <w:t xml:space="preserve">Doğru şık:</w:t>
      </w:r>
      <w:r>
        <w:t xml:space="preserve"> </w:t>
      </w:r>
      <w:r>
        <w:t xml:space="preserve">A) Eksik beyan usulü</w:t>
      </w:r>
    </w:p>
    <w:p>
      <w:pPr>
        <w:pStyle w:val="BodyText"/>
      </w:pPr>
      <w:r>
        <w:t xml:space="preserve">Yetkilendirilmiş yükümlü sertifikası sahipleri eksik beyan usulü, kısmi teminat, öncelikli kontrol ve muayene ile yeşil hat gibi kolaylıklardan ayrıca talepte bulunmaksızın yararlanır. Götürü teminat yetkisi talebe bağlıdır; izinli alıcı yetkisi, ithalatta yerinde gümrükleme izni ve basitleştirilmiş işlem kapsamında A.TR düzenleme ve vize etme yetkisi ise hem talebe hem de Yönetmelikte öngörülen ek koşulların sağlanmasına bağlıdır.</w:t>
      </w:r>
    </w:p>
    <w:p>
      <w:pPr>
        <w:pStyle w:val="BodyText"/>
      </w:pPr>
      <w:r>
        <w:rPr>
          <w:bCs/>
          <w:b/>
        </w:rPr>
        <w:t xml:space="preserve">Tuzak:</w:t>
      </w:r>
      <w:r>
        <w:t xml:space="preserve"> </w:t>
      </w:r>
      <w:r>
        <w:t xml:space="preserve">Yetkilendirilmiş yükümlü statüsünün en bilinen kolaylığı olan götürü teminatın da kendiliğinden tanındığını sanan aday götürü teminat yetkisini işaretler.</w:t>
      </w:r>
    </w:p>
    <w:p>
      <w:pPr>
        <w:pStyle w:val="BodyText"/>
      </w:pPr>
      <w:r>
        <w:rPr>
          <w:bCs/>
          <w:b/>
        </w:rPr>
        <w:t xml:space="preserve">Dayanak:</w:t>
      </w:r>
      <w:r>
        <w:t xml:space="preserve"> </w:t>
      </w:r>
      <w:r>
        <w:t xml:space="preserve">Gümrük İşlemlerinin Kolaylaştırılması Yönetmeliği (yetkilendirilmiş yükümlü sertifikası kapsamında talebe gerek kalmaksızın tanınan kolaylıklar; talebe ve ek koşullara bağlı izinler)</w:t>
      </w:r>
    </w:p>
    <w:bookmarkEnd w:id="113"/>
    <w:bookmarkStart w:id="114" w:name="soru-cevap-c-18"/>
    <w:p>
      <w:pPr>
        <w:pStyle w:val="Heading4"/>
      </w:pPr>
      <w:r>
        <w:t xml:space="preserve">93. soru — Cevap: C</w:t>
      </w:r>
    </w:p>
    <w:p>
      <w:pPr>
        <w:pStyle w:val="FirstParagraph"/>
      </w:pPr>
      <w:r>
        <w:rPr>
          <w:iCs/>
          <w:i/>
        </w:rPr>
        <w:t xml:space="preserve">GM · YYS, yerinde gümrükleme · O1</w:t>
      </w:r>
    </w:p>
    <w:p>
      <w:pPr>
        <w:pStyle w:val="BodyText"/>
      </w:pPr>
      <w:r>
        <w:rPr>
          <w:bCs/>
          <w:b/>
        </w:rPr>
        <w:t xml:space="preserve">Doğru şık:</w:t>
      </w:r>
      <w:r>
        <w:t xml:space="preserve"> </w:t>
      </w:r>
      <w:r>
        <w:t xml:space="preserve">C) Başvuru sırasında gümrük idaresine sunulan başvuru formunun eksik doldurulmuş veya imzasız olduğunun anlaşılması</w:t>
      </w:r>
    </w:p>
    <w:p>
      <w:pPr>
        <w:pStyle w:val="BodyText"/>
      </w:pPr>
      <w:r>
        <w:t xml:space="preserve">Tebliğe göre olumsuz tespit raporu ibrazı, tespit sözleşmesine taraf yetkilendirilmiş gümrük müşaviri ile raporu düzenleyenin farklı olması, raporun sözleşmeyi izleyen otuz gün içinde düzenlenmemesi ve başvurunun raporun düzenlenme tarihini izleyen beş iş günü içinde yapılmaması hâllerinde statü belgesi talebi reddedilir. Başvuru formunun eksik doldurulmuş veya imzasız olması hâlinde ise eksikliğin üç iş günü içinde tamamlanması için başvuru sahibine bildirimde bulunulur ve inceleme süresi durdurulur; talep ancak eksiklik bu süre içinde tamamlanmazsa reddedilir.</w:t>
      </w:r>
    </w:p>
    <w:p>
      <w:pPr>
        <w:pStyle w:val="BodyText"/>
      </w:pPr>
      <w:r>
        <w:rPr>
          <w:bCs/>
          <w:b/>
        </w:rPr>
        <w:t xml:space="preserve">Tuzak:</w:t>
      </w:r>
      <w:r>
        <w:t xml:space="preserve"> </w:t>
      </w:r>
      <w:r>
        <w:t xml:space="preserve">Form eksikliğini de doğrudan ret sebebi sanan aday, tebliğde öngörülen üç iş günlük tamamlama süresini gözden kaçırır.</w:t>
      </w:r>
    </w:p>
    <w:p>
      <w:pPr>
        <w:pStyle w:val="BodyText"/>
      </w:pPr>
      <w:r>
        <w:rPr>
          <w:bCs/>
          <w:b/>
        </w:rPr>
        <w:t xml:space="preserve">Dayanak:</w:t>
      </w:r>
      <w:r>
        <w:t xml:space="preserve"> </w:t>
      </w:r>
      <w:r>
        <w:t xml:space="preserve">Onaylanmış Kişi Statüsüne İlişkin Gümrük Genel Tebliği (Sıra No: 1) md. 12/1 ve 12/3</w:t>
      </w:r>
    </w:p>
    <w:bookmarkEnd w:id="114"/>
    <w:bookmarkStart w:id="115" w:name="soru-cevap-b-17"/>
    <w:p>
      <w:pPr>
        <w:pStyle w:val="Heading4"/>
      </w:pPr>
      <w:r>
        <w:t xml:space="preserve">94. soru — Cevap: B</w:t>
      </w:r>
    </w:p>
    <w:p>
      <w:pPr>
        <w:pStyle w:val="FirstParagraph"/>
      </w:pPr>
      <w:r>
        <w:rPr>
          <w:iCs/>
          <w:i/>
        </w:rPr>
        <w:t xml:space="preserve">GM · Gümrük müşavirliği, temsil · O1</w:t>
      </w:r>
    </w:p>
    <w:p>
      <w:pPr>
        <w:pStyle w:val="BodyText"/>
      </w:pPr>
      <w:r>
        <w:rPr>
          <w:bCs/>
          <w:b/>
        </w:rPr>
        <w:t xml:space="preserve">Doğru şık:</w:t>
      </w:r>
      <w:r>
        <w:t xml:space="preserve"> </w:t>
      </w:r>
      <w:r>
        <w:t xml:space="preserve">B) Gümrük Kanununun geçici 6 ncı maddesi uyarınca son yedi yıl içinde kesinleşmiş kınama cezası almamış olmak</w:t>
      </w:r>
    </w:p>
    <w:p>
      <w:pPr>
        <w:pStyle w:val="BodyText"/>
      </w:pPr>
      <w:r>
        <w:t xml:space="preserve">Gümrük Yönetmeliğinin 576 ncı maddesine göre son yedi yıl içinde kesinleşmiş olarak alınmamış olması aranan ceza, geçici olarak mesleki faaliyetten alıkoyma cezasıdır; kınama cezası bakımından ölçüt, son üç yıl içerisinde üçten fazla uyarma veya kınama cezası almamış olmaktır. Bu nedenle yedi yıl içinde tek bir kınama cezası almış olmak yetkilendirilmeye engel değildir. Dolaylı temsil yoluyla iş takip etmemek, tespit yapılacak kişiler ve antrepo işleticileriyle ortaklık veya çalışan ilişkisi bulunmamak, birden fazla alıkoyma cezası almamış olmak ve üç yılda üçten fazla uyarma veya kınama cezası almamış olmak nitelikler arasında sayılmıştır.</w:t>
      </w:r>
    </w:p>
    <w:p>
      <w:pPr>
        <w:pStyle w:val="BodyText"/>
      </w:pPr>
      <w:r>
        <w:rPr>
          <w:bCs/>
          <w:b/>
        </w:rPr>
        <w:t xml:space="preserve">Tuzak:</w:t>
      </w:r>
      <w:r>
        <w:t xml:space="preserve"> </w:t>
      </w:r>
      <w:r>
        <w:t xml:space="preserve">Yedi yıllık süreyi hatırlayıp ceza türünü karıştıran aday, alıkoyma yerine kınama yazılan ifadeyi nitelik sanar.</w:t>
      </w:r>
    </w:p>
    <w:p>
      <w:pPr>
        <w:pStyle w:val="BodyText"/>
      </w:pPr>
      <w:r>
        <w:rPr>
          <w:bCs/>
          <w:b/>
        </w:rPr>
        <w:t xml:space="preserve">Dayanak:</w:t>
      </w:r>
      <w:r>
        <w:t xml:space="preserve"> </w:t>
      </w:r>
      <w:r>
        <w:t xml:space="preserve">Gümrük Yönetmeliği md. 576/1-b, c, ç, d, f</w:t>
      </w:r>
    </w:p>
    <w:bookmarkEnd w:id="115"/>
    <w:bookmarkStart w:id="116" w:name="soru-cevap-a-19"/>
    <w:p>
      <w:pPr>
        <w:pStyle w:val="Heading4"/>
      </w:pPr>
      <w:r>
        <w:t xml:space="preserve">95. soru — Cevap: A</w:t>
      </w:r>
    </w:p>
    <w:p>
      <w:pPr>
        <w:pStyle w:val="FirstParagraph"/>
      </w:pPr>
      <w:r>
        <w:rPr>
          <w:iCs/>
          <w:i/>
        </w:rPr>
        <w:t xml:space="preserve">GM · Gümrük müşavirliği, temsil · O2</w:t>
      </w:r>
    </w:p>
    <w:p>
      <w:pPr>
        <w:pStyle w:val="BodyText"/>
      </w:pPr>
      <w:r>
        <w:rPr>
          <w:bCs/>
          <w:b/>
        </w:rPr>
        <w:t xml:space="preserve">Doğru şık:</w:t>
      </w:r>
      <w:r>
        <w:t xml:space="preserve"> </w:t>
      </w:r>
      <w:r>
        <w:t xml:space="preserve">A) Tedbir mahiyetinde izin belgesi geçici olarak alınan meslek mensubuna geçici olarak mesleki faaliyetten alıkoyma cezası verilmesi hâlinde, izin belgesinin alındığı süre verilen cezadan mahsup edilmez.</w:t>
      </w:r>
    </w:p>
    <w:p>
      <w:pPr>
        <w:pStyle w:val="BodyText"/>
      </w:pPr>
      <w:r>
        <w:t xml:space="preserve">Geçici 6 ncı maddenin 9 numaralı bendine göre, tedbir mahiyetinde izin belgeleri alınanlar hakkında geçici olarak mesleki faaliyetten alıkoyma cezası verilmesi hâlinde izin belgelerinin alındığı süre verilen cezadan mahsup edilir;</w:t>
      </w:r>
      <w:r>
        <w:t xml:space="preserve"> </w:t>
      </w:r>
      <w:r>
        <w:t xml:space="preserve">‘</w:t>
      </w:r>
      <w:r>
        <w:t xml:space="preserve">mahsup edilmez</w:t>
      </w:r>
      <w:r>
        <w:t xml:space="preserve">’</w:t>
      </w:r>
      <w:r>
        <w:t xml:space="preserve"> </w:t>
      </w:r>
      <w:r>
        <w:t xml:space="preserve">ifadesi yanlıştır. Alıkoyma cezasının tanımı, on günden az olmamak üzere verilen savunma süresi, üç yıllık zamanaşımı ve beş yıllık dönemde iki alıkoyma cezasından sonra aynı fiilin yeniden işlenmesinde meslekten çıkarma cezası uygulanması maddenin aynısıdır.</w:t>
      </w:r>
    </w:p>
    <w:p>
      <w:pPr>
        <w:pStyle w:val="BodyText"/>
      </w:pPr>
      <w:r>
        <w:rPr>
          <w:bCs/>
          <w:b/>
        </w:rPr>
        <w:t xml:space="preserve">Tuzak:</w:t>
      </w:r>
      <w:r>
        <w:t xml:space="preserve"> </w:t>
      </w:r>
      <w:r>
        <w:t xml:space="preserve">Tedbirin cezadan bağımsız bir idari önlem olduğunu düşünen aday, tedbir süresinin cezadan düşülmeyeceğini doğru sanır.</w:t>
      </w:r>
    </w:p>
    <w:p>
      <w:pPr>
        <w:pStyle w:val="BodyText"/>
      </w:pPr>
      <w:r>
        <w:rPr>
          <w:bCs/>
          <w:b/>
        </w:rPr>
        <w:t xml:space="preserve">Dayanak:</w:t>
      </w:r>
      <w:r>
        <w:t xml:space="preserve"> </w:t>
      </w:r>
      <w:r>
        <w:t xml:space="preserve">4458 sayılı Gümrük Kanunu geçici md. 6/2-c, 6/4, 6/5, 6/7, 6/9</w:t>
      </w:r>
    </w:p>
    <w:bookmarkEnd w:id="116"/>
    <w:bookmarkStart w:id="117" w:name="soru-cevap-b-18"/>
    <w:p>
      <w:pPr>
        <w:pStyle w:val="Heading4"/>
      </w:pPr>
      <w:r>
        <w:t xml:space="preserve">96. soru — Cevap: B</w:t>
      </w:r>
    </w:p>
    <w:p>
      <w:pPr>
        <w:pStyle w:val="FirstParagraph"/>
      </w:pPr>
      <w:r>
        <w:rPr>
          <w:iCs/>
          <w:i/>
        </w:rPr>
        <w:t xml:space="preserve">SAİR · 5607 Kaçakçılık · Ö1</w:t>
      </w:r>
    </w:p>
    <w:p>
      <w:pPr>
        <w:pStyle w:val="BodyText"/>
      </w:pPr>
      <w:r>
        <w:rPr>
          <w:bCs/>
          <w:b/>
        </w:rPr>
        <w:t xml:space="preserve">Doğru şık:</w:t>
      </w:r>
      <w:r>
        <w:t xml:space="preserve"> </w:t>
      </w:r>
      <w:r>
        <w:t xml:space="preserve">B) I ve III</w:t>
      </w:r>
    </w:p>
    <w:p>
      <w:pPr>
        <w:pStyle w:val="BodyText"/>
      </w:pPr>
      <w:r>
        <w:t xml:space="preserve">Tebliğe göre elkoyma işlemi yirmi dört saat içinde görevli hâkimin onayına sunulur ve rızaen teslim hâlinde</w:t>
      </w:r>
      <w:r>
        <w:t xml:space="preserve"> </w:t>
      </w:r>
      <w:r>
        <w:t xml:space="preserve">‘</w:t>
      </w:r>
      <w:r>
        <w:t xml:space="preserve">Arama, Rızaen Teslim ve Muhafaza Altına Alma Tutanağı</w:t>
      </w:r>
      <w:r>
        <w:t xml:space="preserve">’</w:t>
      </w:r>
      <w:r>
        <w:t xml:space="preserve"> </w:t>
      </w:r>
      <w:r>
        <w:t xml:space="preserve">ile muhafaza altına alınan eşya/taşıt için ayrıca elkoyma veya alıkoyma kararı aranmaz; bu nedenle I ve III doğrudur. Hâkim kararını elkoymadan itibaren kırk sekiz saat (yetmiş iki değil) içinde açıklar. Ulaşım araçlarına ilişkin elkoyma kararları, araçların kayıtlı bulunduğu sicile şerh verilmek suretiyle icra olunur; gümrük idaresine teslim, icra şekli değildir.</w:t>
      </w:r>
    </w:p>
    <w:p>
      <w:pPr>
        <w:pStyle w:val="BodyText"/>
      </w:pPr>
      <w:r>
        <w:rPr>
          <w:bCs/>
          <w:b/>
        </w:rPr>
        <w:t xml:space="preserve">Tuzak:</w:t>
      </w:r>
      <w:r>
        <w:t xml:space="preserve"> </w:t>
      </w:r>
      <w:r>
        <w:t xml:space="preserve">CMK’daki diğer sürelerle karıştırıp 72 saati doğru sanan veya taşıtın fiilen gümrüğe teslimini kararın icrası sanan aday II ya da IV’ü içeren kümeye kayar.</w:t>
      </w:r>
    </w:p>
    <w:p>
      <w:pPr>
        <w:pStyle w:val="BodyText"/>
      </w:pPr>
      <w:r>
        <w:rPr>
          <w:bCs/>
          <w:b/>
        </w:rPr>
        <w:t xml:space="preserve">Dayanak:</w:t>
      </w:r>
      <w:r>
        <w:t xml:space="preserve"> </w:t>
      </w:r>
      <w:r>
        <w:t xml:space="preserve">Tasfiye Genel Tebliği (Kaçak Eşya ve Kaçak Eşya Naklinde Kullanılan Taşıtlara İlişkin İşlemler) (Seri No: 1) md. 4 ve 5</w:t>
      </w:r>
    </w:p>
    <w:bookmarkEnd w:id="117"/>
    <w:bookmarkStart w:id="118" w:name="soru-cevap-c-19"/>
    <w:p>
      <w:pPr>
        <w:pStyle w:val="Heading4"/>
      </w:pPr>
      <w:r>
        <w:t xml:space="preserve">97. soru — Cevap: C</w:t>
      </w:r>
    </w:p>
    <w:p>
      <w:pPr>
        <w:pStyle w:val="FirstParagraph"/>
      </w:pPr>
      <w:r>
        <w:rPr>
          <w:iCs/>
          <w:i/>
        </w:rPr>
        <w:t xml:space="preserve">SAİR · 5607 Kaçakçılık · Ö4</w:t>
      </w:r>
    </w:p>
    <w:p>
      <w:pPr>
        <w:pStyle w:val="BodyText"/>
      </w:pPr>
      <w:r>
        <w:rPr>
          <w:bCs/>
          <w:b/>
        </w:rPr>
        <w:t xml:space="preserve">Doğru şık:</w:t>
      </w:r>
      <w:r>
        <w:t xml:space="preserve"> </w:t>
      </w:r>
      <w:r>
        <w:t xml:space="preserve">C) I ve II</w:t>
      </w:r>
    </w:p>
    <w:p>
      <w:pPr>
        <w:pStyle w:val="BodyText"/>
      </w:pPr>
      <w:r>
        <w:t xml:space="preserve">Tebliğe göre Kanunun 13 üncü maddesinin birinci fıkrasının (a) bendi kapsamına girmesi, Türkiye’de sicile kayıtlı olmaması ve soruşturma ve kovuşturma devam ederken kaçakçılık suçunun işlenmesinde tekrar kullanılması hâllerinde taşıtlara alıkoyma kararı alınmak üzere elkonulur; I ve II bu hâllerdendir. Taşıtın değeri kadar teminatın otuz gün içinde verilmemesi ise alıkoyma sebebi değil, alıkonulmuş taşıtın iade edilmeyip tasfiyeye konu edilmesinin koşuludur.</w:t>
      </w:r>
    </w:p>
    <w:p>
      <w:pPr>
        <w:pStyle w:val="BodyText"/>
      </w:pPr>
      <w:r>
        <w:rPr>
          <w:bCs/>
          <w:b/>
        </w:rPr>
        <w:t xml:space="preserve">Tuzak:</w:t>
      </w:r>
      <w:r>
        <w:t xml:space="preserve"> </w:t>
      </w:r>
      <w:r>
        <w:t xml:space="preserve">Taşıtla ilgili otuz günlük teminat süresini de alıkoyma koşulu sanan aday</w:t>
      </w:r>
      <w:r>
        <w:t xml:space="preserve"> </w:t>
      </w:r>
      <w:r>
        <w:t xml:space="preserve">‘</w:t>
      </w:r>
      <w:r>
        <w:t xml:space="preserve">I ve III</w:t>
      </w:r>
      <w:r>
        <w:t xml:space="preserve">’</w:t>
      </w:r>
      <w:r>
        <w:t xml:space="preserve"> </w:t>
      </w:r>
      <w:r>
        <w:t xml:space="preserve">ya da tüm öncülleri işaretler; yalnız tekrar kullanma koşulunu bilen aday ise ’Yalnız II’ye kayar.</w:t>
      </w:r>
    </w:p>
    <w:p>
      <w:pPr>
        <w:pStyle w:val="BodyText"/>
      </w:pPr>
      <w:r>
        <w:rPr>
          <w:bCs/>
          <w:b/>
        </w:rPr>
        <w:t xml:space="preserve">Dayanak:</w:t>
      </w:r>
      <w:r>
        <w:t xml:space="preserve"> </w:t>
      </w:r>
      <w:r>
        <w:t xml:space="preserve">Tasfiye Genel Tebliği (Kaçak Eşya ve Kaçak Eşya Naklinde Kullanılan Taşıtlara İlişkin İşlemler) (Seri No: 1) md. 6/1 ve md. 8/1-2</w:t>
      </w:r>
    </w:p>
    <w:bookmarkEnd w:id="118"/>
    <w:bookmarkStart w:id="119" w:name="soru-cevap-d-19"/>
    <w:p>
      <w:pPr>
        <w:pStyle w:val="Heading4"/>
      </w:pPr>
      <w:r>
        <w:t xml:space="preserve">98. soru — Cevap: D</w:t>
      </w:r>
    </w:p>
    <w:p>
      <w:pPr>
        <w:pStyle w:val="FirstParagraph"/>
      </w:pPr>
      <w:r>
        <w:rPr>
          <w:iCs/>
          <w:i/>
        </w:rPr>
        <w:t xml:space="preserve">SAİR · 5607 Kaçakçılık · O1</w:t>
      </w:r>
    </w:p>
    <w:p>
      <w:pPr>
        <w:pStyle w:val="BodyText"/>
      </w:pPr>
      <w:r>
        <w:rPr>
          <w:bCs/>
          <w:b/>
        </w:rPr>
        <w:t xml:space="preserve">Doğru şık:</w:t>
      </w:r>
      <w:r>
        <w:t xml:space="preserve"> </w:t>
      </w:r>
      <w:r>
        <w:t xml:space="preserve">D) Özel antrepo</w:t>
      </w:r>
    </w:p>
    <w:p>
      <w:pPr>
        <w:pStyle w:val="BodyText"/>
      </w:pPr>
      <w:r>
        <w:t xml:space="preserve">Tasfiye Yönetmeliğine göre kaçak zannı ile elkonulan eşya veya alıkonulan araç kaçak eşya ambarlarına, bunlar yoksa sırasıyla genel antrepo, geçici depolama yeri veya gümrük idaresince uygun bulunan yerlere konulur. Özel antrepo bu sayımda yer almaz; sayılan antrepo türü yalnızca genel antrepodur.</w:t>
      </w:r>
    </w:p>
    <w:p>
      <w:pPr>
        <w:pStyle w:val="BodyText"/>
      </w:pPr>
      <w:r>
        <w:rPr>
          <w:bCs/>
          <w:b/>
        </w:rPr>
        <w:t xml:space="preserve">Tuzak:</w:t>
      </w:r>
      <w:r>
        <w:t xml:space="preserve"> </w:t>
      </w:r>
      <w:r>
        <w:t xml:space="preserve">‘</w:t>
      </w:r>
      <w:r>
        <w:t xml:space="preserve">Antrepo</w:t>
      </w:r>
      <w:r>
        <w:t xml:space="preserve">’</w:t>
      </w:r>
      <w:r>
        <w:t xml:space="preserve"> </w:t>
      </w:r>
      <w:r>
        <w:t xml:space="preserve">kelimesini gören ve genel/özel antrepo ayrımını gözetmeyen aday özel antreponun da sayıldığını düşünür.</w:t>
      </w:r>
    </w:p>
    <w:p>
      <w:pPr>
        <w:pStyle w:val="BodyText"/>
      </w:pPr>
      <w:r>
        <w:rPr>
          <w:bCs/>
          <w:b/>
        </w:rPr>
        <w:t xml:space="preserve">Dayanak:</w:t>
      </w:r>
      <w:r>
        <w:t xml:space="preserve"> </w:t>
      </w:r>
      <w:r>
        <w:t xml:space="preserve">Tasfiye Yönetmeliği md. 10/7</w:t>
      </w:r>
    </w:p>
    <w:bookmarkEnd w:id="119"/>
    <w:bookmarkStart w:id="120" w:name="soru-cevap-b-19"/>
    <w:p>
      <w:pPr>
        <w:pStyle w:val="Heading4"/>
      </w:pPr>
      <w:r>
        <w:t xml:space="preserve">99. soru — Cevap: B</w:t>
      </w:r>
    </w:p>
    <w:p>
      <w:pPr>
        <w:pStyle w:val="FirstParagraph"/>
      </w:pPr>
      <w:r>
        <w:rPr>
          <w:iCs/>
          <w:i/>
        </w:rPr>
        <w:t xml:space="preserve">GM · Cezalar, uzlaşma, itiraz · Ö2</w:t>
      </w:r>
    </w:p>
    <w:p>
      <w:pPr>
        <w:pStyle w:val="BodyText"/>
      </w:pPr>
      <w:r>
        <w:rPr>
          <w:bCs/>
          <w:b/>
        </w:rPr>
        <w:t xml:space="preserve">Doğru şık:</w:t>
      </w:r>
      <w:r>
        <w:t xml:space="preserve"> </w:t>
      </w:r>
      <w:r>
        <w:t xml:space="preserve">B) Yalnız II</w:t>
      </w:r>
    </w:p>
    <w:p>
      <w:pPr>
        <w:pStyle w:val="BodyText"/>
      </w:pPr>
      <w:r>
        <w:t xml:space="preserve">234 üncü maddenin birinci fıkrasına göre serbest dolaşıma giriş rejimi veya kısmi muafiyet suretiyle geçici ithalat rejimine tabi eşyada farkın %5’i aşması hâlinde farkın üç katı ceza alınır; I doğrudur. Dahilde işleme, gümrük kontrolü altında işleme ve tam muafiyet suretiyle geçici ithalat rejimine tabi eşyada aynı farklılıklar için vergi farkının yarısı tutarında ceza verilir; bu nedenle üç kat öngören II yanlıştır. Satış birimine göre miktar itibarıyla %5’i geçmeyen fark ile maddi hesap hatasından doğan noksan kıymet beyanlarında vergi farkının yarısı tutarında ceza alınması (III) birinci fıkranın (c) bendinin, genel yönetim kapsamındaki kamu idareleri için bu cezalara ilişkin hükümlerin uygulanmaması (IV) ise dördüncü fıkranın aynısıdır.</w:t>
      </w:r>
    </w:p>
    <w:p>
      <w:pPr>
        <w:pStyle w:val="BodyText"/>
      </w:pPr>
      <w:r>
        <w:rPr>
          <w:bCs/>
          <w:b/>
        </w:rPr>
        <w:t xml:space="preserve">Tuzak:</w:t>
      </w:r>
      <w:r>
        <w:t xml:space="preserve"> </w:t>
      </w:r>
      <w:r>
        <w:t xml:space="preserve">Kısmi ve tam muafiyetli geçici ithalatı aynı ceza rejimine bağlayan aday II’yi doğru sayar ve tek yanlışı başka öncülde arar.</w:t>
      </w:r>
    </w:p>
    <w:p>
      <w:pPr>
        <w:pStyle w:val="BodyText"/>
      </w:pPr>
      <w:r>
        <w:rPr>
          <w:bCs/>
          <w:b/>
        </w:rPr>
        <w:t xml:space="preserve">Dayanak:</w:t>
      </w:r>
      <w:r>
        <w:t xml:space="preserve"> </w:t>
      </w:r>
      <w:r>
        <w:t xml:space="preserve">4458 sayılı GK md. 234/1-a, 234/1-c, 234/2, 234/4 (ilk cümle)</w:t>
      </w:r>
    </w:p>
    <w:bookmarkEnd w:id="120"/>
    <w:bookmarkStart w:id="121" w:name="soru-cevap-e-19"/>
    <w:p>
      <w:pPr>
        <w:pStyle w:val="Heading4"/>
      </w:pPr>
      <w:r>
        <w:t xml:space="preserve">100. soru — Cevap: E</w:t>
      </w:r>
    </w:p>
    <w:p>
      <w:pPr>
        <w:pStyle w:val="FirstParagraph"/>
      </w:pPr>
      <w:r>
        <w:rPr>
          <w:iCs/>
          <w:i/>
        </w:rPr>
        <w:t xml:space="preserve">GM · Cezalar, uzlaşma, itiraz · O2</w:t>
      </w:r>
    </w:p>
    <w:p>
      <w:pPr>
        <w:pStyle w:val="BodyText"/>
      </w:pPr>
      <w:r>
        <w:rPr>
          <w:bCs/>
          <w:b/>
        </w:rPr>
        <w:t xml:space="preserve">Doğru şık:</w:t>
      </w:r>
      <w:r>
        <w:t xml:space="preserve"> </w:t>
      </w:r>
      <w:r>
        <w:t xml:space="preserve">E) Gümrük işlemleri bitirilip gümrük idaresinin izni alınmadan gümrük antreposundan eşya çıkarılması hâlinde, teminat alınmış olsa bile eşyanın gümrük vergilerinin yanı sıra gümrüklenmiş değerinin dört katı idari para cezası verilir.</w:t>
      </w:r>
    </w:p>
    <w:p>
      <w:pPr>
        <w:pStyle w:val="BodyText"/>
      </w:pPr>
      <w:r>
        <w:t xml:space="preserve">Kanunun 236 ncı maddesinin birinci fıkrasına göre teminat alınmış olsa bile gümrük işlemlerine başlanmadan veya işlemler bitirilip izin alınmadan antrepodan eşya çıkarılması hâlinde vergilerin yanı sıra gümrüklenmiş değerin iki katı idari para cezası verilir; dört kat, ithali yasak eşyaya ilişkin 235/1-a’daki orandır. İthali yasak eşyada dört kat, ithali belgeye bağlı eşyada iki kat, ihracı belgeye bağlı eşyada onda bir ve gümrüksüz satış mağazasından hak sahibi olmayana satışta vergilerin üç katı ceza öngörülmüştür.</w:t>
      </w:r>
    </w:p>
    <w:p>
      <w:pPr>
        <w:pStyle w:val="BodyText"/>
      </w:pPr>
      <w:r>
        <w:rPr>
          <w:bCs/>
          <w:b/>
        </w:rPr>
        <w:t xml:space="preserve">Tuzak:</w:t>
      </w:r>
      <w:r>
        <w:t xml:space="preserve"> </w:t>
      </w:r>
      <w:r>
        <w:t xml:space="preserve">Antrepodan izinsiz eşya çıkarmayı ithali yasak eşya kadar ağır bir fiil sayan aday dört kat oranını doğru sanır.</w:t>
      </w:r>
    </w:p>
    <w:p>
      <w:pPr>
        <w:pStyle w:val="BodyText"/>
      </w:pPr>
      <w:r>
        <w:rPr>
          <w:bCs/>
          <w:b/>
        </w:rPr>
        <w:t xml:space="preserve">Dayanak:</w:t>
      </w:r>
      <w:r>
        <w:t xml:space="preserve"> </w:t>
      </w:r>
      <w:r>
        <w:t xml:space="preserve">4458 sayılı GK md. 235/1-a, 235/1-c, 235/2-b, 236/1, 236/4</w:t>
      </w:r>
    </w:p>
    <w:bookmarkEnd w:id="121"/>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33">
    <w:nsid w:val="A9963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163">
    <w:nsid w:val="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84">
    <w:nsid w:val="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num w:numId="1000">
    <w:abstractNumId w:val="990"/>
  </w:num>
  <w:num w:numId="1001">
    <w:abstractNumId w:val="996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03">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1"/>
    </w:rPr>
  </w:style>
  <w:style w:styleId="BodyText" w:type="paragraph">
    <w:name w:val="Body Text"/>
    <w:basedOn w:val="Normal"/>
    <w:link w:val="BodyTextChar"/>
    <w:pPr>
      <w:spacing w:after="180" w:before="180"/>
    </w:pPr>
    <w:qFormat/>
    <w:rPr>
      <w:rFonts w:ascii="Arial" w:cs="Arial" w:eastAsia="Arial" w:hAnsi="Arial"/>
      <w:sz w:val="21"/>
    </w:rPr>
  </w:style>
  <w:style w:customStyle="1" w:styleId="FirstParagraph" w:type="paragraph">
    <w:name w:val="First Paragraph"/>
    <w:basedOn w:val="BodyText"/>
    <w:next w:val="BodyText"/>
    <w:qFormat/>
    <w:rPr>
      <w:rFonts w:ascii="Arial" w:cs="Arial" w:eastAsia="Arial" w:hAnsi="Arial"/>
      <w:sz w:val="21"/>
    </w:rPr>
  </w:style>
  <w:style w:customStyle="1" w:styleId="Compact" w:type="paragraph">
    <w:name w:val="Compact"/>
    <w:basedOn w:val="BodyText"/>
    <w:qFormat/>
    <w:pPr>
      <w:spacing w:after="36" w:before="36"/>
    </w:pPr>
    <w:rPr>
      <w:rFonts w:ascii="Arial" w:cs="Arial" w:eastAsia="Arial" w:hAnsi="Arial"/>
      <w:sz w:val="21"/>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val="1B3A5C"/>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2026-10-10T00:33:03Z</dcterms:created>
  <dcterms:modified xsi:type="dcterms:W3CDTF">2026-10-10T00:33:03Z</dcterms:modified>
</cp:coreProperties>
</file>

<file path=docProps/custom.xml><?xml version="1.0" encoding="utf-8"?>
<Properties xmlns="http://schemas.openxmlformats.org/officeDocument/2006/custom-properties" xmlns:vt="http://schemas.openxmlformats.org/officeDocument/2006/docPropsVTypes"/>
</file>