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4" w:name="gümrük-müşavirliği-sinavi-deneme-2"/>
    <w:p>
      <w:pPr>
        <w:pStyle w:val="Heading1"/>
      </w:pPr>
      <w:r>
        <w:t xml:space="preserve">GÜMRÜK MÜŞAVİRLİĞİ SINAVI — DENEME 2</w:t>
      </w:r>
    </w:p>
    <w:bookmarkStart w:id="123" w:name="cevap-anahtari-ve-açiklamali-çözümler"/>
    <w:p>
      <w:pPr>
        <w:pStyle w:val="Heading2"/>
      </w:pPr>
      <w:r>
        <w:t xml:space="preserve">CEVAP ANAHTARI VE AÇIKLAMALI ÇÖZÜMLER</w:t>
      </w:r>
    </w:p>
    <w:bookmarkStart w:id="20" w:name="cevap-anahtarı"/>
    <w:p>
      <w:pPr>
        <w:pStyle w:val="Heading3"/>
      </w:pPr>
      <w:r>
        <w:t xml:space="preserve">1. Cevap anahtarı</w:t>
      </w:r>
    </w:p>
    <w:tbl>
      <w:tblPr>
        <w:tblStyle w:val="Table"/>
        <w:tblW w:type="pct" w:w="5000"/>
        <w:tblLook w:firstRow="1" w:lastRow="0" w:firstColumn="0" w:lastColumn="0" w:noHBand="0" w:noVBand="0" w:val="0020"/>
        <w:jc w:val="start"/>
      </w:tblPr>
      <w:tblGrid>
        <w:gridCol w:w="739"/>
        <w:gridCol w:w="844"/>
        <w:gridCol w:w="739"/>
        <w:gridCol w:w="844"/>
        <w:gridCol w:w="739"/>
        <w:gridCol w:w="844"/>
        <w:gridCol w:w="739"/>
        <w:gridCol w:w="844"/>
        <w:gridCol w:w="739"/>
        <w:gridCol w:w="844"/>
      </w:tblGrid>
      <w:tr>
        <w:trPr>
          <w:tblHeader w:val="true"/>
        </w:trPr>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c>
          <w:tcPr/>
          <w:p>
            <w:pPr>
              <w:pStyle w:val="Compact"/>
              <w:jc w:val="left"/>
            </w:pPr>
            <w:r>
              <w:t xml:space="preserve">No</w:t>
            </w:r>
          </w:p>
        </w:tc>
        <w:tc>
          <w:tcPr/>
          <w:p>
            <w:pPr>
              <w:pStyle w:val="Compact"/>
              <w:jc w:val="left"/>
            </w:pPr>
            <w:r>
              <w:t xml:space="preserve">Cevap</w:t>
            </w:r>
          </w:p>
        </w:tc>
      </w:tr>
      <w:tr>
        <w:tc>
          <w:tcPr/>
          <w:p>
            <w:pPr>
              <w:pStyle w:val="Compact"/>
              <w:jc w:val="left"/>
            </w:pPr>
            <w:r>
              <w:t xml:space="preserve">1</w:t>
            </w:r>
          </w:p>
        </w:tc>
        <w:tc>
          <w:tcPr/>
          <w:p>
            <w:pPr>
              <w:pStyle w:val="Compact"/>
              <w:jc w:val="left"/>
            </w:pPr>
            <w:r>
              <w:t xml:space="preserve">A</w:t>
            </w:r>
          </w:p>
        </w:tc>
        <w:tc>
          <w:tcPr/>
          <w:p>
            <w:pPr>
              <w:pStyle w:val="Compact"/>
              <w:jc w:val="left"/>
            </w:pPr>
            <w:r>
              <w:t xml:space="preserve">21</w:t>
            </w:r>
          </w:p>
        </w:tc>
        <w:tc>
          <w:tcPr/>
          <w:p>
            <w:pPr>
              <w:pStyle w:val="Compact"/>
              <w:jc w:val="left"/>
            </w:pPr>
            <w:r>
              <w:t xml:space="preserve">A</w:t>
            </w:r>
          </w:p>
        </w:tc>
        <w:tc>
          <w:tcPr/>
          <w:p>
            <w:pPr>
              <w:pStyle w:val="Compact"/>
              <w:jc w:val="left"/>
            </w:pPr>
            <w:r>
              <w:t xml:space="preserve">41</w:t>
            </w:r>
          </w:p>
        </w:tc>
        <w:tc>
          <w:tcPr/>
          <w:p>
            <w:pPr>
              <w:pStyle w:val="Compact"/>
              <w:jc w:val="left"/>
            </w:pPr>
            <w:r>
              <w:t xml:space="preserve">A</w:t>
            </w:r>
          </w:p>
        </w:tc>
        <w:tc>
          <w:tcPr/>
          <w:p>
            <w:pPr>
              <w:pStyle w:val="Compact"/>
              <w:jc w:val="left"/>
            </w:pPr>
            <w:r>
              <w:t xml:space="preserve">61</w:t>
            </w:r>
          </w:p>
        </w:tc>
        <w:tc>
          <w:tcPr/>
          <w:p>
            <w:pPr>
              <w:pStyle w:val="Compact"/>
              <w:jc w:val="left"/>
            </w:pPr>
            <w:r>
              <w:t xml:space="preserve">B</w:t>
            </w:r>
          </w:p>
        </w:tc>
        <w:tc>
          <w:tcPr/>
          <w:p>
            <w:pPr>
              <w:pStyle w:val="Compact"/>
              <w:jc w:val="left"/>
            </w:pPr>
            <w:r>
              <w:t xml:space="preserve">81</w:t>
            </w:r>
          </w:p>
        </w:tc>
        <w:tc>
          <w:tcPr/>
          <w:p>
            <w:pPr>
              <w:pStyle w:val="Compact"/>
              <w:jc w:val="left"/>
            </w:pPr>
            <w:r>
              <w:t xml:space="preserve">C</w:t>
            </w:r>
          </w:p>
        </w:tc>
      </w:tr>
      <w:tr>
        <w:tc>
          <w:tcPr/>
          <w:p>
            <w:pPr>
              <w:pStyle w:val="Compact"/>
              <w:jc w:val="left"/>
            </w:pPr>
            <w:r>
              <w:t xml:space="preserve">2</w:t>
            </w:r>
          </w:p>
        </w:tc>
        <w:tc>
          <w:tcPr/>
          <w:p>
            <w:pPr>
              <w:pStyle w:val="Compact"/>
              <w:jc w:val="left"/>
            </w:pPr>
            <w:r>
              <w:t xml:space="preserve">D</w:t>
            </w:r>
          </w:p>
        </w:tc>
        <w:tc>
          <w:tcPr/>
          <w:p>
            <w:pPr>
              <w:pStyle w:val="Compact"/>
              <w:jc w:val="left"/>
            </w:pPr>
            <w:r>
              <w:t xml:space="preserve">22</w:t>
            </w:r>
          </w:p>
        </w:tc>
        <w:tc>
          <w:tcPr/>
          <w:p>
            <w:pPr>
              <w:pStyle w:val="Compact"/>
              <w:jc w:val="left"/>
            </w:pPr>
            <w:r>
              <w:t xml:space="preserve">C</w:t>
            </w:r>
          </w:p>
        </w:tc>
        <w:tc>
          <w:tcPr/>
          <w:p>
            <w:pPr>
              <w:pStyle w:val="Compact"/>
              <w:jc w:val="left"/>
            </w:pPr>
            <w:r>
              <w:t xml:space="preserve">42</w:t>
            </w:r>
          </w:p>
        </w:tc>
        <w:tc>
          <w:tcPr/>
          <w:p>
            <w:pPr>
              <w:pStyle w:val="Compact"/>
              <w:jc w:val="left"/>
            </w:pPr>
            <w:r>
              <w:t xml:space="preserve">C</w:t>
            </w:r>
          </w:p>
        </w:tc>
        <w:tc>
          <w:tcPr/>
          <w:p>
            <w:pPr>
              <w:pStyle w:val="Compact"/>
              <w:jc w:val="left"/>
            </w:pPr>
            <w:r>
              <w:t xml:space="preserve">62</w:t>
            </w:r>
          </w:p>
        </w:tc>
        <w:tc>
          <w:tcPr/>
          <w:p>
            <w:pPr>
              <w:pStyle w:val="Compact"/>
              <w:jc w:val="left"/>
            </w:pPr>
            <w:r>
              <w:t xml:space="preserve">E</w:t>
            </w:r>
          </w:p>
        </w:tc>
        <w:tc>
          <w:tcPr/>
          <w:p>
            <w:pPr>
              <w:pStyle w:val="Compact"/>
              <w:jc w:val="left"/>
            </w:pPr>
            <w:r>
              <w:t xml:space="preserve">82</w:t>
            </w:r>
          </w:p>
        </w:tc>
        <w:tc>
          <w:tcPr/>
          <w:p>
            <w:pPr>
              <w:pStyle w:val="Compact"/>
              <w:jc w:val="left"/>
            </w:pPr>
            <w:r>
              <w:t xml:space="preserve">C</w:t>
            </w:r>
          </w:p>
        </w:tc>
      </w:tr>
      <w:tr>
        <w:tc>
          <w:tcPr/>
          <w:p>
            <w:pPr>
              <w:pStyle w:val="Compact"/>
              <w:jc w:val="left"/>
            </w:pPr>
            <w:r>
              <w:t xml:space="preserve">3</w:t>
            </w:r>
          </w:p>
        </w:tc>
        <w:tc>
          <w:tcPr/>
          <w:p>
            <w:pPr>
              <w:pStyle w:val="Compact"/>
              <w:jc w:val="left"/>
            </w:pPr>
            <w:r>
              <w:t xml:space="preserve">B</w:t>
            </w:r>
          </w:p>
        </w:tc>
        <w:tc>
          <w:tcPr/>
          <w:p>
            <w:pPr>
              <w:pStyle w:val="Compact"/>
              <w:jc w:val="left"/>
            </w:pPr>
            <w:r>
              <w:t xml:space="preserve">23</w:t>
            </w:r>
          </w:p>
        </w:tc>
        <w:tc>
          <w:tcPr/>
          <w:p>
            <w:pPr>
              <w:pStyle w:val="Compact"/>
              <w:jc w:val="left"/>
            </w:pPr>
            <w:r>
              <w:t xml:space="preserve">C</w:t>
            </w:r>
          </w:p>
        </w:tc>
        <w:tc>
          <w:tcPr/>
          <w:p>
            <w:pPr>
              <w:pStyle w:val="Compact"/>
              <w:jc w:val="left"/>
            </w:pPr>
            <w:r>
              <w:t xml:space="preserve">43</w:t>
            </w:r>
          </w:p>
        </w:tc>
        <w:tc>
          <w:tcPr/>
          <w:p>
            <w:pPr>
              <w:pStyle w:val="Compact"/>
              <w:jc w:val="left"/>
            </w:pPr>
            <w:r>
              <w:t xml:space="preserve">B</w:t>
            </w:r>
          </w:p>
        </w:tc>
        <w:tc>
          <w:tcPr/>
          <w:p>
            <w:pPr>
              <w:pStyle w:val="Compact"/>
              <w:jc w:val="left"/>
            </w:pPr>
            <w:r>
              <w:t xml:space="preserve">63</w:t>
            </w:r>
          </w:p>
        </w:tc>
        <w:tc>
          <w:tcPr/>
          <w:p>
            <w:pPr>
              <w:pStyle w:val="Compact"/>
              <w:jc w:val="left"/>
            </w:pPr>
            <w:r>
              <w:t xml:space="preserve">D</w:t>
            </w:r>
          </w:p>
        </w:tc>
        <w:tc>
          <w:tcPr/>
          <w:p>
            <w:pPr>
              <w:pStyle w:val="Compact"/>
              <w:jc w:val="left"/>
            </w:pPr>
            <w:r>
              <w:t xml:space="preserve">83</w:t>
            </w:r>
          </w:p>
        </w:tc>
        <w:tc>
          <w:tcPr/>
          <w:p>
            <w:pPr>
              <w:pStyle w:val="Compact"/>
              <w:jc w:val="left"/>
            </w:pPr>
            <w:r>
              <w:t xml:space="preserve">C</w:t>
            </w:r>
          </w:p>
        </w:tc>
      </w:tr>
      <w:tr>
        <w:tc>
          <w:tcPr/>
          <w:p>
            <w:pPr>
              <w:pStyle w:val="Compact"/>
              <w:jc w:val="left"/>
            </w:pPr>
            <w:r>
              <w:t xml:space="preserve">4</w:t>
            </w:r>
          </w:p>
        </w:tc>
        <w:tc>
          <w:tcPr/>
          <w:p>
            <w:pPr>
              <w:pStyle w:val="Compact"/>
              <w:jc w:val="left"/>
            </w:pPr>
            <w:r>
              <w:t xml:space="preserve">E</w:t>
            </w:r>
          </w:p>
        </w:tc>
        <w:tc>
          <w:tcPr/>
          <w:p>
            <w:pPr>
              <w:pStyle w:val="Compact"/>
              <w:jc w:val="left"/>
            </w:pPr>
            <w:r>
              <w:t xml:space="preserve">24</w:t>
            </w:r>
          </w:p>
        </w:tc>
        <w:tc>
          <w:tcPr/>
          <w:p>
            <w:pPr>
              <w:pStyle w:val="Compact"/>
              <w:jc w:val="left"/>
            </w:pPr>
            <w:r>
              <w:t xml:space="preserve">A</w:t>
            </w:r>
          </w:p>
        </w:tc>
        <w:tc>
          <w:tcPr/>
          <w:p>
            <w:pPr>
              <w:pStyle w:val="Compact"/>
              <w:jc w:val="left"/>
            </w:pPr>
            <w:r>
              <w:t xml:space="preserve">44</w:t>
            </w:r>
          </w:p>
        </w:tc>
        <w:tc>
          <w:tcPr/>
          <w:p>
            <w:pPr>
              <w:pStyle w:val="Compact"/>
              <w:jc w:val="left"/>
            </w:pPr>
            <w:r>
              <w:t xml:space="preserve">C</w:t>
            </w:r>
          </w:p>
        </w:tc>
        <w:tc>
          <w:tcPr/>
          <w:p>
            <w:pPr>
              <w:pStyle w:val="Compact"/>
              <w:jc w:val="left"/>
            </w:pPr>
            <w:r>
              <w:t xml:space="preserve">64</w:t>
            </w:r>
          </w:p>
        </w:tc>
        <w:tc>
          <w:tcPr/>
          <w:p>
            <w:pPr>
              <w:pStyle w:val="Compact"/>
              <w:jc w:val="left"/>
            </w:pPr>
            <w:r>
              <w:t xml:space="preserve">B</w:t>
            </w:r>
          </w:p>
        </w:tc>
        <w:tc>
          <w:tcPr/>
          <w:p>
            <w:pPr>
              <w:pStyle w:val="Compact"/>
              <w:jc w:val="left"/>
            </w:pPr>
            <w:r>
              <w:t xml:space="preserve">84</w:t>
            </w:r>
          </w:p>
        </w:tc>
        <w:tc>
          <w:tcPr/>
          <w:p>
            <w:pPr>
              <w:pStyle w:val="Compact"/>
              <w:jc w:val="left"/>
            </w:pPr>
            <w:r>
              <w:t xml:space="preserve">B</w:t>
            </w:r>
          </w:p>
        </w:tc>
      </w:tr>
      <w:tr>
        <w:tc>
          <w:tcPr/>
          <w:p>
            <w:pPr>
              <w:pStyle w:val="Compact"/>
              <w:jc w:val="left"/>
            </w:pPr>
            <w:r>
              <w:t xml:space="preserve">5</w:t>
            </w:r>
          </w:p>
        </w:tc>
        <w:tc>
          <w:tcPr/>
          <w:p>
            <w:pPr>
              <w:pStyle w:val="Compact"/>
              <w:jc w:val="left"/>
            </w:pPr>
            <w:r>
              <w:t xml:space="preserve">E</w:t>
            </w:r>
          </w:p>
        </w:tc>
        <w:tc>
          <w:tcPr/>
          <w:p>
            <w:pPr>
              <w:pStyle w:val="Compact"/>
              <w:jc w:val="left"/>
            </w:pPr>
            <w:r>
              <w:t xml:space="preserve">25</w:t>
            </w:r>
          </w:p>
        </w:tc>
        <w:tc>
          <w:tcPr/>
          <w:p>
            <w:pPr>
              <w:pStyle w:val="Compact"/>
              <w:jc w:val="left"/>
            </w:pPr>
            <w:r>
              <w:t xml:space="preserve">B</w:t>
            </w:r>
          </w:p>
        </w:tc>
        <w:tc>
          <w:tcPr/>
          <w:p>
            <w:pPr>
              <w:pStyle w:val="Compact"/>
              <w:jc w:val="left"/>
            </w:pPr>
            <w:r>
              <w:t xml:space="preserve">45</w:t>
            </w:r>
          </w:p>
        </w:tc>
        <w:tc>
          <w:tcPr/>
          <w:p>
            <w:pPr>
              <w:pStyle w:val="Compact"/>
              <w:jc w:val="left"/>
            </w:pPr>
            <w:r>
              <w:t xml:space="preserve">A</w:t>
            </w:r>
          </w:p>
        </w:tc>
        <w:tc>
          <w:tcPr/>
          <w:p>
            <w:pPr>
              <w:pStyle w:val="Compact"/>
              <w:jc w:val="left"/>
            </w:pPr>
            <w:r>
              <w:t xml:space="preserve">65</w:t>
            </w:r>
          </w:p>
        </w:tc>
        <w:tc>
          <w:tcPr/>
          <w:p>
            <w:pPr>
              <w:pStyle w:val="Compact"/>
              <w:jc w:val="left"/>
            </w:pPr>
            <w:r>
              <w:t xml:space="preserve">B</w:t>
            </w:r>
          </w:p>
        </w:tc>
        <w:tc>
          <w:tcPr/>
          <w:p>
            <w:pPr>
              <w:pStyle w:val="Compact"/>
              <w:jc w:val="left"/>
            </w:pPr>
            <w:r>
              <w:t xml:space="preserve">85</w:t>
            </w:r>
          </w:p>
        </w:tc>
        <w:tc>
          <w:tcPr/>
          <w:p>
            <w:pPr>
              <w:pStyle w:val="Compact"/>
              <w:jc w:val="left"/>
            </w:pPr>
            <w:r>
              <w:t xml:space="preserve">A</w:t>
            </w:r>
          </w:p>
        </w:tc>
      </w:tr>
      <w:tr>
        <w:tc>
          <w:tcPr/>
          <w:p>
            <w:pPr>
              <w:pStyle w:val="Compact"/>
              <w:jc w:val="left"/>
            </w:pPr>
            <w:r>
              <w:t xml:space="preserve">6</w:t>
            </w:r>
          </w:p>
        </w:tc>
        <w:tc>
          <w:tcPr/>
          <w:p>
            <w:pPr>
              <w:pStyle w:val="Compact"/>
              <w:jc w:val="left"/>
            </w:pPr>
            <w:r>
              <w:t xml:space="preserve">A</w:t>
            </w:r>
          </w:p>
        </w:tc>
        <w:tc>
          <w:tcPr/>
          <w:p>
            <w:pPr>
              <w:pStyle w:val="Compact"/>
              <w:jc w:val="left"/>
            </w:pPr>
            <w:r>
              <w:t xml:space="preserve">26</w:t>
            </w:r>
          </w:p>
        </w:tc>
        <w:tc>
          <w:tcPr/>
          <w:p>
            <w:pPr>
              <w:pStyle w:val="Compact"/>
              <w:jc w:val="left"/>
            </w:pPr>
            <w:r>
              <w:t xml:space="preserve">E</w:t>
            </w:r>
          </w:p>
        </w:tc>
        <w:tc>
          <w:tcPr/>
          <w:p>
            <w:pPr>
              <w:pStyle w:val="Compact"/>
              <w:jc w:val="left"/>
            </w:pPr>
            <w:r>
              <w:t xml:space="preserve">46</w:t>
            </w:r>
          </w:p>
        </w:tc>
        <w:tc>
          <w:tcPr/>
          <w:p>
            <w:pPr>
              <w:pStyle w:val="Compact"/>
              <w:jc w:val="left"/>
            </w:pPr>
            <w:r>
              <w:t xml:space="preserve">D</w:t>
            </w:r>
          </w:p>
        </w:tc>
        <w:tc>
          <w:tcPr/>
          <w:p>
            <w:pPr>
              <w:pStyle w:val="Compact"/>
              <w:jc w:val="left"/>
            </w:pPr>
            <w:r>
              <w:t xml:space="preserve">66</w:t>
            </w:r>
          </w:p>
        </w:tc>
        <w:tc>
          <w:tcPr/>
          <w:p>
            <w:pPr>
              <w:pStyle w:val="Compact"/>
              <w:jc w:val="left"/>
            </w:pPr>
            <w:r>
              <w:t xml:space="preserve">D</w:t>
            </w:r>
          </w:p>
        </w:tc>
        <w:tc>
          <w:tcPr/>
          <w:p>
            <w:pPr>
              <w:pStyle w:val="Compact"/>
              <w:jc w:val="left"/>
            </w:pPr>
            <w:r>
              <w:t xml:space="preserve">86</w:t>
            </w:r>
          </w:p>
        </w:tc>
        <w:tc>
          <w:tcPr/>
          <w:p>
            <w:pPr>
              <w:pStyle w:val="Compact"/>
              <w:jc w:val="left"/>
            </w:pPr>
            <w:r>
              <w:t xml:space="preserve">D</w:t>
            </w:r>
          </w:p>
        </w:tc>
      </w:tr>
      <w:tr>
        <w:tc>
          <w:tcPr/>
          <w:p>
            <w:pPr>
              <w:pStyle w:val="Compact"/>
              <w:jc w:val="left"/>
            </w:pPr>
            <w:r>
              <w:t xml:space="preserve">7</w:t>
            </w:r>
          </w:p>
        </w:tc>
        <w:tc>
          <w:tcPr/>
          <w:p>
            <w:pPr>
              <w:pStyle w:val="Compact"/>
              <w:jc w:val="left"/>
            </w:pPr>
            <w:r>
              <w:t xml:space="preserve">E</w:t>
            </w:r>
          </w:p>
        </w:tc>
        <w:tc>
          <w:tcPr/>
          <w:p>
            <w:pPr>
              <w:pStyle w:val="Compact"/>
              <w:jc w:val="left"/>
            </w:pPr>
            <w:r>
              <w:t xml:space="preserve">27</w:t>
            </w:r>
          </w:p>
        </w:tc>
        <w:tc>
          <w:tcPr/>
          <w:p>
            <w:pPr>
              <w:pStyle w:val="Compact"/>
              <w:jc w:val="left"/>
            </w:pPr>
            <w:r>
              <w:t xml:space="preserve">D</w:t>
            </w:r>
          </w:p>
        </w:tc>
        <w:tc>
          <w:tcPr/>
          <w:p>
            <w:pPr>
              <w:pStyle w:val="Compact"/>
              <w:jc w:val="left"/>
            </w:pPr>
            <w:r>
              <w:t xml:space="preserve">47</w:t>
            </w:r>
          </w:p>
        </w:tc>
        <w:tc>
          <w:tcPr/>
          <w:p>
            <w:pPr>
              <w:pStyle w:val="Compact"/>
              <w:jc w:val="left"/>
            </w:pPr>
            <w:r>
              <w:t xml:space="preserve">E</w:t>
            </w:r>
          </w:p>
        </w:tc>
        <w:tc>
          <w:tcPr/>
          <w:p>
            <w:pPr>
              <w:pStyle w:val="Compact"/>
              <w:jc w:val="left"/>
            </w:pPr>
            <w:r>
              <w:t xml:space="preserve">67</w:t>
            </w:r>
          </w:p>
        </w:tc>
        <w:tc>
          <w:tcPr/>
          <w:p>
            <w:pPr>
              <w:pStyle w:val="Compact"/>
              <w:jc w:val="left"/>
            </w:pPr>
            <w:r>
              <w:t xml:space="preserve">A</w:t>
            </w:r>
          </w:p>
        </w:tc>
        <w:tc>
          <w:tcPr/>
          <w:p>
            <w:pPr>
              <w:pStyle w:val="Compact"/>
              <w:jc w:val="left"/>
            </w:pPr>
            <w:r>
              <w:t xml:space="preserve">87</w:t>
            </w:r>
          </w:p>
        </w:tc>
        <w:tc>
          <w:tcPr/>
          <w:p>
            <w:pPr>
              <w:pStyle w:val="Compact"/>
              <w:jc w:val="left"/>
            </w:pPr>
            <w:r>
              <w:t xml:space="preserve">D</w:t>
            </w:r>
          </w:p>
        </w:tc>
      </w:tr>
      <w:tr>
        <w:tc>
          <w:tcPr/>
          <w:p>
            <w:pPr>
              <w:pStyle w:val="Compact"/>
              <w:jc w:val="left"/>
            </w:pPr>
            <w:r>
              <w:t xml:space="preserve">8</w:t>
            </w:r>
          </w:p>
        </w:tc>
        <w:tc>
          <w:tcPr/>
          <w:p>
            <w:pPr>
              <w:pStyle w:val="Compact"/>
              <w:jc w:val="left"/>
            </w:pPr>
            <w:r>
              <w:t xml:space="preserve">E</w:t>
            </w:r>
          </w:p>
        </w:tc>
        <w:tc>
          <w:tcPr/>
          <w:p>
            <w:pPr>
              <w:pStyle w:val="Compact"/>
              <w:jc w:val="left"/>
            </w:pPr>
            <w:r>
              <w:t xml:space="preserve">28</w:t>
            </w:r>
          </w:p>
        </w:tc>
        <w:tc>
          <w:tcPr/>
          <w:p>
            <w:pPr>
              <w:pStyle w:val="Compact"/>
              <w:jc w:val="left"/>
            </w:pPr>
            <w:r>
              <w:t xml:space="preserve">A</w:t>
            </w:r>
          </w:p>
        </w:tc>
        <w:tc>
          <w:tcPr/>
          <w:p>
            <w:pPr>
              <w:pStyle w:val="Compact"/>
              <w:jc w:val="left"/>
            </w:pPr>
            <w:r>
              <w:t xml:space="preserve">48</w:t>
            </w:r>
          </w:p>
        </w:tc>
        <w:tc>
          <w:tcPr/>
          <w:p>
            <w:pPr>
              <w:pStyle w:val="Compact"/>
              <w:jc w:val="left"/>
            </w:pPr>
            <w:r>
              <w:t xml:space="preserve">D</w:t>
            </w:r>
          </w:p>
        </w:tc>
        <w:tc>
          <w:tcPr/>
          <w:p>
            <w:pPr>
              <w:pStyle w:val="Compact"/>
              <w:jc w:val="left"/>
            </w:pPr>
            <w:r>
              <w:t xml:space="preserve">68</w:t>
            </w:r>
          </w:p>
        </w:tc>
        <w:tc>
          <w:tcPr/>
          <w:p>
            <w:pPr>
              <w:pStyle w:val="Compact"/>
              <w:jc w:val="left"/>
            </w:pPr>
            <w:r>
              <w:t xml:space="preserve">C</w:t>
            </w:r>
          </w:p>
        </w:tc>
        <w:tc>
          <w:tcPr/>
          <w:p>
            <w:pPr>
              <w:pStyle w:val="Compact"/>
              <w:jc w:val="left"/>
            </w:pPr>
            <w:r>
              <w:t xml:space="preserve">88</w:t>
            </w:r>
          </w:p>
        </w:tc>
        <w:tc>
          <w:tcPr/>
          <w:p>
            <w:pPr>
              <w:pStyle w:val="Compact"/>
              <w:jc w:val="left"/>
            </w:pPr>
            <w:r>
              <w:t xml:space="preserve">A</w:t>
            </w:r>
          </w:p>
        </w:tc>
      </w:tr>
      <w:tr>
        <w:tc>
          <w:tcPr/>
          <w:p>
            <w:pPr>
              <w:pStyle w:val="Compact"/>
              <w:jc w:val="left"/>
            </w:pPr>
            <w:r>
              <w:t xml:space="preserve">9</w:t>
            </w:r>
          </w:p>
        </w:tc>
        <w:tc>
          <w:tcPr/>
          <w:p>
            <w:pPr>
              <w:pStyle w:val="Compact"/>
              <w:jc w:val="left"/>
            </w:pPr>
            <w:r>
              <w:t xml:space="preserve">E</w:t>
            </w:r>
          </w:p>
        </w:tc>
        <w:tc>
          <w:tcPr/>
          <w:p>
            <w:pPr>
              <w:pStyle w:val="Compact"/>
              <w:jc w:val="left"/>
            </w:pPr>
            <w:r>
              <w:t xml:space="preserve">29</w:t>
            </w:r>
          </w:p>
        </w:tc>
        <w:tc>
          <w:tcPr/>
          <w:p>
            <w:pPr>
              <w:pStyle w:val="Compact"/>
              <w:jc w:val="left"/>
            </w:pPr>
            <w:r>
              <w:t xml:space="preserve">C</w:t>
            </w:r>
          </w:p>
        </w:tc>
        <w:tc>
          <w:tcPr/>
          <w:p>
            <w:pPr>
              <w:pStyle w:val="Compact"/>
              <w:jc w:val="left"/>
            </w:pPr>
            <w:r>
              <w:t xml:space="preserve">49</w:t>
            </w:r>
          </w:p>
        </w:tc>
        <w:tc>
          <w:tcPr/>
          <w:p>
            <w:pPr>
              <w:pStyle w:val="Compact"/>
              <w:jc w:val="left"/>
            </w:pPr>
            <w:r>
              <w:t xml:space="preserve">C</w:t>
            </w:r>
          </w:p>
        </w:tc>
        <w:tc>
          <w:tcPr/>
          <w:p>
            <w:pPr>
              <w:pStyle w:val="Compact"/>
              <w:jc w:val="left"/>
            </w:pPr>
            <w:r>
              <w:t xml:space="preserve">69</w:t>
            </w:r>
          </w:p>
        </w:tc>
        <w:tc>
          <w:tcPr/>
          <w:p>
            <w:pPr>
              <w:pStyle w:val="Compact"/>
              <w:jc w:val="left"/>
            </w:pPr>
            <w:r>
              <w:t xml:space="preserve">B</w:t>
            </w:r>
          </w:p>
        </w:tc>
        <w:tc>
          <w:tcPr/>
          <w:p>
            <w:pPr>
              <w:pStyle w:val="Compact"/>
              <w:jc w:val="left"/>
            </w:pPr>
            <w:r>
              <w:t xml:space="preserve">89</w:t>
            </w:r>
          </w:p>
        </w:tc>
        <w:tc>
          <w:tcPr/>
          <w:p>
            <w:pPr>
              <w:pStyle w:val="Compact"/>
              <w:jc w:val="left"/>
            </w:pPr>
            <w:r>
              <w:t xml:space="preserve">E</w:t>
            </w:r>
          </w:p>
        </w:tc>
      </w:tr>
      <w:tr>
        <w:tc>
          <w:tcPr/>
          <w:p>
            <w:pPr>
              <w:pStyle w:val="Compact"/>
              <w:jc w:val="left"/>
            </w:pPr>
            <w:r>
              <w:t xml:space="preserve">10</w:t>
            </w:r>
          </w:p>
        </w:tc>
        <w:tc>
          <w:tcPr/>
          <w:p>
            <w:pPr>
              <w:pStyle w:val="Compact"/>
              <w:jc w:val="left"/>
            </w:pPr>
            <w:r>
              <w:t xml:space="preserve">A</w:t>
            </w:r>
          </w:p>
        </w:tc>
        <w:tc>
          <w:tcPr/>
          <w:p>
            <w:pPr>
              <w:pStyle w:val="Compact"/>
              <w:jc w:val="left"/>
            </w:pPr>
            <w:r>
              <w:t xml:space="preserve">30</w:t>
            </w:r>
          </w:p>
        </w:tc>
        <w:tc>
          <w:tcPr/>
          <w:p>
            <w:pPr>
              <w:pStyle w:val="Compact"/>
              <w:jc w:val="left"/>
            </w:pPr>
            <w:r>
              <w:t xml:space="preserve">B</w:t>
            </w:r>
          </w:p>
        </w:tc>
        <w:tc>
          <w:tcPr/>
          <w:p>
            <w:pPr>
              <w:pStyle w:val="Compact"/>
              <w:jc w:val="left"/>
            </w:pPr>
            <w:r>
              <w:t xml:space="preserve">50</w:t>
            </w:r>
          </w:p>
        </w:tc>
        <w:tc>
          <w:tcPr/>
          <w:p>
            <w:pPr>
              <w:pStyle w:val="Compact"/>
              <w:jc w:val="left"/>
            </w:pPr>
            <w:r>
              <w:t xml:space="preserve">A</w:t>
            </w:r>
          </w:p>
        </w:tc>
        <w:tc>
          <w:tcPr/>
          <w:p>
            <w:pPr>
              <w:pStyle w:val="Compact"/>
              <w:jc w:val="left"/>
            </w:pPr>
            <w:r>
              <w:t xml:space="preserve">70</w:t>
            </w:r>
          </w:p>
        </w:tc>
        <w:tc>
          <w:tcPr/>
          <w:p>
            <w:pPr>
              <w:pStyle w:val="Compact"/>
              <w:jc w:val="left"/>
            </w:pPr>
            <w:r>
              <w:t xml:space="preserve">C</w:t>
            </w:r>
          </w:p>
        </w:tc>
        <w:tc>
          <w:tcPr/>
          <w:p>
            <w:pPr>
              <w:pStyle w:val="Compact"/>
              <w:jc w:val="left"/>
            </w:pPr>
            <w:r>
              <w:t xml:space="preserve">90</w:t>
            </w:r>
          </w:p>
        </w:tc>
        <w:tc>
          <w:tcPr/>
          <w:p>
            <w:pPr>
              <w:pStyle w:val="Compact"/>
              <w:jc w:val="left"/>
            </w:pPr>
            <w:r>
              <w:t xml:space="preserve">D</w:t>
            </w:r>
          </w:p>
        </w:tc>
      </w:tr>
      <w:tr>
        <w:tc>
          <w:tcPr/>
          <w:p>
            <w:pPr>
              <w:pStyle w:val="Compact"/>
              <w:jc w:val="left"/>
            </w:pPr>
            <w:r>
              <w:t xml:space="preserve">11</w:t>
            </w:r>
          </w:p>
        </w:tc>
        <w:tc>
          <w:tcPr/>
          <w:p>
            <w:pPr>
              <w:pStyle w:val="Compact"/>
              <w:jc w:val="left"/>
            </w:pPr>
            <w:r>
              <w:t xml:space="preserve">B</w:t>
            </w:r>
          </w:p>
        </w:tc>
        <w:tc>
          <w:tcPr/>
          <w:p>
            <w:pPr>
              <w:pStyle w:val="Compact"/>
              <w:jc w:val="left"/>
            </w:pPr>
            <w:r>
              <w:t xml:space="preserve">31</w:t>
            </w:r>
          </w:p>
        </w:tc>
        <w:tc>
          <w:tcPr/>
          <w:p>
            <w:pPr>
              <w:pStyle w:val="Compact"/>
              <w:jc w:val="left"/>
            </w:pPr>
            <w:r>
              <w:t xml:space="preserve">C</w:t>
            </w:r>
          </w:p>
        </w:tc>
        <w:tc>
          <w:tcPr/>
          <w:p>
            <w:pPr>
              <w:pStyle w:val="Compact"/>
              <w:jc w:val="left"/>
            </w:pPr>
            <w:r>
              <w:t xml:space="preserve">51</w:t>
            </w:r>
          </w:p>
        </w:tc>
        <w:tc>
          <w:tcPr/>
          <w:p>
            <w:pPr>
              <w:pStyle w:val="Compact"/>
              <w:jc w:val="left"/>
            </w:pPr>
            <w:r>
              <w:t xml:space="preserve">B</w:t>
            </w:r>
          </w:p>
        </w:tc>
        <w:tc>
          <w:tcPr/>
          <w:p>
            <w:pPr>
              <w:pStyle w:val="Compact"/>
              <w:jc w:val="left"/>
            </w:pPr>
            <w:r>
              <w:t xml:space="preserve">71</w:t>
            </w:r>
          </w:p>
        </w:tc>
        <w:tc>
          <w:tcPr/>
          <w:p>
            <w:pPr>
              <w:pStyle w:val="Compact"/>
              <w:jc w:val="left"/>
            </w:pPr>
            <w:r>
              <w:t xml:space="preserve">E</w:t>
            </w:r>
          </w:p>
        </w:tc>
        <w:tc>
          <w:tcPr/>
          <w:p>
            <w:pPr>
              <w:pStyle w:val="Compact"/>
              <w:jc w:val="left"/>
            </w:pPr>
            <w:r>
              <w:t xml:space="preserve">91</w:t>
            </w:r>
          </w:p>
        </w:tc>
        <w:tc>
          <w:tcPr/>
          <w:p>
            <w:pPr>
              <w:pStyle w:val="Compact"/>
              <w:jc w:val="left"/>
            </w:pPr>
            <w:r>
              <w:t xml:space="preserve">C</w:t>
            </w:r>
          </w:p>
        </w:tc>
      </w:tr>
      <w:tr>
        <w:tc>
          <w:tcPr/>
          <w:p>
            <w:pPr>
              <w:pStyle w:val="Compact"/>
              <w:jc w:val="left"/>
            </w:pPr>
            <w:r>
              <w:t xml:space="preserve">12</w:t>
            </w:r>
          </w:p>
        </w:tc>
        <w:tc>
          <w:tcPr/>
          <w:p>
            <w:pPr>
              <w:pStyle w:val="Compact"/>
              <w:jc w:val="left"/>
            </w:pPr>
            <w:r>
              <w:t xml:space="preserve">D</w:t>
            </w:r>
          </w:p>
        </w:tc>
        <w:tc>
          <w:tcPr/>
          <w:p>
            <w:pPr>
              <w:pStyle w:val="Compact"/>
              <w:jc w:val="left"/>
            </w:pPr>
            <w:r>
              <w:t xml:space="preserve">32</w:t>
            </w:r>
          </w:p>
        </w:tc>
        <w:tc>
          <w:tcPr/>
          <w:p>
            <w:pPr>
              <w:pStyle w:val="Compact"/>
              <w:jc w:val="left"/>
            </w:pPr>
            <w:r>
              <w:t xml:space="preserve">E</w:t>
            </w:r>
          </w:p>
        </w:tc>
        <w:tc>
          <w:tcPr/>
          <w:p>
            <w:pPr>
              <w:pStyle w:val="Compact"/>
              <w:jc w:val="left"/>
            </w:pPr>
            <w:r>
              <w:t xml:space="preserve">52</w:t>
            </w:r>
          </w:p>
        </w:tc>
        <w:tc>
          <w:tcPr/>
          <w:p>
            <w:pPr>
              <w:pStyle w:val="Compact"/>
              <w:jc w:val="left"/>
            </w:pPr>
            <w:r>
              <w:t xml:space="preserve">D</w:t>
            </w:r>
          </w:p>
        </w:tc>
        <w:tc>
          <w:tcPr/>
          <w:p>
            <w:pPr>
              <w:pStyle w:val="Compact"/>
              <w:jc w:val="left"/>
            </w:pPr>
            <w:r>
              <w:t xml:space="preserve">72</w:t>
            </w:r>
          </w:p>
        </w:tc>
        <w:tc>
          <w:tcPr/>
          <w:p>
            <w:pPr>
              <w:pStyle w:val="Compact"/>
              <w:jc w:val="left"/>
            </w:pPr>
            <w:r>
              <w:t xml:space="preserve">D</w:t>
            </w:r>
          </w:p>
        </w:tc>
        <w:tc>
          <w:tcPr/>
          <w:p>
            <w:pPr>
              <w:pStyle w:val="Compact"/>
              <w:jc w:val="left"/>
            </w:pPr>
            <w:r>
              <w:t xml:space="preserve">92</w:t>
            </w:r>
          </w:p>
        </w:tc>
        <w:tc>
          <w:tcPr/>
          <w:p>
            <w:pPr>
              <w:pStyle w:val="Compact"/>
              <w:jc w:val="left"/>
            </w:pPr>
            <w:r>
              <w:t xml:space="preserve">D</w:t>
            </w:r>
          </w:p>
        </w:tc>
      </w:tr>
      <w:tr>
        <w:tc>
          <w:tcPr/>
          <w:p>
            <w:pPr>
              <w:pStyle w:val="Compact"/>
              <w:jc w:val="left"/>
            </w:pPr>
            <w:r>
              <w:t xml:space="preserve">13</w:t>
            </w:r>
          </w:p>
        </w:tc>
        <w:tc>
          <w:tcPr/>
          <w:p>
            <w:pPr>
              <w:pStyle w:val="Compact"/>
              <w:jc w:val="left"/>
            </w:pPr>
            <w:r>
              <w:t xml:space="preserve">E</w:t>
            </w:r>
          </w:p>
        </w:tc>
        <w:tc>
          <w:tcPr/>
          <w:p>
            <w:pPr>
              <w:pStyle w:val="Compact"/>
              <w:jc w:val="left"/>
            </w:pPr>
            <w:r>
              <w:t xml:space="preserve">33</w:t>
            </w:r>
          </w:p>
        </w:tc>
        <w:tc>
          <w:tcPr/>
          <w:p>
            <w:pPr>
              <w:pStyle w:val="Compact"/>
              <w:jc w:val="left"/>
            </w:pPr>
            <w:r>
              <w:t xml:space="preserve">E</w:t>
            </w:r>
          </w:p>
        </w:tc>
        <w:tc>
          <w:tcPr/>
          <w:p>
            <w:pPr>
              <w:pStyle w:val="Compact"/>
              <w:jc w:val="left"/>
            </w:pPr>
            <w:r>
              <w:t xml:space="preserve">53</w:t>
            </w:r>
          </w:p>
        </w:tc>
        <w:tc>
          <w:tcPr/>
          <w:p>
            <w:pPr>
              <w:pStyle w:val="Compact"/>
              <w:jc w:val="left"/>
            </w:pPr>
            <w:r>
              <w:t xml:space="preserve">B</w:t>
            </w:r>
          </w:p>
        </w:tc>
        <w:tc>
          <w:tcPr/>
          <w:p>
            <w:pPr>
              <w:pStyle w:val="Compact"/>
              <w:jc w:val="left"/>
            </w:pPr>
            <w:r>
              <w:t xml:space="preserve">73</w:t>
            </w:r>
          </w:p>
        </w:tc>
        <w:tc>
          <w:tcPr/>
          <w:p>
            <w:pPr>
              <w:pStyle w:val="Compact"/>
              <w:jc w:val="left"/>
            </w:pPr>
            <w:r>
              <w:t xml:space="preserve">A</w:t>
            </w:r>
          </w:p>
        </w:tc>
        <w:tc>
          <w:tcPr/>
          <w:p>
            <w:pPr>
              <w:pStyle w:val="Compact"/>
              <w:jc w:val="left"/>
            </w:pPr>
            <w:r>
              <w:t xml:space="preserve">93</w:t>
            </w:r>
          </w:p>
        </w:tc>
        <w:tc>
          <w:tcPr/>
          <w:p>
            <w:pPr>
              <w:pStyle w:val="Compact"/>
              <w:jc w:val="left"/>
            </w:pPr>
            <w:r>
              <w:t xml:space="preserve">A</w:t>
            </w:r>
          </w:p>
        </w:tc>
      </w:tr>
      <w:tr>
        <w:tc>
          <w:tcPr/>
          <w:p>
            <w:pPr>
              <w:pStyle w:val="Compact"/>
              <w:jc w:val="left"/>
            </w:pPr>
            <w:r>
              <w:t xml:space="preserve">14</w:t>
            </w:r>
          </w:p>
        </w:tc>
        <w:tc>
          <w:tcPr/>
          <w:p>
            <w:pPr>
              <w:pStyle w:val="Compact"/>
              <w:jc w:val="left"/>
            </w:pPr>
            <w:r>
              <w:t xml:space="preserve">C</w:t>
            </w:r>
          </w:p>
        </w:tc>
        <w:tc>
          <w:tcPr/>
          <w:p>
            <w:pPr>
              <w:pStyle w:val="Compact"/>
              <w:jc w:val="left"/>
            </w:pPr>
            <w:r>
              <w:t xml:space="preserve">34</w:t>
            </w:r>
          </w:p>
        </w:tc>
        <w:tc>
          <w:tcPr/>
          <w:p>
            <w:pPr>
              <w:pStyle w:val="Compact"/>
              <w:jc w:val="left"/>
            </w:pPr>
            <w:r>
              <w:t xml:space="preserve">B</w:t>
            </w:r>
          </w:p>
        </w:tc>
        <w:tc>
          <w:tcPr/>
          <w:p>
            <w:pPr>
              <w:pStyle w:val="Compact"/>
              <w:jc w:val="left"/>
            </w:pPr>
            <w:r>
              <w:t xml:space="preserve">54</w:t>
            </w:r>
          </w:p>
        </w:tc>
        <w:tc>
          <w:tcPr/>
          <w:p>
            <w:pPr>
              <w:pStyle w:val="Compact"/>
              <w:jc w:val="left"/>
            </w:pPr>
            <w:r>
              <w:t xml:space="preserve">E</w:t>
            </w:r>
          </w:p>
        </w:tc>
        <w:tc>
          <w:tcPr/>
          <w:p>
            <w:pPr>
              <w:pStyle w:val="Compact"/>
              <w:jc w:val="left"/>
            </w:pPr>
            <w:r>
              <w:t xml:space="preserve">74</w:t>
            </w:r>
          </w:p>
        </w:tc>
        <w:tc>
          <w:tcPr/>
          <w:p>
            <w:pPr>
              <w:pStyle w:val="Compact"/>
              <w:jc w:val="left"/>
            </w:pPr>
            <w:r>
              <w:t xml:space="preserve">E</w:t>
            </w:r>
          </w:p>
        </w:tc>
        <w:tc>
          <w:tcPr/>
          <w:p>
            <w:pPr>
              <w:pStyle w:val="Compact"/>
              <w:jc w:val="left"/>
            </w:pPr>
            <w:r>
              <w:t xml:space="preserve">94</w:t>
            </w:r>
          </w:p>
        </w:tc>
        <w:tc>
          <w:tcPr/>
          <w:p>
            <w:pPr>
              <w:pStyle w:val="Compact"/>
              <w:jc w:val="left"/>
            </w:pPr>
            <w:r>
              <w:t xml:space="preserve">B</w:t>
            </w:r>
          </w:p>
        </w:tc>
      </w:tr>
      <w:tr>
        <w:tc>
          <w:tcPr/>
          <w:p>
            <w:pPr>
              <w:pStyle w:val="Compact"/>
              <w:jc w:val="left"/>
            </w:pPr>
            <w:r>
              <w:t xml:space="preserve">15</w:t>
            </w:r>
          </w:p>
        </w:tc>
        <w:tc>
          <w:tcPr/>
          <w:p>
            <w:pPr>
              <w:pStyle w:val="Compact"/>
              <w:jc w:val="left"/>
            </w:pPr>
            <w:r>
              <w:t xml:space="preserve">A</w:t>
            </w:r>
          </w:p>
        </w:tc>
        <w:tc>
          <w:tcPr/>
          <w:p>
            <w:pPr>
              <w:pStyle w:val="Compact"/>
              <w:jc w:val="left"/>
            </w:pPr>
            <w:r>
              <w:t xml:space="preserve">35</w:t>
            </w:r>
          </w:p>
        </w:tc>
        <w:tc>
          <w:tcPr/>
          <w:p>
            <w:pPr>
              <w:pStyle w:val="Compact"/>
              <w:jc w:val="left"/>
            </w:pPr>
            <w:r>
              <w:t xml:space="preserve">B</w:t>
            </w:r>
          </w:p>
        </w:tc>
        <w:tc>
          <w:tcPr/>
          <w:p>
            <w:pPr>
              <w:pStyle w:val="Compact"/>
              <w:jc w:val="left"/>
            </w:pPr>
            <w:r>
              <w:t xml:space="preserve">55</w:t>
            </w:r>
          </w:p>
        </w:tc>
        <w:tc>
          <w:tcPr/>
          <w:p>
            <w:pPr>
              <w:pStyle w:val="Compact"/>
              <w:jc w:val="left"/>
            </w:pPr>
            <w:r>
              <w:t xml:space="preserve">A</w:t>
            </w:r>
          </w:p>
        </w:tc>
        <w:tc>
          <w:tcPr/>
          <w:p>
            <w:pPr>
              <w:pStyle w:val="Compact"/>
              <w:jc w:val="left"/>
            </w:pPr>
            <w:r>
              <w:t xml:space="preserve">75</w:t>
            </w:r>
          </w:p>
        </w:tc>
        <w:tc>
          <w:tcPr/>
          <w:p>
            <w:pPr>
              <w:pStyle w:val="Compact"/>
              <w:jc w:val="left"/>
            </w:pPr>
            <w:r>
              <w:t xml:space="preserve">C</w:t>
            </w:r>
          </w:p>
        </w:tc>
        <w:tc>
          <w:tcPr/>
          <w:p>
            <w:pPr>
              <w:pStyle w:val="Compact"/>
              <w:jc w:val="left"/>
            </w:pPr>
            <w:r>
              <w:t xml:space="preserve">95</w:t>
            </w:r>
          </w:p>
        </w:tc>
        <w:tc>
          <w:tcPr/>
          <w:p>
            <w:pPr>
              <w:pStyle w:val="Compact"/>
              <w:jc w:val="left"/>
            </w:pPr>
            <w:r>
              <w:t xml:space="preserve">D</w:t>
            </w:r>
          </w:p>
        </w:tc>
      </w:tr>
      <w:tr>
        <w:tc>
          <w:tcPr/>
          <w:p>
            <w:pPr>
              <w:pStyle w:val="Compact"/>
              <w:jc w:val="left"/>
            </w:pPr>
            <w:r>
              <w:t xml:space="preserve">16</w:t>
            </w:r>
          </w:p>
        </w:tc>
        <w:tc>
          <w:tcPr/>
          <w:p>
            <w:pPr>
              <w:pStyle w:val="Compact"/>
              <w:jc w:val="left"/>
            </w:pPr>
            <w:r>
              <w:t xml:space="preserve">C</w:t>
            </w:r>
          </w:p>
        </w:tc>
        <w:tc>
          <w:tcPr/>
          <w:p>
            <w:pPr>
              <w:pStyle w:val="Compact"/>
              <w:jc w:val="left"/>
            </w:pPr>
            <w:r>
              <w:t xml:space="preserve">36</w:t>
            </w:r>
          </w:p>
        </w:tc>
        <w:tc>
          <w:tcPr/>
          <w:p>
            <w:pPr>
              <w:pStyle w:val="Compact"/>
              <w:jc w:val="left"/>
            </w:pPr>
            <w:r>
              <w:t xml:space="preserve">D</w:t>
            </w:r>
          </w:p>
        </w:tc>
        <w:tc>
          <w:tcPr/>
          <w:p>
            <w:pPr>
              <w:pStyle w:val="Compact"/>
              <w:jc w:val="left"/>
            </w:pPr>
            <w:r>
              <w:t xml:space="preserve">56</w:t>
            </w:r>
          </w:p>
        </w:tc>
        <w:tc>
          <w:tcPr/>
          <w:p>
            <w:pPr>
              <w:pStyle w:val="Compact"/>
              <w:jc w:val="left"/>
            </w:pPr>
            <w:r>
              <w:t xml:space="preserve">D</w:t>
            </w:r>
          </w:p>
        </w:tc>
        <w:tc>
          <w:tcPr/>
          <w:p>
            <w:pPr>
              <w:pStyle w:val="Compact"/>
              <w:jc w:val="left"/>
            </w:pPr>
            <w:r>
              <w:t xml:space="preserve">76</w:t>
            </w:r>
          </w:p>
        </w:tc>
        <w:tc>
          <w:tcPr/>
          <w:p>
            <w:pPr>
              <w:pStyle w:val="Compact"/>
              <w:jc w:val="left"/>
            </w:pPr>
            <w:r>
              <w:t xml:space="preserve">B</w:t>
            </w:r>
          </w:p>
        </w:tc>
        <w:tc>
          <w:tcPr/>
          <w:p>
            <w:pPr>
              <w:pStyle w:val="Compact"/>
              <w:jc w:val="left"/>
            </w:pPr>
            <w:r>
              <w:t xml:space="preserve">96</w:t>
            </w:r>
          </w:p>
        </w:tc>
        <w:tc>
          <w:tcPr/>
          <w:p>
            <w:pPr>
              <w:pStyle w:val="Compact"/>
              <w:jc w:val="left"/>
            </w:pPr>
            <w:r>
              <w:t xml:space="preserve">B</w:t>
            </w:r>
          </w:p>
        </w:tc>
      </w:tr>
      <w:tr>
        <w:tc>
          <w:tcPr/>
          <w:p>
            <w:pPr>
              <w:pStyle w:val="Compact"/>
              <w:jc w:val="left"/>
            </w:pPr>
            <w:r>
              <w:t xml:space="preserve">17</w:t>
            </w:r>
          </w:p>
        </w:tc>
        <w:tc>
          <w:tcPr/>
          <w:p>
            <w:pPr>
              <w:pStyle w:val="Compact"/>
              <w:jc w:val="left"/>
            </w:pPr>
            <w:r>
              <w:t xml:space="preserve">E</w:t>
            </w:r>
          </w:p>
        </w:tc>
        <w:tc>
          <w:tcPr/>
          <w:p>
            <w:pPr>
              <w:pStyle w:val="Compact"/>
              <w:jc w:val="left"/>
            </w:pPr>
            <w:r>
              <w:t xml:space="preserve">37</w:t>
            </w:r>
          </w:p>
        </w:tc>
        <w:tc>
          <w:tcPr/>
          <w:p>
            <w:pPr>
              <w:pStyle w:val="Compact"/>
              <w:jc w:val="left"/>
            </w:pPr>
            <w:r>
              <w:t xml:space="preserve">A</w:t>
            </w:r>
          </w:p>
        </w:tc>
        <w:tc>
          <w:tcPr/>
          <w:p>
            <w:pPr>
              <w:pStyle w:val="Compact"/>
              <w:jc w:val="left"/>
            </w:pPr>
            <w:r>
              <w:t xml:space="preserve">57</w:t>
            </w:r>
          </w:p>
        </w:tc>
        <w:tc>
          <w:tcPr/>
          <w:p>
            <w:pPr>
              <w:pStyle w:val="Compact"/>
              <w:jc w:val="left"/>
            </w:pPr>
            <w:r>
              <w:t xml:space="preserve">B</w:t>
            </w:r>
          </w:p>
        </w:tc>
        <w:tc>
          <w:tcPr/>
          <w:p>
            <w:pPr>
              <w:pStyle w:val="Compact"/>
              <w:jc w:val="left"/>
            </w:pPr>
            <w:r>
              <w:t xml:space="preserve">77</w:t>
            </w:r>
          </w:p>
        </w:tc>
        <w:tc>
          <w:tcPr/>
          <w:p>
            <w:pPr>
              <w:pStyle w:val="Compact"/>
              <w:jc w:val="left"/>
            </w:pPr>
            <w:r>
              <w:t xml:space="preserve">D</w:t>
            </w:r>
          </w:p>
        </w:tc>
        <w:tc>
          <w:tcPr/>
          <w:p>
            <w:pPr>
              <w:pStyle w:val="Compact"/>
              <w:jc w:val="left"/>
            </w:pPr>
            <w:r>
              <w:t xml:space="preserve">97</w:t>
            </w:r>
          </w:p>
        </w:tc>
        <w:tc>
          <w:tcPr/>
          <w:p>
            <w:pPr>
              <w:pStyle w:val="Compact"/>
              <w:jc w:val="left"/>
            </w:pPr>
            <w:r>
              <w:t xml:space="preserve">C</w:t>
            </w:r>
          </w:p>
        </w:tc>
      </w:tr>
      <w:tr>
        <w:tc>
          <w:tcPr/>
          <w:p>
            <w:pPr>
              <w:pStyle w:val="Compact"/>
              <w:jc w:val="left"/>
            </w:pPr>
            <w:r>
              <w:t xml:space="preserve">18</w:t>
            </w:r>
          </w:p>
        </w:tc>
        <w:tc>
          <w:tcPr/>
          <w:p>
            <w:pPr>
              <w:pStyle w:val="Compact"/>
              <w:jc w:val="left"/>
            </w:pPr>
            <w:r>
              <w:t xml:space="preserve">A</w:t>
            </w:r>
          </w:p>
        </w:tc>
        <w:tc>
          <w:tcPr/>
          <w:p>
            <w:pPr>
              <w:pStyle w:val="Compact"/>
              <w:jc w:val="left"/>
            </w:pPr>
            <w:r>
              <w:t xml:space="preserve">38</w:t>
            </w:r>
          </w:p>
        </w:tc>
        <w:tc>
          <w:tcPr/>
          <w:p>
            <w:pPr>
              <w:pStyle w:val="Compact"/>
              <w:jc w:val="left"/>
            </w:pPr>
            <w:r>
              <w:t xml:space="preserve">D</w:t>
            </w:r>
          </w:p>
        </w:tc>
        <w:tc>
          <w:tcPr/>
          <w:p>
            <w:pPr>
              <w:pStyle w:val="Compact"/>
              <w:jc w:val="left"/>
            </w:pPr>
            <w:r>
              <w:t xml:space="preserve">58</w:t>
            </w:r>
          </w:p>
        </w:tc>
        <w:tc>
          <w:tcPr/>
          <w:p>
            <w:pPr>
              <w:pStyle w:val="Compact"/>
              <w:jc w:val="left"/>
            </w:pPr>
            <w:r>
              <w:t xml:space="preserve">E</w:t>
            </w:r>
          </w:p>
        </w:tc>
        <w:tc>
          <w:tcPr/>
          <w:p>
            <w:pPr>
              <w:pStyle w:val="Compact"/>
              <w:jc w:val="left"/>
            </w:pPr>
            <w:r>
              <w:t xml:space="preserve">78</w:t>
            </w:r>
          </w:p>
        </w:tc>
        <w:tc>
          <w:tcPr/>
          <w:p>
            <w:pPr>
              <w:pStyle w:val="Compact"/>
              <w:jc w:val="left"/>
            </w:pPr>
            <w:r>
              <w:t xml:space="preserve">A</w:t>
            </w:r>
          </w:p>
        </w:tc>
        <w:tc>
          <w:tcPr/>
          <w:p>
            <w:pPr>
              <w:pStyle w:val="Compact"/>
              <w:jc w:val="left"/>
            </w:pPr>
            <w:r>
              <w:t xml:space="preserve">98</w:t>
            </w:r>
          </w:p>
        </w:tc>
        <w:tc>
          <w:tcPr/>
          <w:p>
            <w:pPr>
              <w:pStyle w:val="Compact"/>
              <w:jc w:val="left"/>
            </w:pPr>
            <w:r>
              <w:t xml:space="preserve">C</w:t>
            </w:r>
          </w:p>
        </w:tc>
      </w:tr>
      <w:tr>
        <w:tc>
          <w:tcPr/>
          <w:p>
            <w:pPr>
              <w:pStyle w:val="Compact"/>
              <w:jc w:val="left"/>
            </w:pPr>
            <w:r>
              <w:t xml:space="preserve">19</w:t>
            </w:r>
          </w:p>
        </w:tc>
        <w:tc>
          <w:tcPr/>
          <w:p>
            <w:pPr>
              <w:pStyle w:val="Compact"/>
              <w:jc w:val="left"/>
            </w:pPr>
            <w:r>
              <w:t xml:space="preserve">C</w:t>
            </w:r>
          </w:p>
        </w:tc>
        <w:tc>
          <w:tcPr/>
          <w:p>
            <w:pPr>
              <w:pStyle w:val="Compact"/>
              <w:jc w:val="left"/>
            </w:pPr>
            <w:r>
              <w:t xml:space="preserve">39</w:t>
            </w:r>
          </w:p>
        </w:tc>
        <w:tc>
          <w:tcPr/>
          <w:p>
            <w:pPr>
              <w:pStyle w:val="Compact"/>
              <w:jc w:val="left"/>
            </w:pPr>
            <w:r>
              <w:t xml:space="preserve">B</w:t>
            </w:r>
          </w:p>
        </w:tc>
        <w:tc>
          <w:tcPr/>
          <w:p>
            <w:pPr>
              <w:pStyle w:val="Compact"/>
              <w:jc w:val="left"/>
            </w:pPr>
            <w:r>
              <w:t xml:space="preserve">59</w:t>
            </w:r>
          </w:p>
        </w:tc>
        <w:tc>
          <w:tcPr/>
          <w:p>
            <w:pPr>
              <w:pStyle w:val="Compact"/>
              <w:jc w:val="left"/>
            </w:pPr>
            <w:r>
              <w:t xml:space="preserve">C</w:t>
            </w:r>
          </w:p>
        </w:tc>
        <w:tc>
          <w:tcPr/>
          <w:p>
            <w:pPr>
              <w:pStyle w:val="Compact"/>
              <w:jc w:val="left"/>
            </w:pPr>
            <w:r>
              <w:t xml:space="preserve">79</w:t>
            </w:r>
          </w:p>
        </w:tc>
        <w:tc>
          <w:tcPr/>
          <w:p>
            <w:pPr>
              <w:pStyle w:val="Compact"/>
              <w:jc w:val="left"/>
            </w:pPr>
            <w:r>
              <w:t xml:space="preserve">E</w:t>
            </w:r>
          </w:p>
        </w:tc>
        <w:tc>
          <w:tcPr/>
          <w:p>
            <w:pPr>
              <w:pStyle w:val="Compact"/>
              <w:jc w:val="left"/>
            </w:pPr>
            <w:r>
              <w:t xml:space="preserve">99</w:t>
            </w:r>
          </w:p>
        </w:tc>
        <w:tc>
          <w:tcPr/>
          <w:p>
            <w:pPr>
              <w:pStyle w:val="Compact"/>
              <w:jc w:val="left"/>
            </w:pPr>
            <w:r>
              <w:t xml:space="preserve">D</w:t>
            </w:r>
          </w:p>
        </w:tc>
      </w:tr>
      <w:tr>
        <w:tc>
          <w:tcPr/>
          <w:p>
            <w:pPr>
              <w:pStyle w:val="Compact"/>
              <w:jc w:val="left"/>
            </w:pPr>
            <w:r>
              <w:t xml:space="preserve">20</w:t>
            </w:r>
          </w:p>
        </w:tc>
        <w:tc>
          <w:tcPr/>
          <w:p>
            <w:pPr>
              <w:pStyle w:val="Compact"/>
              <w:jc w:val="left"/>
            </w:pPr>
            <w:r>
              <w:t xml:space="preserve">E</w:t>
            </w:r>
          </w:p>
        </w:tc>
        <w:tc>
          <w:tcPr/>
          <w:p>
            <w:pPr>
              <w:pStyle w:val="Compact"/>
              <w:jc w:val="left"/>
            </w:pPr>
            <w:r>
              <w:t xml:space="preserve">40</w:t>
            </w:r>
          </w:p>
        </w:tc>
        <w:tc>
          <w:tcPr/>
          <w:p>
            <w:pPr>
              <w:pStyle w:val="Compact"/>
              <w:jc w:val="left"/>
            </w:pPr>
            <w:r>
              <w:t xml:space="preserve">E</w:t>
            </w:r>
          </w:p>
        </w:tc>
        <w:tc>
          <w:tcPr/>
          <w:p>
            <w:pPr>
              <w:pStyle w:val="Compact"/>
              <w:jc w:val="left"/>
            </w:pPr>
            <w:r>
              <w:t xml:space="preserve">60</w:t>
            </w:r>
          </w:p>
        </w:tc>
        <w:tc>
          <w:tcPr/>
          <w:p>
            <w:pPr>
              <w:pStyle w:val="Compact"/>
              <w:jc w:val="left"/>
            </w:pPr>
            <w:r>
              <w:t xml:space="preserve">D</w:t>
            </w:r>
          </w:p>
        </w:tc>
        <w:tc>
          <w:tcPr/>
          <w:p>
            <w:pPr>
              <w:pStyle w:val="Compact"/>
              <w:jc w:val="left"/>
            </w:pPr>
            <w:r>
              <w:t xml:space="preserve">80</w:t>
            </w:r>
          </w:p>
        </w:tc>
        <w:tc>
          <w:tcPr/>
          <w:p>
            <w:pPr>
              <w:pStyle w:val="Compact"/>
              <w:jc w:val="left"/>
            </w:pPr>
            <w:r>
              <w:t xml:space="preserve">B</w:t>
            </w:r>
          </w:p>
        </w:tc>
        <w:tc>
          <w:tcPr/>
          <w:p>
            <w:pPr>
              <w:pStyle w:val="Compact"/>
              <w:jc w:val="left"/>
            </w:pPr>
            <w:r>
              <w:t xml:space="preserve">100</w:t>
            </w:r>
          </w:p>
        </w:tc>
        <w:tc>
          <w:tcPr/>
          <w:p>
            <w:pPr>
              <w:pStyle w:val="Compact"/>
              <w:jc w:val="left"/>
            </w:pPr>
            <w:r>
              <w:t xml:space="preserve">A</w:t>
            </w:r>
          </w:p>
        </w:tc>
      </w:tr>
    </w:tbl>
    <w:p>
      <w:pPr>
        <w:pStyle w:val="BodyText"/>
      </w:pPr>
      <w:r>
        <w:t xml:space="preserve">Harf dağılımı: A 20 · B 20 · C 20 · D 20 · E 20</w:t>
      </w:r>
    </w:p>
    <w:bookmarkEnd w:id="20"/>
    <w:bookmarkStart w:id="21" w:name="denemenin-yapısı"/>
    <w:p>
      <w:pPr>
        <w:pStyle w:val="Heading3"/>
      </w:pPr>
      <w:r>
        <w:t xml:space="preserve">2. Denemenin yapısı</w:t>
      </w:r>
    </w:p>
    <w:p>
      <w:pPr>
        <w:pStyle w:val="FirstParagraph"/>
      </w:pPr>
      <w:r>
        <w:rPr>
          <w:bCs/>
          <w:b/>
        </w:rPr>
        <w:t xml:space="preserve">Blok düzeni:</w:t>
      </w:r>
      <w:r>
        <w:t xml:space="preserve"> </w:t>
      </w:r>
      <w:r>
        <w:t xml:space="preserve">1–72 Sözel (GM + Sair) · 73–89 Tarife · 90–100 Hesap</w:t>
      </w:r>
    </w:p>
    <w:p>
      <w:pPr>
        <w:pStyle w:val="BodyText"/>
      </w:pPr>
      <w:r>
        <w:rPr>
          <w:bCs/>
          <w:b/>
        </w:rPr>
        <w:t xml:space="preserve">Alt tip dağılımı:</w:t>
      </w:r>
      <w:r>
        <w:t xml:space="preserve"> </w:t>
      </w:r>
      <w:r>
        <w:t xml:space="preserve">O1 13 · O2 13 · O4 7 · Ö3 6 · Ö1 5 · G1 5 · D3 5 · E1 4 · D5 4 · Ö2 3 · K1 3 · B2 3 · D2 3 · D4 3 · H3 3 · D1 2 · V2 2 · D6 2 · V4 2 · H6 2 · H1 2 · B1 1 · G2 1 · O3 1 · Ö4 1 · H4 1 · H5 1 · H2 1 · H8 1</w:t>
      </w:r>
    </w:p>
    <w:p>
      <w:pPr>
        <w:pStyle w:val="BodyText"/>
      </w:pPr>
      <w:r>
        <w:rPr>
          <w:bCs/>
          <w:b/>
        </w:rPr>
        <w:t xml:space="preserve">Konu dağılımı:</w:t>
      </w:r>
      <w:r>
        <w:t xml:space="preserve"> </w:t>
      </w:r>
      <w:r>
        <w:t xml:space="preserve">Hesap 11 · Tarife – fasıl/pozisyon kapsamı 7 · Tercihli ticaret, menşe belgeleri 5 · Transit 4 · Antrepo 4 · İhracat rejimi 3 · Muafiyetler 3 · Gümrük kıymeti 3 · Kambiyo 3 · 5607 Kaçakçılık 3 · YYS, yerinde gümrükleme 3 · Tarife – GTİP yapısı, HS, 474 3 · Tarife – notlar, izahname 3 · Özet beyan, geçici depolama 2 · Gümrük beyanı, muayene 2 · Incoterms, ödeme şekilleri 2 · Geçici ithalat 2 · Geri gelen eşya 2 · DTÖ, TFA, DGÖ 2 · TIR, ATA 2 · ÖTV 2 · Damga vergisi, KKDF 2 · Yükümlülük, teminat, tecil 2 · Cezalar, uzlaşma, itiraz 2 · Gümrük müşavirliği, temsil 2 · Ürün güvenliği, TAREKS 2 · Tarife – GYKK 2 · Tarife – tanımı verilen eşya 2 · Serbest dolaşım, nihai kullanım 1 · Dahilde işleme 1 · Hariçte işleme / GKAİR 1 · İhracat (gümrük) 1 · İthalat rejimi 1 · DİR (Ticaret) 1 · Menşe, BTB/BMB 1 · Posta ve hızlı kargo 1 · Akaryakıt, kumanya 1 · GSM, sınır ticareti, serbest bölge 1 · KDV 1 · Geri verme – kaldırma 1 · Tasfiye 1 · Fikri ve sınai haklar 1 · Ticaret politikası önlemleri 1</w:t>
      </w:r>
    </w:p>
    <w:p>
      <w:pPr>
        <w:pStyle w:val="BodyText"/>
      </w:pPr>
      <w:r>
        <w:t xml:space="preserve">Alt tip kodları için:</w:t>
      </w:r>
      <w:r>
        <w:t xml:space="preserve"> </w:t>
      </w:r>
      <w:r>
        <w:rPr>
          <w:rStyle w:val="VerbatimChar"/>
        </w:rPr>
        <w:t xml:space="preserve">00-SORU-YAZARI-ANALIZI-VE-PROMPTLAR/12-SORU-TIPI-KATALOGU</w:t>
      </w:r>
      <w:r>
        <w:t xml:space="preserve">.</w:t>
      </w:r>
    </w:p>
    <w:bookmarkEnd w:id="21"/>
    <w:bookmarkStart w:id="122" w:name="açıklamalı-çözümler"/>
    <w:p>
      <w:pPr>
        <w:pStyle w:val="Heading3"/>
      </w:pPr>
      <w:r>
        <w:t xml:space="preserve">3. Açıklamalı çözümler</w:t>
      </w:r>
    </w:p>
    <w:bookmarkStart w:id="22" w:name="soru-cevap-a"/>
    <w:p>
      <w:pPr>
        <w:pStyle w:val="Heading4"/>
      </w:pPr>
      <w:r>
        <w:t xml:space="preserve">1. soru — Cevap: A</w:t>
      </w:r>
    </w:p>
    <w:p>
      <w:pPr>
        <w:pStyle w:val="FirstParagraph"/>
      </w:pPr>
      <w:r>
        <w:rPr>
          <w:iCs/>
          <w:i/>
        </w:rPr>
        <w:t xml:space="preserve">GM · Özet beyan, geçici depolama · Ö1</w:t>
      </w:r>
    </w:p>
    <w:p>
      <w:pPr>
        <w:pStyle w:val="BodyText"/>
      </w:pPr>
      <w:r>
        <w:rPr>
          <w:bCs/>
          <w:b/>
        </w:rPr>
        <w:t xml:space="preserve">Doğru şık:</w:t>
      </w:r>
      <w:r>
        <w:t xml:space="preserve"> </w:t>
      </w:r>
      <w:r>
        <w:t xml:space="preserve">A) I ve II</w:t>
      </w:r>
    </w:p>
    <w:p>
      <w:pPr>
        <w:pStyle w:val="BodyText"/>
      </w:pPr>
      <w:r>
        <w:t xml:space="preserve">Çıkış özet beyanında risk analizi sonucunda eşyanın Türkiye Gümrük Bölgesini terk etmesine izin verilemeyeceği anlaşılırsa beyanı veren kişiye bildirim yapılır; çıkış özet beyanı, eşyayı Türkiye Gümrük Bölgesi dışına çıkaran veya taşıma sorumluluğunu üstlenen kişi, eşyayı yetkili gümrük idaresine sunabilen ve sunulmasını sağlayan kişi ya da bunların temsilcileri tarafından verilir (I ve II doğru). Çıkış bildirimi, taşıtın işleticisi veya temsilcisi tarafından taşıt Türkiye Gümrük Bölgesini terk ettiği ana kadar verilir; terk ettikten sonra verilmesi Gümrük Kanununun 241 inci maddesinin birinci fıkrası uyarınca usulsüzlük cezasını gerektirir (III yanlış). Çıkış bildirimi taşıtta taşınan tüm eşyayı kapsar ve gümrük beyannamesi, beyanname yerine geçen belge veya özet beyanın tespiti için gerekli bilgiler ile taşımaya ilişkin bilgileri içerir (IV yanlış).</w:t>
      </w:r>
    </w:p>
    <w:p>
      <w:pPr>
        <w:pStyle w:val="BodyText"/>
      </w:pPr>
      <w:r>
        <w:rPr>
          <w:bCs/>
          <w:b/>
        </w:rPr>
        <w:t xml:space="preserve">Tuzak:</w:t>
      </w:r>
      <w:r>
        <w:t xml:space="preserve"> </w:t>
      </w:r>
      <w:r>
        <w:t xml:space="preserve">Çıkış bildirimini, taşıt ayrıldıktan sonra verilen bir kapanış bildirimi sanmak.</w:t>
      </w:r>
    </w:p>
    <w:p>
      <w:pPr>
        <w:pStyle w:val="BodyText"/>
      </w:pPr>
      <w:r>
        <w:rPr>
          <w:bCs/>
          <w:b/>
        </w:rPr>
        <w:t xml:space="preserve">Dayanak:</w:t>
      </w:r>
      <w:r>
        <w:t xml:space="preserve"> </w:t>
      </w:r>
      <w:r>
        <w:t xml:space="preserve">Gümrük Yönetmeliği çıkış özet beyanı ve çıkış bildirimi hükümleri; 4458 sayılı Gümrük Kanunu md. 241/1</w:t>
      </w:r>
    </w:p>
    <w:bookmarkEnd w:id="22"/>
    <w:bookmarkStart w:id="23" w:name="soru-cevap-d"/>
    <w:p>
      <w:pPr>
        <w:pStyle w:val="Heading4"/>
      </w:pPr>
      <w:r>
        <w:t xml:space="preserve">2. soru — Cevap: D</w:t>
      </w:r>
    </w:p>
    <w:p>
      <w:pPr>
        <w:pStyle w:val="FirstParagraph"/>
      </w:pPr>
      <w:r>
        <w:rPr>
          <w:iCs/>
          <w:i/>
        </w:rPr>
        <w:t xml:space="preserve">GM · Özet beyan, geçici depolama · D1</w:t>
      </w:r>
    </w:p>
    <w:p>
      <w:pPr>
        <w:pStyle w:val="BodyText"/>
      </w:pPr>
      <w:r>
        <w:rPr>
          <w:bCs/>
          <w:b/>
        </w:rPr>
        <w:t xml:space="preserve">Doğru şık:</w:t>
      </w:r>
      <w:r>
        <w:t xml:space="preserve"> </w:t>
      </w:r>
      <w:r>
        <w:t xml:space="preserve">D) 30 gün</w:t>
      </w:r>
    </w:p>
    <w:p>
      <w:pPr>
        <w:pStyle w:val="BodyText"/>
      </w:pPr>
      <w:r>
        <w:t xml:space="preserve">Gümrük Yönetmeliğinin 85 inci maddesine göre mahkemesince iadesine karar verilen eşya, kararın kesinleşmesini müteakip yapılan tebligat tarihinden itibaren geçici depolanan eşya statüsüne girer; eşya serbest dolaşımda değilse otuz gün içinde gümrükçe onaylanmış bir işlem veya kullanım tayin edilerek işlemleri tamamlanır, serbest dolaşımdaysa aynı süre içinde teslim alınır; bu süreler içinde işlem yapılmazsa eşya tasfiye edilir. Yirmi ve kırk beş gün Gümrük Kanununun 46 ncı maddesindeki genel süreler, on gün tasfiye listesinin düzenlenme süresi, on beş gün ise itiraz ve ödeme sürelerinde geçen değerdir.</w:t>
      </w:r>
    </w:p>
    <w:p>
      <w:pPr>
        <w:pStyle w:val="BodyText"/>
      </w:pPr>
      <w:r>
        <w:rPr>
          <w:bCs/>
          <w:b/>
        </w:rPr>
        <w:t xml:space="preserve">Tuzak:</w:t>
      </w:r>
      <w:r>
        <w:t xml:space="preserve"> </w:t>
      </w:r>
      <w:r>
        <w:t xml:space="preserve">Eşyanın geliş yoluna göre Gümrük Kanunundaki genel kırk beş ve yirmi günlük sürelerin uygulanacağını düşünmek.</w:t>
      </w:r>
    </w:p>
    <w:p>
      <w:pPr>
        <w:pStyle w:val="BodyText"/>
      </w:pPr>
      <w:r>
        <w:rPr>
          <w:bCs/>
          <w:b/>
        </w:rPr>
        <w:t xml:space="preserve">Dayanak:</w:t>
      </w:r>
      <w:r>
        <w:t xml:space="preserve"> </w:t>
      </w:r>
      <w:r>
        <w:t xml:space="preserve">Gümrük Yönetmeliği md. 85</w:t>
      </w:r>
    </w:p>
    <w:bookmarkEnd w:id="23"/>
    <w:bookmarkStart w:id="24" w:name="soru-cevap-b"/>
    <w:p>
      <w:pPr>
        <w:pStyle w:val="Heading4"/>
      </w:pPr>
      <w:r>
        <w:t xml:space="preserve">3. soru — Cevap: B</w:t>
      </w:r>
    </w:p>
    <w:p>
      <w:pPr>
        <w:pStyle w:val="FirstParagraph"/>
      </w:pPr>
      <w:r>
        <w:rPr>
          <w:iCs/>
          <w:i/>
        </w:rPr>
        <w:t xml:space="preserve">GM · Gümrük beyanı, muayene · Ö2</w:t>
      </w:r>
    </w:p>
    <w:p>
      <w:pPr>
        <w:pStyle w:val="BodyText"/>
      </w:pPr>
      <w:r>
        <w:rPr>
          <w:bCs/>
          <w:b/>
        </w:rPr>
        <w:t xml:space="preserve">Doğru şık:</w:t>
      </w:r>
      <w:r>
        <w:t xml:space="preserve"> </w:t>
      </w:r>
      <w:r>
        <w:t xml:space="preserve">B) II ve IV</w:t>
      </w:r>
    </w:p>
    <w:p>
      <w:pPr>
        <w:pStyle w:val="BodyText"/>
      </w:pPr>
      <w:r>
        <w:t xml:space="preserve">Tamamlayıcı beyan ile basitleştirilmiş usulle yapılan ilk beyan bir bütündür; tamamlayıcı beyan, basitleştirilmiş işlemlere ilişkin beyannamenin ya da ticari veya idari belgenin tescil edildiği veya tescil hükmündeki kaydın yapıldığı tarihten itibaren hüküm ifade eder. Bu nedenle I doğru, II yanlıştır. Basitleştirilmiş usulle yapılan beyan gerekli bütün bilgi ve belgeleri içeriyorsa ya da daha önce gümrük beyannamesi verilmişse tamamlayıcı beyan aranmaz (IV yanlış). Basitleştirilmiş usulde eksiklikler verilen sürede tamamlanmazsa vergiler ertelenmez (GK md. 199) ve tamamlayıcı beyan genel, dönemsel ya da özet nitelikte olabilir (III ve V doğru).</w:t>
      </w:r>
    </w:p>
    <w:p>
      <w:pPr>
        <w:pStyle w:val="BodyText"/>
      </w:pPr>
      <w:r>
        <w:rPr>
          <w:bCs/>
          <w:b/>
        </w:rPr>
        <w:t xml:space="preserve">Tuzak:</w:t>
      </w:r>
      <w:r>
        <w:t xml:space="preserve"> </w:t>
      </w:r>
      <w:r>
        <w:t xml:space="preserve">Tamamlayıcı beyanı ilk beyandan bağımsız, verildiği gün hüküm doğuran ayrı bir beyan sanmak.</w:t>
      </w:r>
    </w:p>
    <w:p>
      <w:pPr>
        <w:pStyle w:val="BodyText"/>
      </w:pPr>
      <w:r>
        <w:rPr>
          <w:bCs/>
          <w:b/>
        </w:rPr>
        <w:t xml:space="preserve">Dayanak:</w:t>
      </w:r>
      <w:r>
        <w:t xml:space="preserve"> </w:t>
      </w:r>
      <w:r>
        <w:t xml:space="preserve">4458 sayılı Gümrük Kanunu md. 199; Gümrük Yönetmeliği basitleştirilmiş usuller ve tamamlayıcı beyan hükümleri; Gümrük Genel Tebliği (Gümrük İşlemleri) (Seri No: 16) md. 18</w:t>
      </w:r>
    </w:p>
    <w:bookmarkEnd w:id="24"/>
    <w:bookmarkStart w:id="25" w:name="soru-cevap-e"/>
    <w:p>
      <w:pPr>
        <w:pStyle w:val="Heading4"/>
      </w:pPr>
      <w:r>
        <w:t xml:space="preserve">4. soru — Cevap: E</w:t>
      </w:r>
    </w:p>
    <w:p>
      <w:pPr>
        <w:pStyle w:val="FirstParagraph"/>
      </w:pPr>
      <w:r>
        <w:rPr>
          <w:iCs/>
          <w:i/>
        </w:rPr>
        <w:t xml:space="preserve">GM · Gümrük beyanı, muayene · K1</w:t>
      </w:r>
    </w:p>
    <w:p>
      <w:pPr>
        <w:pStyle w:val="BodyText"/>
      </w:pPr>
      <w:r>
        <w:rPr>
          <w:bCs/>
          <w:b/>
        </w:rPr>
        <w:t xml:space="preserve">Doğru şık:</w:t>
      </w:r>
      <w:r>
        <w:t xml:space="preserve"> </w:t>
      </w:r>
      <w:r>
        <w:t xml:space="preserve">E) Yaygın basitleştirilmiş usul</w:t>
      </w:r>
    </w:p>
    <w:p>
      <w:pPr>
        <w:pStyle w:val="BodyText"/>
      </w:pPr>
      <w:r>
        <w:t xml:space="preserve">Seri No: 16 Tebliğin tanımlar maddesinde yaygın basitleştirilmiş usul; özellikleri nedeniyle geçici depolama yerleri veya gümrük antrepolarına alınmayan eşyanın sahiplerine tesliminden sonra buna ilişkin gümrük işlemlerinin tamamlanması olarak tanımlanmış, bu usul beyannamede BS-3 koduyla talep edilir. Eksik beyan ile beyanname yerine ticari veya idari belge ile beyan, beyanın içeriğine ve şekline ilişkin ayrı basitleştirmelerdir; varış öncesi gümrükleme işlemlerin eşya gelmeden başlatılmasını, yerinde gümrükleme ise işlemlerin yükümlünün tesisinde yapılmasını ifade eder.</w:t>
      </w:r>
    </w:p>
    <w:p>
      <w:pPr>
        <w:pStyle w:val="BodyText"/>
      </w:pPr>
      <w:r>
        <w:rPr>
          <w:bCs/>
          <w:b/>
        </w:rPr>
        <w:t xml:space="preserve">Tuzak:</w:t>
      </w:r>
      <w:r>
        <w:t xml:space="preserve"> </w:t>
      </w:r>
      <w:r>
        <w:t xml:space="preserve">Tanımdaki</w:t>
      </w:r>
      <w:r>
        <w:t xml:space="preserve"> </w:t>
      </w:r>
      <w:r>
        <w:t xml:space="preserve">“</w:t>
      </w:r>
      <w:r>
        <w:t xml:space="preserve">teslimden sonra işlemlerin tamamlanması</w:t>
      </w:r>
      <w:r>
        <w:t xml:space="preserve">”</w:t>
      </w:r>
      <w:r>
        <w:t xml:space="preserve"> </w:t>
      </w:r>
      <w:r>
        <w:t xml:space="preserve">unsurunu eksik beyanla eşya teslimiyle özdeşleştirmek.</w:t>
      </w:r>
    </w:p>
    <w:p>
      <w:pPr>
        <w:pStyle w:val="BodyText"/>
      </w:pPr>
      <w:r>
        <w:rPr>
          <w:bCs/>
          <w:b/>
        </w:rPr>
        <w:t xml:space="preserve">Dayanak:</w:t>
      </w:r>
      <w:r>
        <w:t xml:space="preserve"> </w:t>
      </w:r>
      <w:r>
        <w:t xml:space="preserve">Gümrük Genel Tebliği (Gümrük İşlemleri) (Seri No: 16) md. 2/c, md. 4</w:t>
      </w:r>
    </w:p>
    <w:bookmarkEnd w:id="25"/>
    <w:bookmarkStart w:id="26" w:name="soru-cevap-e-1"/>
    <w:p>
      <w:pPr>
        <w:pStyle w:val="Heading4"/>
      </w:pPr>
      <w:r>
        <w:t xml:space="preserve">5. soru — Cevap: E</w:t>
      </w:r>
    </w:p>
    <w:p>
      <w:pPr>
        <w:pStyle w:val="FirstParagraph"/>
      </w:pPr>
      <w:r>
        <w:rPr>
          <w:iCs/>
          <w:i/>
        </w:rPr>
        <w:t xml:space="preserve">GM · Serbest dolaşım, nihai kullanım · O1</w:t>
      </w:r>
    </w:p>
    <w:p>
      <w:pPr>
        <w:pStyle w:val="BodyText"/>
      </w:pPr>
      <w:r>
        <w:rPr>
          <w:bCs/>
          <w:b/>
        </w:rPr>
        <w:t xml:space="preserve">Doğru şık:</w:t>
      </w:r>
      <w:r>
        <w:t xml:space="preserve"> </w:t>
      </w:r>
      <w:r>
        <w:t xml:space="preserve">E) Çabuk bozulabilir nitelikteki taze sebze ve meyveler</w:t>
      </w:r>
    </w:p>
    <w:p>
      <w:pPr>
        <w:pStyle w:val="BodyText"/>
      </w:pPr>
      <w:r>
        <w:t xml:space="preserve">Tebliğin 11 inci maddesi özel kuruluşlara hemen teslim edilebilecek eşyayı sayar: Türkiye Atom Enerjisi Kurumunun uygunluk yazısı bulunan radyoaktif maddeler, her türlü aşılar, belli fiziksel koşullarda korunması zorunlu tıbbi ürünler, acil ameliyatlarda kullanılan protezler, belirli ısıda korunması gereken tahlil kitleri, yurt dışında periyodik yayımlanan gazete ve dergiler, tüp bebek solüsyonları, canlı hayvanlar ile uçak ve gemilerin tamiri için acilen gereken yedek parça ve aletler. Çabuk bozulabilen taze sebze ve meyveler bu listede yer almaz.</w:t>
      </w:r>
    </w:p>
    <w:p>
      <w:pPr>
        <w:pStyle w:val="BodyText"/>
      </w:pPr>
      <w:r>
        <w:rPr>
          <w:bCs/>
          <w:b/>
        </w:rPr>
        <w:t xml:space="preserve">Tuzak:</w:t>
      </w:r>
      <w:r>
        <w:t xml:space="preserve"> </w:t>
      </w:r>
      <w:r>
        <w:t xml:space="preserve">Bekletilemeyen her eşyanın listede olduğunu düşünen aday çabuk bozulan sebze ve meyveyi de listede sanır ve listede gerçekten yer alan tüp bebek solüsyonu ya da uçak-gemi yedek parçası gibi bir öğeyi işaretler.</w:t>
      </w:r>
    </w:p>
    <w:p>
      <w:pPr>
        <w:pStyle w:val="BodyText"/>
      </w:pPr>
      <w:r>
        <w:rPr>
          <w:bCs/>
          <w:b/>
        </w:rPr>
        <w:t xml:space="preserve">Dayanak:</w:t>
      </w:r>
      <w:r>
        <w:t xml:space="preserve"> </w:t>
      </w:r>
      <w:r>
        <w:t xml:space="preserve">Gümrük Genel Tebliği (Gümrük İşlemleri) Seri No: 16 md. 11</w:t>
      </w:r>
    </w:p>
    <w:bookmarkEnd w:id="26"/>
    <w:bookmarkStart w:id="27" w:name="soru-cevap-a-1"/>
    <w:p>
      <w:pPr>
        <w:pStyle w:val="Heading4"/>
      </w:pPr>
      <w:r>
        <w:t xml:space="preserve">6. soru — Cevap: A</w:t>
      </w:r>
    </w:p>
    <w:p>
      <w:pPr>
        <w:pStyle w:val="FirstParagraph"/>
      </w:pPr>
      <w:r>
        <w:rPr>
          <w:iCs/>
          <w:i/>
        </w:rPr>
        <w:t xml:space="preserve">GM · Transit · B2</w:t>
      </w:r>
    </w:p>
    <w:p>
      <w:pPr>
        <w:pStyle w:val="BodyText"/>
      </w:pPr>
      <w:r>
        <w:rPr>
          <w:bCs/>
          <w:b/>
        </w:rPr>
        <w:t xml:space="preserve">Doğru şık:</w:t>
      </w:r>
      <w:r>
        <w:t xml:space="preserve"> </w:t>
      </w:r>
      <w:r>
        <w:t xml:space="preserve">A) üç – 30 – 90</w:t>
      </w:r>
    </w:p>
    <w:p>
      <w:pPr>
        <w:pStyle w:val="BodyText"/>
      </w:pPr>
      <w:r>
        <w:t xml:space="preserve">Seri No: 14 Tebliğe göre izinli gönderici yetkisi süresizdir; yenileme başvurusu yetkilendirmenin yapıldığı takvim yılını izleyen her üç yılın son ayında ya da Genel Müdürlük talep ederse yapılır. Genel Müdürlüğün talebi üzerine tebligattan itibaren 30 gün içinde yenileme yapılmazsa yetki askıya alınır; askıya alma işleminden itibaren 90 gün içinde başvuru yenilenmezse yetki iptal edilir. Diğer seçenekler yenileme periyodunu (iki/beş yıl) ya da askı ve iptal sürelerini (15/60 gün) kaydırmaktadır.</w:t>
      </w:r>
    </w:p>
    <w:p>
      <w:pPr>
        <w:pStyle w:val="BodyText"/>
      </w:pPr>
      <w:r>
        <w:rPr>
          <w:bCs/>
          <w:b/>
        </w:rPr>
        <w:t xml:space="preserve">Tuzak:</w:t>
      </w:r>
      <w:r>
        <w:t xml:space="preserve"> </w:t>
      </w:r>
      <w:r>
        <w:t xml:space="preserve">Askıya almaya bağlanan 30 günü iptal süresiyle karıştırıp iptal için 60 günü seçmek.</w:t>
      </w:r>
    </w:p>
    <w:p>
      <w:pPr>
        <w:pStyle w:val="BodyText"/>
      </w:pPr>
      <w:r>
        <w:rPr>
          <w:bCs/>
          <w:b/>
        </w:rPr>
        <w:t xml:space="preserve">Dayanak:</w:t>
      </w:r>
      <w:r>
        <w:t xml:space="preserve"> </w:t>
      </w:r>
      <w:r>
        <w:t xml:space="preserve">Gümrük Genel Tebliği (Transit Rejimi) (Seri No: 14) md. 5/4, md. 8/1-b, md. 9/1-b</w:t>
      </w:r>
    </w:p>
    <w:bookmarkEnd w:id="27"/>
    <w:bookmarkStart w:id="28" w:name="soru-cevap-e-2"/>
    <w:p>
      <w:pPr>
        <w:pStyle w:val="Heading4"/>
      </w:pPr>
      <w:r>
        <w:t xml:space="preserve">7. soru — Cevap: E</w:t>
      </w:r>
    </w:p>
    <w:p>
      <w:pPr>
        <w:pStyle w:val="FirstParagraph"/>
      </w:pPr>
      <w:r>
        <w:rPr>
          <w:iCs/>
          <w:i/>
        </w:rPr>
        <w:t xml:space="preserve">GM · Transit · V2</w:t>
      </w:r>
    </w:p>
    <w:p>
      <w:pPr>
        <w:pStyle w:val="BodyText"/>
      </w:pPr>
      <w:r>
        <w:rPr>
          <w:bCs/>
          <w:b/>
        </w:rPr>
        <w:t xml:space="preserve">Doğru şık:</w:t>
      </w:r>
      <w:r>
        <w:t xml:space="preserve"> </w:t>
      </w:r>
      <w:r>
        <w:t xml:space="preserve">E) Gümrük idaresinde mevcut transit refakat belgelerine yeni mühür numarası (A) firması tarafından elle yazılır ve izinli gönderici kaşesi vurulur.</w:t>
      </w:r>
    </w:p>
    <w:p>
      <w:pPr>
        <w:pStyle w:val="BodyText"/>
      </w:pPr>
      <w:r>
        <w:t xml:space="preserve">Seri No: 14 Tebliğe göre izinli gönderici tesisinden çıkış yapıldıktan sonra antrepodan serbest dolaşımda olmayan eşya alınabilir; bu durumda mühür sökme ve yeni mühür tatbiki ile transit refakat belgesine yeni mühür numarasının elle yazılması yetkilendirilmiş gümrük müşaviri veya antrepoda görevli gümrük memurunca yapılır. Gümrük idaresinden eşya alındığında mühür işlemleri de refakat belgesine yeni mühür numarasının yazılması da gümrük idaresince yapılır. Refakat belgesine yeni mühür numarasının izinli gönderici tarafından elle yazılıp kaşe vurulması, tesise mühürlü gelen araçlara özgü bir usuldür; yolda gümrük idaresinden eşya alınmasında uygulanmaz.</w:t>
      </w:r>
    </w:p>
    <w:p>
      <w:pPr>
        <w:pStyle w:val="BodyText"/>
      </w:pPr>
      <w:r>
        <w:rPr>
          <w:bCs/>
          <w:b/>
        </w:rPr>
        <w:t xml:space="preserve">Tuzak:</w:t>
      </w:r>
      <w:r>
        <w:t xml:space="preserve"> </w:t>
      </w:r>
      <w:r>
        <w:t xml:space="preserve">Tesise mühürlü gelen araçlar için izinli göndericiye tanınan elle yazma ve kaşe vurma yetkisini yol üzerindeki gümrük idaresine taşımak.</w:t>
      </w:r>
    </w:p>
    <w:p>
      <w:pPr>
        <w:pStyle w:val="BodyText"/>
      </w:pPr>
      <w:r>
        <w:rPr>
          <w:bCs/>
          <w:b/>
        </w:rPr>
        <w:t xml:space="preserve">Dayanak:</w:t>
      </w:r>
      <w:r>
        <w:t xml:space="preserve"> </w:t>
      </w:r>
      <w:r>
        <w:t xml:space="preserve">Gümrük Genel Tebliği (Transit Rejimi) (Seri No: 14) md. 16, md. 17, md. 14/3</w:t>
      </w:r>
    </w:p>
    <w:bookmarkEnd w:id="28"/>
    <w:bookmarkStart w:id="29" w:name="soru-cevap-e-3"/>
    <w:p>
      <w:pPr>
        <w:pStyle w:val="Heading4"/>
      </w:pPr>
      <w:r>
        <w:t xml:space="preserve">8. soru — Cevap: E</w:t>
      </w:r>
    </w:p>
    <w:p>
      <w:pPr>
        <w:pStyle w:val="FirstParagraph"/>
      </w:pPr>
      <w:r>
        <w:rPr>
          <w:iCs/>
          <w:i/>
        </w:rPr>
        <w:t xml:space="preserve">GM · Transit · O1</w:t>
      </w:r>
    </w:p>
    <w:p>
      <w:pPr>
        <w:pStyle w:val="BodyText"/>
      </w:pPr>
      <w:r>
        <w:rPr>
          <w:bCs/>
          <w:b/>
        </w:rPr>
        <w:t xml:space="preserve">Doğru şık:</w:t>
      </w:r>
      <w:r>
        <w:t xml:space="preserve"> </w:t>
      </w:r>
      <w:r>
        <w:t xml:space="preserve">E) Kefil</w:t>
      </w:r>
    </w:p>
    <w:p>
      <w:pPr>
        <w:pStyle w:val="BodyText"/>
      </w:pPr>
      <w:r>
        <w:t xml:space="preserve">Transit Tebliğine göre eşyanın transit rejiminden mevzuata aykırı olarak çıkarılması durumunda gümrük yükümlülüğünü yerine getirmekle sorumlu olabilecek kişiler; rejim hak sahibi, eşyayı rejimden çıkaran kişi, böyle bir çıkarmaya iştirak eden ve eşyanın rejimden çıkarılmakta olduğunu bilen veya makul olarak bilmesi gereken kişiler ile eşyayı edinen veya bulunduran ve edindiği ya da aldığı zaman eşyanın rejimden çıkarılmış olduğunu bilen veya makul olarak bilmesi gereken kişilerdir. Kefil bu kişiler arasında sayılmamıştır; kefilin yükümlülüğü verdiği teminat mektubunda belirtilen azami tutarla sınırlı bir teminat yükümlülüğüdür.</w:t>
      </w:r>
    </w:p>
    <w:p>
      <w:pPr>
        <w:pStyle w:val="BodyText"/>
      </w:pPr>
      <w:r>
        <w:rPr>
          <w:bCs/>
          <w:b/>
        </w:rPr>
        <w:t xml:space="preserve">Tuzak:</w:t>
      </w:r>
      <w:r>
        <w:t xml:space="preserve"> </w:t>
      </w:r>
      <w:r>
        <w:t xml:space="preserve">Teminatı veren kefili de rejimden aykırı çıkarmada gümrük yükümlülüğünün doğrudan sorumlusu saymak ya da eşyayı fiilen çıkarmayan rejim hak sahibinin sorumlu tutulamayacağını düşünmek.</w:t>
      </w:r>
    </w:p>
    <w:p>
      <w:pPr>
        <w:pStyle w:val="BodyText"/>
      </w:pPr>
      <w:r>
        <w:rPr>
          <w:bCs/>
          <w:b/>
        </w:rPr>
        <w:t xml:space="preserve">Dayanak:</w:t>
      </w:r>
      <w:r>
        <w:t xml:space="preserve"> </w:t>
      </w:r>
      <w:r>
        <w:t xml:space="preserve">Gümrük Genel Tebliği (Transit Rejimi) (Seri No: 4) – eşyanın transit rejiminden mevzuata aykırı olarak çıkarılması hâlinde gümrük yükümlülüğünden sorumlu kişiler</w:t>
      </w:r>
    </w:p>
    <w:bookmarkEnd w:id="29"/>
    <w:bookmarkStart w:id="30" w:name="soru-cevap-e-4"/>
    <w:p>
      <w:pPr>
        <w:pStyle w:val="Heading4"/>
      </w:pPr>
      <w:r>
        <w:t xml:space="preserve">9. soru — Cevap: E</w:t>
      </w:r>
    </w:p>
    <w:p>
      <w:pPr>
        <w:pStyle w:val="FirstParagraph"/>
      </w:pPr>
      <w:r>
        <w:rPr>
          <w:iCs/>
          <w:i/>
        </w:rPr>
        <w:t xml:space="preserve">GM · Transit · Ö3</w:t>
      </w:r>
    </w:p>
    <w:p>
      <w:pPr>
        <w:pStyle w:val="BodyText"/>
      </w:pPr>
      <w:r>
        <w:rPr>
          <w:bCs/>
          <w:b/>
        </w:rPr>
        <w:t xml:space="preserve">Doğru şık:</w:t>
      </w:r>
      <w:r>
        <w:t xml:space="preserve"> </w:t>
      </w:r>
      <w:r>
        <w:t xml:space="preserve">E) I, II, III ve IV</w:t>
      </w:r>
    </w:p>
    <w:p>
      <w:pPr>
        <w:pStyle w:val="BodyText"/>
      </w:pPr>
      <w:r>
        <w:t xml:space="preserve">Gümrük Kanununa göre transit eşyası için teminat verilmesi zorunlu olmakla birlikte hava yoluyla, boru hattıyla, demir yoluyla ve deniz yoluyla yapılan taşımalarda yönetmelikle belirlenen hâller dışında teminat aranmaz. Bu istisnanın dışında kalan taşıma türü kara yoludur; öncüllerde kara yolu bulunmadığından dört öncül de doğrudur.</w:t>
      </w:r>
    </w:p>
    <w:p>
      <w:pPr>
        <w:pStyle w:val="BodyText"/>
      </w:pPr>
      <w:r>
        <w:rPr>
          <w:bCs/>
          <w:b/>
        </w:rPr>
        <w:t xml:space="preserve">Tuzak:</w:t>
      </w:r>
      <w:r>
        <w:t xml:space="preserve"> </w:t>
      </w:r>
      <w:r>
        <w:t xml:space="preserve">‘</w:t>
      </w:r>
      <w:r>
        <w:t xml:space="preserve">Hepsi olamaz</w:t>
      </w:r>
      <w:r>
        <w:t xml:space="preserve">’</w:t>
      </w:r>
      <w:r>
        <w:t xml:space="preserve"> </w:t>
      </w:r>
      <w:r>
        <w:t xml:space="preserve">önyargısıyla deniz yolu veya hava yolu taşımalarını dışarıda bırakan bir küme seçmek.</w:t>
      </w:r>
    </w:p>
    <w:p>
      <w:pPr>
        <w:pStyle w:val="BodyText"/>
      </w:pPr>
      <w:r>
        <w:rPr>
          <w:bCs/>
          <w:b/>
        </w:rPr>
        <w:t xml:space="preserve">Dayanak:</w:t>
      </w:r>
      <w:r>
        <w:t xml:space="preserve"> </w:t>
      </w:r>
      <w:r>
        <w:t xml:space="preserve">4458 sayılı Gümrük Kanunu – transit rejiminde teminat hükmü</w:t>
      </w:r>
    </w:p>
    <w:bookmarkEnd w:id="30"/>
    <w:bookmarkStart w:id="31" w:name="soru-cevap-a-2"/>
    <w:p>
      <w:pPr>
        <w:pStyle w:val="Heading4"/>
      </w:pPr>
      <w:r>
        <w:t xml:space="preserve">10. soru — Cevap: A</w:t>
      </w:r>
    </w:p>
    <w:p>
      <w:pPr>
        <w:pStyle w:val="FirstParagraph"/>
      </w:pPr>
      <w:r>
        <w:rPr>
          <w:iCs/>
          <w:i/>
        </w:rPr>
        <w:t xml:space="preserve">GM · Antrepo · V2</w:t>
      </w:r>
    </w:p>
    <w:p>
      <w:pPr>
        <w:pStyle w:val="BodyText"/>
      </w:pPr>
      <w:r>
        <w:rPr>
          <w:bCs/>
          <w:b/>
        </w:rPr>
        <w:t xml:space="preserve">Doğru şık:</w:t>
      </w:r>
      <w:r>
        <w:t xml:space="preserve"> </w:t>
      </w:r>
      <w:r>
        <w:t xml:space="preserve">A) Eksiklik veya fazlalığa konu olmayan kaplara ilişkin gümrük işlemleri, farklılığın sebebi izah edilinceye kadar durdurulur.</w:t>
      </w:r>
    </w:p>
    <w:p>
      <w:pPr>
        <w:pStyle w:val="BodyText"/>
      </w:pPr>
      <w:r>
        <w:t xml:space="preserve">Gümrük Yönetmeliğine göre konteynerle gelen ve miktar tespiti yapılmadan belgelerine göre antrepo beyannamesi verilen eşyada kap adedi farkı çıkarsa kullanıcıdan 45 gün içinde izah istenir ve süre talep üzerine 30 gün uzatılabilir. Eksiklik kanıtlanamazsa vergiler kullanıcıdan alınır ve 241/1 uyarınca işlem yapılır; fazlalık işletici sorumluluğunda antrepoya alınır, mahrecinden fazla yüklendiği kanıtlanamazsa eşya tasfiye edilir. Eksiklik veya fazlalığa konu olmayan kaplara ilişkin gümrük işlemleri ise durdurulmaz, devam ettirilir.</w:t>
      </w:r>
    </w:p>
    <w:p>
      <w:pPr>
        <w:pStyle w:val="BodyText"/>
      </w:pPr>
      <w:r>
        <w:rPr>
          <w:bCs/>
          <w:b/>
        </w:rPr>
        <w:t xml:space="preserve">Tuzak:</w:t>
      </w:r>
      <w:r>
        <w:t xml:space="preserve"> </w:t>
      </w:r>
      <w:r>
        <w:t xml:space="preserve">Farklılık çıkan beyannamedeki bütün kaplara ilişkin işlemlerin izah gelinceye kadar askıya alınacağını düşünmek.</w:t>
      </w:r>
    </w:p>
    <w:p>
      <w:pPr>
        <w:pStyle w:val="BodyText"/>
      </w:pPr>
      <w:r>
        <w:rPr>
          <w:bCs/>
          <w:b/>
        </w:rPr>
        <w:t xml:space="preserve">Dayanak:</w:t>
      </w:r>
      <w:r>
        <w:t xml:space="preserve"> </w:t>
      </w:r>
      <w:r>
        <w:t xml:space="preserve">Gümrük Yönetmeliği md. 522/8</w:t>
      </w:r>
    </w:p>
    <w:bookmarkEnd w:id="31"/>
    <w:bookmarkStart w:id="32" w:name="soru-cevap-b-1"/>
    <w:p>
      <w:pPr>
        <w:pStyle w:val="Heading4"/>
      </w:pPr>
      <w:r>
        <w:t xml:space="preserve">11. soru — Cevap: B</w:t>
      </w:r>
    </w:p>
    <w:p>
      <w:pPr>
        <w:pStyle w:val="FirstParagraph"/>
      </w:pPr>
      <w:r>
        <w:rPr>
          <w:iCs/>
          <w:i/>
        </w:rPr>
        <w:t xml:space="preserve">GM · Antrepo · B2</w:t>
      </w:r>
    </w:p>
    <w:p>
      <w:pPr>
        <w:pStyle w:val="BodyText"/>
      </w:pPr>
      <w:r>
        <w:rPr>
          <w:bCs/>
          <w:b/>
        </w:rPr>
        <w:t xml:space="preserve">Doğru şık:</w:t>
      </w:r>
      <w:r>
        <w:t xml:space="preserve"> </w:t>
      </w:r>
      <w:r>
        <w:t xml:space="preserve">B) üç – altı ay – gümrük müdürlüğüne</w:t>
      </w:r>
    </w:p>
    <w:p>
      <w:pPr>
        <w:pStyle w:val="BodyText"/>
      </w:pPr>
      <w:r>
        <w:t xml:space="preserve">Gümrük Yönetmeliğinin 22.08.2025 tarihli değişikliğiyle antrepo yatırım izni, asgari üç yıldır faaliyette bulunan ve bölgesine göre belirlenen ödenmiş sermayeye sahip anonim veya limited şirketlere verilebilir. Yatırım izni bildiriminden itibaren altı ay içinde tesis hazır hale getirilerek ilgili gümrük müdürlüğüne başvurulur; süre yetmezse gümrük müdürlüğü ve bölge müdürlüğü aracılığıyla Bakanlıktan ek süre istenir.</w:t>
      </w:r>
      <w:r>
        <w:t xml:space="preserve"> </w:t>
      </w:r>
      <w:r>
        <w:t xml:space="preserve">‘</w:t>
      </w:r>
      <w:r>
        <w:t xml:space="preserve">İki yıl</w:t>
      </w:r>
      <w:r>
        <w:t xml:space="preserve">’</w:t>
      </w:r>
      <w:r>
        <w:t xml:space="preserve"> </w:t>
      </w:r>
      <w:r>
        <w:t xml:space="preserve">değişiklikten önceki asgari faaliyet süresidir; bölge müdürlüğü ise başvurunun değil gümrük müdürlüğü görüşünün iletildiği makamdır.</w:t>
      </w:r>
    </w:p>
    <w:p>
      <w:pPr>
        <w:pStyle w:val="BodyText"/>
      </w:pPr>
      <w:r>
        <w:rPr>
          <w:bCs/>
          <w:b/>
        </w:rPr>
        <w:t xml:space="preserve">Tuzak:</w:t>
      </w:r>
      <w:r>
        <w:t xml:space="preserve"> </w:t>
      </w:r>
      <w:r>
        <w:t xml:space="preserve">2025 değişikliğinden önce geçerli olan ve 2024 sınavında doğru kabul edilen</w:t>
      </w:r>
      <w:r>
        <w:t xml:space="preserve"> </w:t>
      </w:r>
      <w:r>
        <w:t xml:space="preserve">‘</w:t>
      </w:r>
      <w:r>
        <w:t xml:space="preserve">asgari iki yıl</w:t>
      </w:r>
      <w:r>
        <w:t xml:space="preserve">’</w:t>
      </w:r>
      <w:r>
        <w:t xml:space="preserve"> </w:t>
      </w:r>
      <w:r>
        <w:t xml:space="preserve">şartını hatırlamak.</w:t>
      </w:r>
    </w:p>
    <w:p>
      <w:pPr>
        <w:pStyle w:val="BodyText"/>
      </w:pPr>
      <w:r>
        <w:rPr>
          <w:bCs/>
          <w:b/>
        </w:rPr>
        <w:t xml:space="preserve">Dayanak:</w:t>
      </w:r>
      <w:r>
        <w:t xml:space="preserve"> </w:t>
      </w:r>
      <w:r>
        <w:t xml:space="preserve">Gümrük Yönetmeliği md. 518/2 (22.08.2025 tarihli ve 32994 sayılı RG ile değişik) ve md. 518/9</w:t>
      </w:r>
    </w:p>
    <w:bookmarkEnd w:id="32"/>
    <w:bookmarkStart w:id="33" w:name="soru-cevap-d-1"/>
    <w:p>
      <w:pPr>
        <w:pStyle w:val="Heading4"/>
      </w:pPr>
      <w:r>
        <w:t xml:space="preserve">12. soru — Cevap: D</w:t>
      </w:r>
    </w:p>
    <w:p>
      <w:pPr>
        <w:pStyle w:val="FirstParagraph"/>
      </w:pPr>
      <w:r>
        <w:rPr>
          <w:iCs/>
          <w:i/>
        </w:rPr>
        <w:t xml:space="preserve">GM · Antrepo · D1</w:t>
      </w:r>
    </w:p>
    <w:p>
      <w:pPr>
        <w:pStyle w:val="BodyText"/>
      </w:pPr>
      <w:r>
        <w:rPr>
          <w:bCs/>
          <w:b/>
        </w:rPr>
        <w:t xml:space="preserve">Doğru şık:</w:t>
      </w:r>
      <w:r>
        <w:t xml:space="preserve"> </w:t>
      </w:r>
      <w:r>
        <w:t xml:space="preserve">D) 3 ay</w:t>
      </w:r>
    </w:p>
    <w:p>
      <w:pPr>
        <w:pStyle w:val="BodyText"/>
      </w:pPr>
      <w:r>
        <w:t xml:space="preserve">Gümrük Yönetmeliğine göre denetimde yetkilendirilmiş gümrük müşaviri ile tespit işlemi yaptıran antrepo işleticisi arasında tespit dışında doğrudan veya dolaylı iş ilişkisi tespit edilirse antrepoya üç ay süreyle eşya alınmasına izin verilmez. Bir ay, aynı fıkrada asgari ücret tarifesinin altında hizmet verilmesi nedeniyle müşavirin belgesinin geri alınmasına karar verilmesi hâline bağlanan süredir.</w:t>
      </w:r>
    </w:p>
    <w:p>
      <w:pPr>
        <w:pStyle w:val="BodyText"/>
      </w:pPr>
      <w:r>
        <w:rPr>
          <w:bCs/>
          <w:b/>
        </w:rPr>
        <w:t xml:space="preserve">Tuzak:</w:t>
      </w:r>
      <w:r>
        <w:t xml:space="preserve"> </w:t>
      </w:r>
      <w:r>
        <w:t xml:space="preserve">Aynı fıkradaki iki yaptırımı karıştırıp asgari ücret tarifesinin altında hizmet hâline bağlanan bir aylık süreyi seçmek.</w:t>
      </w:r>
    </w:p>
    <w:p>
      <w:pPr>
        <w:pStyle w:val="BodyText"/>
      </w:pPr>
      <w:r>
        <w:rPr>
          <w:bCs/>
          <w:b/>
        </w:rPr>
        <w:t xml:space="preserve">Dayanak:</w:t>
      </w:r>
      <w:r>
        <w:t xml:space="preserve"> </w:t>
      </w:r>
      <w:r>
        <w:t xml:space="preserve">Gümrük Yönetmeliği md. 525/7-b</w:t>
      </w:r>
    </w:p>
    <w:bookmarkEnd w:id="33"/>
    <w:bookmarkStart w:id="34" w:name="soru-cevap-e-5"/>
    <w:p>
      <w:pPr>
        <w:pStyle w:val="Heading4"/>
      </w:pPr>
      <w:r>
        <w:t xml:space="preserve">13. soru — Cevap: E</w:t>
      </w:r>
    </w:p>
    <w:p>
      <w:pPr>
        <w:pStyle w:val="FirstParagraph"/>
      </w:pPr>
      <w:r>
        <w:rPr>
          <w:iCs/>
          <w:i/>
        </w:rPr>
        <w:t xml:space="preserve">GM · Antrepo · O2</w:t>
      </w:r>
    </w:p>
    <w:p>
      <w:pPr>
        <w:pStyle w:val="BodyText"/>
      </w:pPr>
      <w:r>
        <w:rPr>
          <w:bCs/>
          <w:b/>
        </w:rPr>
        <w:t xml:space="preserve">Doğru şık:</w:t>
      </w:r>
      <w:r>
        <w:t xml:space="preserve"> </w:t>
      </w:r>
      <w:r>
        <w:t xml:space="preserve">E) A, C, D ve E tipi antrepolarda antrepo stok kayıtlarını denetleyici gümrük idaresi tutar.</w:t>
      </w:r>
    </w:p>
    <w:p>
      <w:pPr>
        <w:pStyle w:val="BodyText"/>
      </w:pPr>
      <w:r>
        <w:t xml:space="preserve">Gümrük Yönetmeliğine göre A, C, D ve E tipi antrepolarda stok kayıtlarını denetleyici gümrük idaresi değil antrepo işleticileri tutar; gümrük idaresinin beyannamelerin kaydını tuttuğu ve stok kaydının tutulmayabileceği tip B tipi antrepodur. F tipi antrepoda gümrük kayıtlarının stok kaydının yerini alması, bilgisayarla tutulan stok kayıtlarının defter hükmünde olması, altı aylık dönemlerle yetkilendirilmiş gümrük müşavirince sayım yapılan antrepoların yıl sonu sayımı kapsamı dışında kalması ve sayımda noksan çıkan eşyanın vergilerinin işletici veya kullanıcıdan alınması ya da teminattan mahsubu yönetmelikte aynen yer alır.</w:t>
      </w:r>
    </w:p>
    <w:p>
      <w:pPr>
        <w:pStyle w:val="BodyText"/>
      </w:pPr>
      <w:r>
        <w:rPr>
          <w:bCs/>
          <w:b/>
        </w:rPr>
        <w:t xml:space="preserve">Tuzak:</w:t>
      </w:r>
      <w:r>
        <w:t xml:space="preserve"> </w:t>
      </w:r>
      <w:r>
        <w:t xml:space="preserve">B tipi antrepoya özgü</w:t>
      </w:r>
      <w:r>
        <w:t xml:space="preserve"> </w:t>
      </w:r>
      <w:r>
        <w:t xml:space="preserve">‘</w:t>
      </w:r>
      <w:r>
        <w:t xml:space="preserve">kaydı gümrük idaresi tutar</w:t>
      </w:r>
      <w:r>
        <w:t xml:space="preserve">’</w:t>
      </w:r>
      <w:r>
        <w:t xml:space="preserve"> </w:t>
      </w:r>
      <w:r>
        <w:t xml:space="preserve">kuralını diğer antrepo tiplerine genellemek.</w:t>
      </w:r>
    </w:p>
    <w:p>
      <w:pPr>
        <w:pStyle w:val="BodyText"/>
      </w:pPr>
      <w:r>
        <w:rPr>
          <w:bCs/>
          <w:b/>
        </w:rPr>
        <w:t xml:space="preserve">Dayanak:</w:t>
      </w:r>
      <w:r>
        <w:t xml:space="preserve"> </w:t>
      </w:r>
      <w:r>
        <w:t xml:space="preserve">Gümrük Yönetmeliği md. 536/2-4, 536/6, md. 538/3-4</w:t>
      </w:r>
    </w:p>
    <w:bookmarkEnd w:id="34"/>
    <w:bookmarkStart w:id="35" w:name="soru-cevap-c"/>
    <w:p>
      <w:pPr>
        <w:pStyle w:val="Heading4"/>
      </w:pPr>
      <w:r>
        <w:t xml:space="preserve">14. soru — Cevap: C</w:t>
      </w:r>
    </w:p>
    <w:p>
      <w:pPr>
        <w:pStyle w:val="FirstParagraph"/>
      </w:pPr>
      <w:r>
        <w:rPr>
          <w:iCs/>
          <w:i/>
        </w:rPr>
        <w:t xml:space="preserve">SAİR · Tercihli ticaret, menşe belgeleri · Ö3</w:t>
      </w:r>
    </w:p>
    <w:p>
      <w:pPr>
        <w:pStyle w:val="BodyText"/>
      </w:pPr>
      <w:r>
        <w:rPr>
          <w:bCs/>
          <w:b/>
        </w:rPr>
        <w:t xml:space="preserve">Doğru şık:</w:t>
      </w:r>
      <w:r>
        <w:t xml:space="preserve"> </w:t>
      </w:r>
      <w:r>
        <w:t xml:space="preserve">C) I, II ve III</w:t>
      </w:r>
    </w:p>
    <w:p>
      <w:pPr>
        <w:pStyle w:val="BodyText"/>
      </w:pPr>
      <w:r>
        <w:t xml:space="preserve">Karar’ın 34, 35 ve 36 ncı maddelerine göre ticari nitelikte olmayan ve şüphe bulunmayan yolcu beraberi eşya, sarı etiketi bulunmayan ve doğrudan posta yoluyla gönderilen posta kolileri dahil eşya ile Pan-Avrupa veya Pan-Avrupa-Akdeniz menşe kümülasyon sistemi kapsamında olup 67 nci maddedeki koşulları sağlayan eşya, A.TR Dolaşım Belgesi aranmaksızın serbest dolaşımda kabul edilir. 6.000 Avro, menşe protokollerinde herhangi bir ihracatçının fatura beyanı düzenleyebileceği kıymet eşiğidir; Gümrük Birliği’nde ticari sevkiyatları A.TR’den muaf tutan bir kıymet eşiği bulunmamaktadır.</w:t>
      </w:r>
    </w:p>
    <w:p>
      <w:pPr>
        <w:pStyle w:val="BodyText"/>
      </w:pPr>
      <w:r>
        <w:rPr>
          <w:bCs/>
          <w:b/>
        </w:rPr>
        <w:t xml:space="preserve">Tuzak:</w:t>
      </w:r>
      <w:r>
        <w:t xml:space="preserve"> </w:t>
      </w:r>
      <w:r>
        <w:t xml:space="preserve">STA menşe protokollerindeki 6.000 Avro fatura beyanı eşiğini Gümrük Birliği’ne taşıyan aday IV’ü de içeren seçeneğe kayar.</w:t>
      </w:r>
    </w:p>
    <w:p>
      <w:pPr>
        <w:pStyle w:val="BodyText"/>
      </w:pPr>
      <w:r>
        <w:rPr>
          <w:bCs/>
          <w:b/>
        </w:rPr>
        <w:t xml:space="preserve">Dayanak:</w:t>
      </w:r>
      <w:r>
        <w:t xml:space="preserve"> </w:t>
      </w:r>
      <w:r>
        <w:t xml:space="preserve">2006/10895 sayılı Karar md. 34, 35, 36, 67</w:t>
      </w:r>
    </w:p>
    <w:bookmarkEnd w:id="35"/>
    <w:bookmarkStart w:id="36" w:name="soru-cevap-a-3"/>
    <w:p>
      <w:pPr>
        <w:pStyle w:val="Heading4"/>
      </w:pPr>
      <w:r>
        <w:t xml:space="preserve">15. soru — Cevap: A</w:t>
      </w:r>
    </w:p>
    <w:p>
      <w:pPr>
        <w:pStyle w:val="FirstParagraph"/>
      </w:pPr>
      <w:r>
        <w:rPr>
          <w:iCs/>
          <w:i/>
        </w:rPr>
        <w:t xml:space="preserve">SAİR · Tercihli ticaret, menşe belgeleri · B1</w:t>
      </w:r>
    </w:p>
    <w:p>
      <w:pPr>
        <w:pStyle w:val="BodyText"/>
      </w:pPr>
      <w:r>
        <w:rPr>
          <w:bCs/>
          <w:b/>
        </w:rPr>
        <w:t xml:space="preserve">Doğru şık:</w:t>
      </w:r>
      <w:r>
        <w:t xml:space="preserve"> </w:t>
      </w:r>
      <w:r>
        <w:t xml:space="preserve">A) fiili ihraç tarihinden / dört ay</w:t>
      </w:r>
    </w:p>
    <w:p>
      <w:pPr>
        <w:pStyle w:val="BodyText"/>
      </w:pPr>
      <w:r>
        <w:t xml:space="preserve">Karar’ın 18 inci maddesine göre A.TR Dolaşım Belgesi kural olarak ihracatçı ülke gümrük idaresinin vize tarihinden itibaren dört ay içinde ibraz edilir; basitleştirilmiş işlem usullerine göre düzenlenen belgede ise süre, ihracatçının dolaşım belgesinde belirttiği fiili ihraç tarihinden itibaren dört aydır. On ay Form A geçerlilik süresi ve sonradan kontrol cevap süresine, altı ay ise bazı TTA belgelerinin geçerlilik süresine ilişkin komşu değerlerdir.</w:t>
      </w:r>
    </w:p>
    <w:p>
      <w:pPr>
        <w:pStyle w:val="BodyText"/>
      </w:pPr>
      <w:r>
        <w:rPr>
          <w:bCs/>
          <w:b/>
        </w:rPr>
        <w:t xml:space="preserve">Tuzak:</w:t>
      </w:r>
      <w:r>
        <w:t xml:space="preserve"> </w:t>
      </w:r>
      <w:r>
        <w:t xml:space="preserve">Genel kuraldaki</w:t>
      </w:r>
      <w:r>
        <w:t xml:space="preserve"> </w:t>
      </w:r>
      <w:r>
        <w:t xml:space="preserve">‘</w:t>
      </w:r>
      <w:r>
        <w:t xml:space="preserve">vize tarihi</w:t>
      </w:r>
      <w:r>
        <w:t xml:space="preserve">’</w:t>
      </w:r>
      <w:r>
        <w:t xml:space="preserve"> </w:t>
      </w:r>
      <w:r>
        <w:t xml:space="preserve">başlangıcını basitleştirilmiş usule taşıyan aday</w:t>
      </w:r>
      <w:r>
        <w:t xml:space="preserve"> </w:t>
      </w:r>
      <w:r>
        <w:t xml:space="preserve">‘</w:t>
      </w:r>
      <w:r>
        <w:t xml:space="preserve">vize tarihinden / dört ay</w:t>
      </w:r>
      <w:r>
        <w:t xml:space="preserve">’</w:t>
      </w:r>
      <w:r>
        <w:t xml:space="preserve"> </w:t>
      </w:r>
      <w:r>
        <w:t xml:space="preserve">seçeneğini işaretler.</w:t>
      </w:r>
    </w:p>
    <w:p>
      <w:pPr>
        <w:pStyle w:val="BodyText"/>
      </w:pPr>
      <w:r>
        <w:rPr>
          <w:bCs/>
          <w:b/>
        </w:rPr>
        <w:t xml:space="preserve">Dayanak:</w:t>
      </w:r>
      <w:r>
        <w:t xml:space="preserve"> </w:t>
      </w:r>
      <w:r>
        <w:t xml:space="preserve">2006/10895 sayılı Karar md. 18/1, 18/3, 20</w:t>
      </w:r>
    </w:p>
    <w:bookmarkEnd w:id="36"/>
    <w:bookmarkStart w:id="37" w:name="soru-cevap-c-1"/>
    <w:p>
      <w:pPr>
        <w:pStyle w:val="Heading4"/>
      </w:pPr>
      <w:r>
        <w:t xml:space="preserve">16. soru — Cevap: C</w:t>
      </w:r>
    </w:p>
    <w:p>
      <w:pPr>
        <w:pStyle w:val="FirstParagraph"/>
      </w:pPr>
      <w:r>
        <w:rPr>
          <w:iCs/>
          <w:i/>
        </w:rPr>
        <w:t xml:space="preserve">SAİR · Tercihli ticaret, menşe belgeleri · O1</w:t>
      </w:r>
    </w:p>
    <w:p>
      <w:pPr>
        <w:pStyle w:val="BodyText"/>
      </w:pPr>
      <w:r>
        <w:rPr>
          <w:bCs/>
          <w:b/>
        </w:rPr>
        <w:t xml:space="preserve">Doğru şık:</w:t>
      </w:r>
      <w:r>
        <w:t xml:space="preserve"> </w:t>
      </w:r>
      <w:r>
        <w:t xml:space="preserve">C) İfadelerin doğruluğu hakkında şüphe yaratmayan bariz maddi hata bulunması</w:t>
      </w:r>
    </w:p>
    <w:p>
      <w:pPr>
        <w:pStyle w:val="BodyText"/>
      </w:pPr>
      <w:r>
        <w:t xml:space="preserve">Karar’ın 14 üncü maddesinde öngörülen form dışında form kullanılması, zorunlu kutuların doldurulmaması, belgenin mühürlenmemesi veya imzalanmaması, yetkisiz makamca onaylanması, örneği gönderilmeyen yeni mühür kullanılması, fotokopi ya da suret ibrazı ve (5) numaralı kutuya Türkiye veya Topluluk ülkesi olmayan bir ülkenin yazılması teknik ret nedenleri olarak sayılmıştır. 28 inci maddeye göre ise belgedeki ifadelerin doğruluğu hakkında şüphe yaratmayan daktilo hatası gibi bariz maddi hatalar belgenin reddedilmesini gerektirmez.</w:t>
      </w:r>
    </w:p>
    <w:p>
      <w:pPr>
        <w:pStyle w:val="BodyText"/>
      </w:pPr>
      <w:r>
        <w:rPr>
          <w:bCs/>
          <w:b/>
        </w:rPr>
        <w:t xml:space="preserve">Tuzak:</w:t>
      </w:r>
      <w:r>
        <w:t xml:space="preserve"> </w:t>
      </w:r>
      <w:r>
        <w:t xml:space="preserve">Her türlü hatayı ret sebebi sayan aday, önemsiz farklılıklar ve şekli hatalara ilişkin hükmü teknik ret listesine taşır.</w:t>
      </w:r>
    </w:p>
    <w:p>
      <w:pPr>
        <w:pStyle w:val="BodyText"/>
      </w:pPr>
      <w:r>
        <w:rPr>
          <w:bCs/>
          <w:b/>
        </w:rPr>
        <w:t xml:space="preserve">Dayanak:</w:t>
      </w:r>
      <w:r>
        <w:t xml:space="preserve"> </w:t>
      </w:r>
      <w:r>
        <w:t xml:space="preserve">2006/10895 sayılı Karar md. 14, 28</w:t>
      </w:r>
    </w:p>
    <w:bookmarkEnd w:id="37"/>
    <w:bookmarkStart w:id="38" w:name="soru-cevap-e-6"/>
    <w:p>
      <w:pPr>
        <w:pStyle w:val="Heading4"/>
      </w:pPr>
      <w:r>
        <w:t xml:space="preserve">17. soru — Cevap: E</w:t>
      </w:r>
    </w:p>
    <w:p>
      <w:pPr>
        <w:pStyle w:val="FirstParagraph"/>
      </w:pPr>
      <w:r>
        <w:rPr>
          <w:iCs/>
          <w:i/>
        </w:rPr>
        <w:t xml:space="preserve">SAİR · Incoterms, ödeme şekilleri · D2</w:t>
      </w:r>
    </w:p>
    <w:p>
      <w:pPr>
        <w:pStyle w:val="BodyText"/>
      </w:pPr>
      <w:r>
        <w:rPr>
          <w:bCs/>
          <w:b/>
        </w:rPr>
        <w:t xml:space="preserve">Doğru şık:</w:t>
      </w:r>
      <w:r>
        <w:t xml:space="preserve"> </w:t>
      </w:r>
      <w:r>
        <w:t xml:space="preserve">E) Amir banka</w:t>
      </w:r>
    </w:p>
    <w:p>
      <w:pPr>
        <w:pStyle w:val="BodyText"/>
      </w:pPr>
      <w:r>
        <w:t xml:space="preserve">Akreditifli ödemede akreditif amiri ithalatçı, lehtar ise ihracatçıdır. Akreditifi açan ve şartlara uygun vesaik ibrazında ödeme yapmakla yükümlü olan banka, ithalatçının bankası olan amir (açan) bankadır. İhbar bankası akreditifin açıldığını lehtara bildirir ve ödeme yükümlülüğü yoktur; teyit bankası akreditife teyidini ekleyerek ikinci bir ödeme güvencesi verir, ancak akreditifi açan banka değildir. Lehtar bankası ihracatçının (satıcının) bankası, muhabir banka ise amir bankanın yurt dışındaki aracısıdır; ikisi de akreditifi açan banka değildir.</w:t>
      </w:r>
    </w:p>
    <w:p>
      <w:pPr>
        <w:pStyle w:val="BodyText"/>
      </w:pPr>
      <w:r>
        <w:rPr>
          <w:bCs/>
          <w:b/>
        </w:rPr>
        <w:t xml:space="preserve">Tuzak:</w:t>
      </w:r>
      <w:r>
        <w:t xml:space="preserve"> </w:t>
      </w:r>
      <w:r>
        <w:t xml:space="preserve">Akreditifin ihracatçıya ihbar bankası aracılığıyla ulaşmasından hareketle akreditifi bu bankanın açtığını düşünen aday ihbar bankasını işaretler.</w:t>
      </w:r>
    </w:p>
    <w:p>
      <w:pPr>
        <w:pStyle w:val="BodyText"/>
      </w:pPr>
      <w:r>
        <w:rPr>
          <w:bCs/>
          <w:b/>
        </w:rPr>
        <w:t xml:space="preserve">Dayanak:</w:t>
      </w:r>
      <w:r>
        <w:t xml:space="preserve"> </w:t>
      </w:r>
      <w:r>
        <w:t xml:space="preserve">Ödeme şekilleri – akreditifli ödeme ve akreditif tarafları</w:t>
      </w:r>
    </w:p>
    <w:bookmarkEnd w:id="38"/>
    <w:bookmarkStart w:id="39" w:name="soru-cevap-a-4"/>
    <w:p>
      <w:pPr>
        <w:pStyle w:val="Heading4"/>
      </w:pPr>
      <w:r>
        <w:t xml:space="preserve">18. soru — Cevap: A</w:t>
      </w:r>
    </w:p>
    <w:p>
      <w:pPr>
        <w:pStyle w:val="FirstParagraph"/>
      </w:pPr>
      <w:r>
        <w:rPr>
          <w:iCs/>
          <w:i/>
        </w:rPr>
        <w:t xml:space="preserve">SAİR · Incoterms, ödeme şekilleri · D4</w:t>
      </w:r>
    </w:p>
    <w:p>
      <w:pPr>
        <w:pStyle w:val="BodyText"/>
      </w:pPr>
      <w:r>
        <w:rPr>
          <w:bCs/>
          <w:b/>
        </w:rPr>
        <w:t xml:space="preserve">Doğru şık:</w:t>
      </w:r>
      <w:r>
        <w:t xml:space="preserve"> </w:t>
      </w:r>
      <w:r>
        <w:t xml:space="preserve">A) CFR, CIP, DPU</w:t>
      </w:r>
    </w:p>
    <w:p>
      <w:pPr>
        <w:pStyle w:val="BodyText"/>
      </w:pPr>
      <w:r>
        <w:t xml:space="preserve">C grubu kurallarda (CFR, CIF, CPT, CIP) satıcı varma yeri veya limanına kadar taşıma sözleşmesini yapar ve navlunu öder; D grubu kurallarda (DAP, DPU, DDP) satıcı malların varma yerine getirilmesine ilişkin tüm masraf ve riskleri üstlenir. E ve F grubu kurallarda (EXW, FCA, FAS, FOB) ana taşıma alıcı tarafından sağlanır ve ödenir; yanlış seçeneklerin her birinde bu kurallardan biri yer almaktadır.</w:t>
      </w:r>
    </w:p>
    <w:p>
      <w:pPr>
        <w:pStyle w:val="BodyText"/>
      </w:pPr>
      <w:r>
        <w:rPr>
          <w:bCs/>
          <w:b/>
        </w:rPr>
        <w:t xml:space="preserve">Tuzak:</w:t>
      </w:r>
      <w:r>
        <w:t xml:space="preserve"> </w:t>
      </w:r>
      <w:r>
        <w:t xml:space="preserve">FCA ve FOB’da satıcının teslim noktasına kadarki masrafları üstlenmesini navlun yükümlülüğü sanan aday bu kuralları içeren seçeneklere kayar.</w:t>
      </w:r>
    </w:p>
    <w:p>
      <w:pPr>
        <w:pStyle w:val="BodyText"/>
      </w:pPr>
      <w:r>
        <w:rPr>
          <w:bCs/>
          <w:b/>
        </w:rPr>
        <w:t xml:space="preserve">Dayanak:</w:t>
      </w:r>
      <w:r>
        <w:t xml:space="preserve"> </w:t>
      </w:r>
      <w:r>
        <w:t xml:space="preserve">INCOTERMS 2020 (ICC) – E, F, C ve D grubu kurallar</w:t>
      </w:r>
    </w:p>
    <w:bookmarkEnd w:id="39"/>
    <w:bookmarkStart w:id="40" w:name="soru-cevap-c-2"/>
    <w:p>
      <w:pPr>
        <w:pStyle w:val="Heading4"/>
      </w:pPr>
      <w:r>
        <w:t xml:space="preserve">19. soru — Cevap: C</w:t>
      </w:r>
    </w:p>
    <w:p>
      <w:pPr>
        <w:pStyle w:val="FirstParagraph"/>
      </w:pPr>
      <w:r>
        <w:rPr>
          <w:iCs/>
          <w:i/>
        </w:rPr>
        <w:t xml:space="preserve">GM · Geçici ithalat · O1</w:t>
      </w:r>
    </w:p>
    <w:p>
      <w:pPr>
        <w:pStyle w:val="BodyText"/>
      </w:pPr>
      <w:r>
        <w:rPr>
          <w:bCs/>
          <w:b/>
        </w:rPr>
        <w:t xml:space="preserve">Doğru şık:</w:t>
      </w:r>
      <w:r>
        <w:t xml:space="preserve"> </w:t>
      </w:r>
      <w:r>
        <w:t xml:space="preserve">C) İthalatı ticaret politikası önlemlerine tabi olan eşya</w:t>
      </w:r>
    </w:p>
    <w:p>
      <w:pPr>
        <w:pStyle w:val="BodyText"/>
      </w:pPr>
      <w:r>
        <w:t xml:space="preserve">Karar’ın 40 ıncı maddesi tam ve kısmi muafiyetten yararlandırılmayacak eşyayı ithali yasak eşya, tüketilebilir eşya, ayniyet tespiti mümkün olmayan eşya ve ülke ekonomisine zarar verebileceği belirlenen eşya olarak sayar. Ticaret politikası önlemlerine tabi eşya bu listede yer almaz; aksine Kanunun 128 inci maddesi geçici ithalatı, eşyanın ticaret politikası önlemlerine tabi tutulmaksızın kullanılmasına imkân veren rejim olarak tanımlar.</w:t>
      </w:r>
    </w:p>
    <w:p>
      <w:pPr>
        <w:pStyle w:val="BodyText"/>
      </w:pPr>
      <w:r>
        <w:rPr>
          <w:bCs/>
          <w:b/>
        </w:rPr>
        <w:t xml:space="preserve">Tuzak:</w:t>
      </w:r>
      <w:r>
        <w:t xml:space="preserve"> </w:t>
      </w:r>
      <w:r>
        <w:t xml:space="preserve">Önleme tabi eşyanın hiçbir şartlı muafiyet rejimine giremeyeceğini sanan aday listedeki gerçek öğelerden birini dışarıda bırakmaya çalışır.</w:t>
      </w:r>
    </w:p>
    <w:p>
      <w:pPr>
        <w:pStyle w:val="BodyText"/>
      </w:pPr>
      <w:r>
        <w:rPr>
          <w:bCs/>
          <w:b/>
        </w:rPr>
        <w:t xml:space="preserve">Dayanak:</w:t>
      </w:r>
      <w:r>
        <w:t xml:space="preserve"> </w:t>
      </w:r>
      <w:r>
        <w:t xml:space="preserve">2009/15481 sayılı Karar md. 40; 4458 sayılı Gümrük Kanunu md. 128</w:t>
      </w:r>
    </w:p>
    <w:bookmarkEnd w:id="40"/>
    <w:bookmarkStart w:id="41" w:name="soru-cevap-e-7"/>
    <w:p>
      <w:pPr>
        <w:pStyle w:val="Heading4"/>
      </w:pPr>
      <w:r>
        <w:t xml:space="preserve">20. soru — Cevap: E</w:t>
      </w:r>
    </w:p>
    <w:p>
      <w:pPr>
        <w:pStyle w:val="FirstParagraph"/>
      </w:pPr>
      <w:r>
        <w:rPr>
          <w:iCs/>
          <w:i/>
        </w:rPr>
        <w:t xml:space="preserve">GM · Geçici ithalat · G1</w:t>
      </w:r>
    </w:p>
    <w:p>
      <w:pPr>
        <w:pStyle w:val="BodyText"/>
      </w:pPr>
      <w:r>
        <w:rPr>
          <w:bCs/>
          <w:b/>
        </w:rPr>
        <w:t xml:space="preserve">Doğru şık:</w:t>
      </w:r>
      <w:r>
        <w:t xml:space="preserve"> </w:t>
      </w:r>
      <w:r>
        <w:t xml:space="preserve">E) Önemli ekonomik etkisi olmayan eşyaya bir defaya mahsus verilecek süre hiçbir koşulda üç ayı geçemez ve bu eşyaya ilişkin süre uzatım talepleri karşılanmaz.</w:t>
      </w:r>
    </w:p>
    <w:p>
      <w:pPr>
        <w:pStyle w:val="BodyText"/>
      </w:pPr>
      <w:r>
        <w:t xml:space="preserve">Karar’ın 39 uncu maddesine göre önemli ekonomik etkisi olmayan eşyaya bir defaya mahsus tam muafiyetle izin verilir; süre hiçbir koşulda üç ayı geçemez ve uzatım talepleri karşılanmaz. Tamir veya siparişe konu üretim araçlarına verilen süre üç ay değil altı ay, alıcının incelemesine bağlı satın alınacak eşyaya verilen süre dört ay değil iki aydır. Kişisel kullanıma mahsus hava taşıtlarına altı ay (on sekiz ay, diğer kişisel deniz ve iç su yolu taşıtlarına verilen süredir), demiryolu taşıtlarına ise on iki ay süre verilir.</w:t>
      </w:r>
    </w:p>
    <w:p>
      <w:pPr>
        <w:pStyle w:val="BodyText"/>
      </w:pPr>
      <w:r>
        <w:rPr>
          <w:bCs/>
          <w:b/>
        </w:rPr>
        <w:t xml:space="preserve">Tuzak:</w:t>
      </w:r>
      <w:r>
        <w:t xml:space="preserve"> </w:t>
      </w:r>
      <w:r>
        <w:t xml:space="preserve">Geçici ithalattaki genel üst sınır olan yirmi dört ayı her taşıt için geçerli sanan aday demiryolu taşıtlarına ilişkin ifadeyi doğru kabul eder.</w:t>
      </w:r>
    </w:p>
    <w:p>
      <w:pPr>
        <w:pStyle w:val="BodyText"/>
      </w:pPr>
      <w:r>
        <w:rPr>
          <w:bCs/>
          <w:b/>
        </w:rPr>
        <w:t xml:space="preserve">Dayanak:</w:t>
      </w:r>
      <w:r>
        <w:t xml:space="preserve"> </w:t>
      </w:r>
      <w:r>
        <w:t xml:space="preserve">2009/15481 sayılı Karar md. 20, 36, 37/2, 39</w:t>
      </w:r>
    </w:p>
    <w:bookmarkEnd w:id="41"/>
    <w:bookmarkStart w:id="42" w:name="soru-cevap-a-5"/>
    <w:p>
      <w:pPr>
        <w:pStyle w:val="Heading4"/>
      </w:pPr>
      <w:r>
        <w:t xml:space="preserve">21. soru — Cevap: A</w:t>
      </w:r>
    </w:p>
    <w:p>
      <w:pPr>
        <w:pStyle w:val="FirstParagraph"/>
      </w:pPr>
      <w:r>
        <w:rPr>
          <w:iCs/>
          <w:i/>
        </w:rPr>
        <w:t xml:space="preserve">GM · Dahilde işleme · O2</w:t>
      </w:r>
    </w:p>
    <w:p>
      <w:pPr>
        <w:pStyle w:val="BodyText"/>
      </w:pPr>
      <w:r>
        <w:rPr>
          <w:bCs/>
          <w:b/>
        </w:rPr>
        <w:t xml:space="preserve">Doğru şık:</w:t>
      </w:r>
      <w:r>
        <w:t xml:space="preserve"> </w:t>
      </w:r>
      <w:r>
        <w:t xml:space="preserve">A) Eşdeğer eşyanın, Kanunun 109 uncu maddesine istinaden işleme faaliyetleri için kullanımı rejime giriş işlemlerine tabidir.</w:t>
      </w:r>
    </w:p>
    <w:p>
      <w:pPr>
        <w:pStyle w:val="BodyText"/>
      </w:pPr>
      <w:r>
        <w:t xml:space="preserve">Gümrük Yönetmeliğinin 355 inci maddesine göre eşdeğer eşyanın Kanunun 109 uncu maddesine istinaden işleme faaliyetleri için kullanımı rejime giriş işlemlerine tabi değildir;</w:t>
      </w:r>
      <w:r>
        <w:t xml:space="preserve"> </w:t>
      </w:r>
      <w:r>
        <w:t xml:space="preserve">“</w:t>
      </w:r>
      <w:r>
        <w:t xml:space="preserve">tabidir</w:t>
      </w:r>
      <w:r>
        <w:t xml:space="preserve">”</w:t>
      </w:r>
      <w:r>
        <w:t xml:space="preserve"> </w:t>
      </w:r>
      <w:r>
        <w:t xml:space="preserve">ifadesi yanlıştır. Eşdeğer eşyanın özel hallerde daha kaliteli veya ileri aşamada olabilmesi Kanunun 109 uncu maddesinin, önceden ihracatta sürenin ihracat beyannamesinin tescilinden başlaması Yönetmeliğin 354 üncü maddesinin, kapatmada statü değişimi 355 inci maddesinin, beyannamedeki tanımlama zorunluluğu ise 352 nci maddesinin hükmüdür.</w:t>
      </w:r>
    </w:p>
    <w:p>
      <w:pPr>
        <w:pStyle w:val="BodyText"/>
      </w:pPr>
      <w:r>
        <w:rPr>
          <w:bCs/>
          <w:b/>
        </w:rPr>
        <w:t xml:space="preserve">Tuzak:</w:t>
      </w:r>
      <w:r>
        <w:t xml:space="preserve"> </w:t>
      </w:r>
      <w:r>
        <w:t xml:space="preserve">Eşdeğer eşyanın da ithal eşyası gibi rejime</w:t>
      </w:r>
      <w:r>
        <w:t xml:space="preserve"> </w:t>
      </w:r>
      <w:r>
        <w:t xml:space="preserve">“</w:t>
      </w:r>
      <w:r>
        <w:t xml:space="preserve">girmesi</w:t>
      </w:r>
      <w:r>
        <w:t xml:space="preserve">”</w:t>
      </w:r>
      <w:r>
        <w:t xml:space="preserve"> </w:t>
      </w:r>
      <w:r>
        <w:t xml:space="preserve">gerektiğini düşünen aday bozuk ifadeyi doğru sanar.</w:t>
      </w:r>
    </w:p>
    <w:p>
      <w:pPr>
        <w:pStyle w:val="BodyText"/>
      </w:pPr>
      <w:r>
        <w:rPr>
          <w:bCs/>
          <w:b/>
        </w:rPr>
        <w:t xml:space="preserve">Dayanak:</w:t>
      </w:r>
      <w:r>
        <w:t xml:space="preserve"> </w:t>
      </w:r>
      <w:r>
        <w:t xml:space="preserve">4458 sayılı Gümrük Kanunu md. 109, 111/3; Gümrük Yönetmeliği md. 352/4, 354, 355</w:t>
      </w:r>
    </w:p>
    <w:bookmarkEnd w:id="42"/>
    <w:bookmarkStart w:id="43" w:name="soru-cevap-c-3"/>
    <w:p>
      <w:pPr>
        <w:pStyle w:val="Heading4"/>
      </w:pPr>
      <w:r>
        <w:t xml:space="preserve">22. soru — Cevap: C</w:t>
      </w:r>
    </w:p>
    <w:p>
      <w:pPr>
        <w:pStyle w:val="FirstParagraph"/>
      </w:pPr>
      <w:r>
        <w:rPr>
          <w:iCs/>
          <w:i/>
        </w:rPr>
        <w:t xml:space="preserve">GM · Hariçte işleme / GKAİR · G1</w:t>
      </w:r>
    </w:p>
    <w:p>
      <w:pPr>
        <w:pStyle w:val="BodyText"/>
      </w:pPr>
      <w:r>
        <w:rPr>
          <w:bCs/>
          <w:b/>
        </w:rPr>
        <w:t xml:space="preserve">Doğru şık:</w:t>
      </w:r>
      <w:r>
        <w:t xml:space="preserve"> </w:t>
      </w:r>
      <w:r>
        <w:t xml:space="preserve">C) Tamir amacıyla geçici ihraç edilen eşyanın tamiratının garanti nedeniyle sözleşmeye bağlı olarak bedelsiz yapıldığının kanıtlanması halinde, eşya serbest dolaşıma ithalat vergilerinden tam muaf olarak girer.</w:t>
      </w:r>
    </w:p>
    <w:p>
      <w:pPr>
        <w:pStyle w:val="BodyText"/>
      </w:pPr>
      <w:r>
        <w:t xml:space="preserve">Kanunun 142 nci maddesine göre tamir amacıyla geçici ihraç edilen eşyanın tamiratının garanti nedeniyle sözleşmeye bağlı olarak, kanuni bir yükümlülüğe dayanarak veya imalat hatası nedeniyle bedelsiz yapıldığı kanıtlanırsa eşya ithalat vergilerinden tam muaf olarak serbest dolaşıma girer. Önceden ithalatta geçici ihracat eşyasının ihracı için süre altı ay değil iki aydır; kullanılmış eşya için getirilen ikame ürünlerin de kullanılmış olması gerekir. Hariçte işleme izni yalnız Türkiye Gümrük Bölgesinde yerleşik kişilere verilir ve bedelli tamiratta gümrük kıymeti olarak tamir masraflarına eşit tutar esas alınır.</w:t>
      </w:r>
    </w:p>
    <w:p>
      <w:pPr>
        <w:pStyle w:val="BodyText"/>
      </w:pPr>
      <w:r>
        <w:rPr>
          <w:bCs/>
          <w:b/>
        </w:rPr>
        <w:t xml:space="preserve">Tuzak:</w:t>
      </w:r>
      <w:r>
        <w:t xml:space="preserve"> </w:t>
      </w:r>
      <w:r>
        <w:t xml:space="preserve">Standart değişimde ikame ürünün</w:t>
      </w:r>
      <w:r>
        <w:t xml:space="preserve"> </w:t>
      </w:r>
      <w:r>
        <w:t xml:space="preserve">“</w:t>
      </w:r>
      <w:r>
        <w:t xml:space="preserve">yeni</w:t>
      </w:r>
      <w:r>
        <w:t xml:space="preserve">”</w:t>
      </w:r>
      <w:r>
        <w:t xml:space="preserve"> </w:t>
      </w:r>
      <w:r>
        <w:t xml:space="preserve">olacağını varsayan aday, kullanılmış eşya yerine yeni eşya getirilmesini kural sanır.</w:t>
      </w:r>
    </w:p>
    <w:p>
      <w:pPr>
        <w:pStyle w:val="BodyText"/>
      </w:pPr>
      <w:r>
        <w:rPr>
          <w:bCs/>
          <w:b/>
        </w:rPr>
        <w:t xml:space="preserve">Dayanak:</w:t>
      </w:r>
      <w:r>
        <w:t xml:space="preserve"> </w:t>
      </w:r>
      <w:r>
        <w:t xml:space="preserve">4458 sayılı Gümrük Kanunu md. 138, 142, 143, 145, 146</w:t>
      </w:r>
    </w:p>
    <w:bookmarkEnd w:id="43"/>
    <w:bookmarkStart w:id="44" w:name="soru-cevap-c-4"/>
    <w:p>
      <w:pPr>
        <w:pStyle w:val="Heading4"/>
      </w:pPr>
      <w:r>
        <w:t xml:space="preserve">23. soru — Cevap: C</w:t>
      </w:r>
    </w:p>
    <w:p>
      <w:pPr>
        <w:pStyle w:val="FirstParagraph"/>
      </w:pPr>
      <w:r>
        <w:rPr>
          <w:iCs/>
          <w:i/>
        </w:rPr>
        <w:t xml:space="preserve">GM · İhracat (gümrük) · O2</w:t>
      </w:r>
    </w:p>
    <w:p>
      <w:pPr>
        <w:pStyle w:val="BodyText"/>
      </w:pPr>
      <w:r>
        <w:rPr>
          <w:bCs/>
          <w:b/>
        </w:rPr>
        <w:t xml:space="preserve">Doğru şık:</w:t>
      </w:r>
      <w:r>
        <w:t xml:space="preserve"> </w:t>
      </w:r>
      <w:r>
        <w:t xml:space="preserve">C) Yakıt, yağ ve kumanya dışında, dış seferde bulunan ya da dış sefere çıkacak olan deniz ve hava taşıtlarına serbest dolaşımda bulunan işletme ve donatım eşyası teslimi yeniden ihracat hükmündedir.</w:t>
      </w:r>
    </w:p>
    <w:p>
      <w:pPr>
        <w:pStyle w:val="BodyText"/>
      </w:pPr>
      <w:r>
        <w:t xml:space="preserve">Gümrük Yönetmeliğinin 418 inci maddesine göre dış seferdeki veya dış sefere çıkacak taşıtlara serbest dolaşımdaki işletme ve donatım eşyası teslimi ihracat hükmündedir; yeniden ihracat serbest dolaşımda olmayan eşyaya ilişkin bir kavram olduğundan bu ifade yanlıştır. İhracatın çıkış işlemlerine ilişkin hükümlerle gerçekleştirilmesi ve beyannameye tabi olmayan hallerin yönetmelikle belirlenmesi Kanunun 150 nci maddesinin, fiili ihraç koşulu 151 inci maddesinin, mektup, kartpostal, basılmış metin ve yolcunun kişisel bagajı için beyanname aranmaması Yönetmeliğin 415 inci maddesinin hükmüdür.</w:t>
      </w:r>
    </w:p>
    <w:p>
      <w:pPr>
        <w:pStyle w:val="BodyText"/>
      </w:pPr>
      <w:r>
        <w:rPr>
          <w:bCs/>
          <w:b/>
        </w:rPr>
        <w:t xml:space="preserve">Tuzak:</w:t>
      </w:r>
      <w:r>
        <w:t xml:space="preserve"> </w:t>
      </w:r>
      <w:r>
        <w:t xml:space="preserve">“</w:t>
      </w:r>
      <w:r>
        <w:t xml:space="preserve">Taşıta teslim</w:t>
      </w:r>
      <w:r>
        <w:t xml:space="preserve">”</w:t>
      </w:r>
      <w:r>
        <w:t xml:space="preserve"> </w:t>
      </w:r>
      <w:r>
        <w:t xml:space="preserve">ile</w:t>
      </w:r>
      <w:r>
        <w:t xml:space="preserve"> </w:t>
      </w:r>
      <w:r>
        <w:t xml:space="preserve">“</w:t>
      </w:r>
      <w:r>
        <w:t xml:space="preserve">yeniden ihracat</w:t>
      </w:r>
      <w:r>
        <w:t xml:space="preserve">”</w:t>
      </w:r>
      <w:r>
        <w:t xml:space="preserve"> </w:t>
      </w:r>
      <w:r>
        <w:t xml:space="preserve">arasında bağ kuran aday, eşyanın serbest dolaşımda olduğunu gözden kaçırır.</w:t>
      </w:r>
    </w:p>
    <w:p>
      <w:pPr>
        <w:pStyle w:val="BodyText"/>
      </w:pPr>
      <w:r>
        <w:rPr>
          <w:bCs/>
          <w:b/>
        </w:rPr>
        <w:t xml:space="preserve">Dayanak:</w:t>
      </w:r>
      <w:r>
        <w:t xml:space="preserve"> </w:t>
      </w:r>
      <w:r>
        <w:t xml:space="preserve">4458 sayılı Gümrük Kanunu md. 150, 151, 163; Gümrük Yönetmeliği md. 415/3, 418</w:t>
      </w:r>
    </w:p>
    <w:bookmarkEnd w:id="44"/>
    <w:bookmarkStart w:id="45" w:name="soru-cevap-a-6"/>
    <w:p>
      <w:pPr>
        <w:pStyle w:val="Heading4"/>
      </w:pPr>
      <w:r>
        <w:t xml:space="preserve">24. soru — Cevap: A</w:t>
      </w:r>
    </w:p>
    <w:p>
      <w:pPr>
        <w:pStyle w:val="FirstParagraph"/>
      </w:pPr>
      <w:r>
        <w:rPr>
          <w:iCs/>
          <w:i/>
        </w:rPr>
        <w:t xml:space="preserve">SAİR · İhracat rejimi · O2</w:t>
      </w:r>
    </w:p>
    <w:p>
      <w:pPr>
        <w:pStyle w:val="BodyText"/>
      </w:pPr>
      <w:r>
        <w:rPr>
          <w:bCs/>
          <w:b/>
        </w:rPr>
        <w:t xml:space="preserve">Doğru şık:</w:t>
      </w:r>
      <w:r>
        <w:t xml:space="preserve"> </w:t>
      </w:r>
      <w:r>
        <w:t xml:space="preserve">A) İhracatçılar, konsinye olarak gönderilen malların kesin satışının yapılmasından sonraki otuz gün içinde durumu, kesin satış faturası veya örneği ve gerekli diğer belgeler ile birlikte izni veren İhracatçı Birlikleri Genel Sekreterliğine ve aracı bankaya bildirir.</w:t>
      </w:r>
    </w:p>
    <w:p>
      <w:pPr>
        <w:pStyle w:val="BodyText"/>
      </w:pPr>
      <w:r>
        <w:t xml:space="preserve">06.05.2025 tarihli değişiklikle ihracatçının kesin satışı bildirme süresi</w:t>
      </w:r>
      <w:r>
        <w:t xml:space="preserve"> </w:t>
      </w:r>
      <w:r>
        <w:t xml:space="preserve">“</w:t>
      </w:r>
      <w:r>
        <w:t xml:space="preserve">otuz gün</w:t>
      </w:r>
      <w:r>
        <w:t xml:space="preserve">”</w:t>
      </w:r>
      <w:r>
        <w:t xml:space="preserve">den</w:t>
      </w:r>
      <w:r>
        <w:t xml:space="preserve"> </w:t>
      </w:r>
      <w:r>
        <w:t xml:space="preserve">“</w:t>
      </w:r>
      <w:r>
        <w:t xml:space="preserve">yüz yirmi gün</w:t>
      </w:r>
      <w:r>
        <w:t xml:space="preserve">”</w:t>
      </w:r>
      <w:r>
        <w:t xml:space="preserve">e çıkarılmış, bildirimin izni veren İhracatçı Birlikleri Genel Sekreterliğine ve aracı bankaya yapılacağı hükme bağlanmıştır; şıkta mülga süre kullanılmıştır. Başvurunun Genel Sekreterliğe yapılıp doğrudan onca sonuçlandırılması, Genel Sekreterliğin beş gün içinde aracı bankaya ve gümrük idaresine bildirimi, satılamayan malın kesin satış süresi (md. 9/5) içinde yurda getirilmesi ve basitleştirilmiş beyanname kapsamındaki konsinye ihracatta bir yıllık sürenin uzatılmaması yürürlükteki hükümlerdir.</w:t>
      </w:r>
    </w:p>
    <w:p>
      <w:pPr>
        <w:pStyle w:val="BodyText"/>
      </w:pPr>
      <w:r>
        <w:rPr>
          <w:bCs/>
          <w:b/>
        </w:rPr>
        <w:t xml:space="preserve">Tuzak:</w:t>
      </w:r>
      <w:r>
        <w:t xml:space="preserve"> </w:t>
      </w:r>
      <w:r>
        <w:t xml:space="preserve">Değişiklikten önceki metinle çalışan aday</w:t>
      </w:r>
      <w:r>
        <w:t xml:space="preserve"> </w:t>
      </w:r>
      <w:r>
        <w:t xml:space="preserve">“</w:t>
      </w:r>
      <w:r>
        <w:t xml:space="preserve">otuz gün</w:t>
      </w:r>
      <w:r>
        <w:t xml:space="preserve">”</w:t>
      </w:r>
      <w:r>
        <w:t xml:space="preserve"> </w:t>
      </w:r>
      <w:r>
        <w:t xml:space="preserve">ifadesini doğru sanır;</w:t>
      </w:r>
      <w:r>
        <w:t xml:space="preserve"> </w:t>
      </w:r>
      <w:r>
        <w:t xml:space="preserve">“</w:t>
      </w:r>
      <w:r>
        <w:t xml:space="preserve">bu süre uzatılmaz</w:t>
      </w:r>
      <w:r>
        <w:t xml:space="preserve">”</w:t>
      </w:r>
      <w:r>
        <w:t xml:space="preserve"> </w:t>
      </w:r>
      <w:r>
        <w:t xml:space="preserve">mutlak ifadesini ise bozulma zanneder.</w:t>
      </w:r>
    </w:p>
    <w:p>
      <w:pPr>
        <w:pStyle w:val="BodyText"/>
      </w:pPr>
      <w:r>
        <w:rPr>
          <w:bCs/>
          <w:b/>
        </w:rPr>
        <w:t xml:space="preserve">Dayanak:</w:t>
      </w:r>
      <w:r>
        <w:t xml:space="preserve"> </w:t>
      </w:r>
      <w:r>
        <w:t xml:space="preserve">İhracat Yönetmeliği md. 9/1, 9/3, 9/4, 9/6, 9/7 (06.05.2025 tarihli ve 32892 sayılı RG ile değişik)</w:t>
      </w:r>
    </w:p>
    <w:bookmarkEnd w:id="45"/>
    <w:bookmarkStart w:id="46" w:name="soru-cevap-b-2"/>
    <w:p>
      <w:pPr>
        <w:pStyle w:val="Heading4"/>
      </w:pPr>
      <w:r>
        <w:t xml:space="preserve">25. soru — Cevap: B</w:t>
      </w:r>
    </w:p>
    <w:p>
      <w:pPr>
        <w:pStyle w:val="FirstParagraph"/>
      </w:pPr>
      <w:r>
        <w:rPr>
          <w:iCs/>
          <w:i/>
        </w:rPr>
        <w:t xml:space="preserve">SAİR · İhracat rejimi · Ö1</w:t>
      </w:r>
    </w:p>
    <w:p>
      <w:pPr>
        <w:pStyle w:val="BodyText"/>
      </w:pPr>
      <w:r>
        <w:rPr>
          <w:bCs/>
          <w:b/>
        </w:rPr>
        <w:t xml:space="preserve">Doğru şık:</w:t>
      </w:r>
      <w:r>
        <w:t xml:space="preserve"> </w:t>
      </w:r>
      <w:r>
        <w:t xml:space="preserve">B) Yalnız II</w:t>
      </w:r>
    </w:p>
    <w:p>
      <w:pPr>
        <w:pStyle w:val="BodyText"/>
      </w:pPr>
      <w:r>
        <w:t xml:space="preserve">Aynı bedel ve şartlarla mal ihracı talepleri giriş ve çıkışta ayniyet tespit edilerek gümrük idarelerince sonuçlandırılır (I yanlış); başka bedel ve şartlarla satış talepleri ise Genel Sekreterlikçe onaylı faturanın ibrazından sonra yine gümrük idarelerince sonuçlandırılır (II doğru). Yanma, çalınma gibi nedenlerle teslim edilemeyen mallara ilişkin talepler Bakanlıkça (İhracat Genel Müdürlüğü) sonuçlandırılır (III yanlış). Gümrük idarelerince sonuçlandırılan talepler Genel Sekreterliğe ve mükellefin bağlı bulunduğu vergi dairesine bildirilir;</w:t>
      </w:r>
      <w:r>
        <w:t xml:space="preserve"> </w:t>
      </w:r>
      <w:r>
        <w:t xml:space="preserve">“</w:t>
      </w:r>
      <w:r>
        <w:t xml:space="preserve">aracı banka</w:t>
      </w:r>
      <w:r>
        <w:t xml:space="preserve">”</w:t>
      </w:r>
      <w:r>
        <w:t xml:space="preserve"> </w:t>
      </w:r>
      <w:r>
        <w:t xml:space="preserve">ibaresi 2008 değişikliğiyle kaldırılmış eski metne aittir (IV yanlış).</w:t>
      </w:r>
    </w:p>
    <w:p>
      <w:pPr>
        <w:pStyle w:val="BodyText"/>
      </w:pPr>
      <w:r>
        <w:rPr>
          <w:bCs/>
          <w:b/>
        </w:rPr>
        <w:t xml:space="preserve">Tuzak:</w:t>
      </w:r>
      <w:r>
        <w:t xml:space="preserve"> </w:t>
      </w:r>
      <w:r>
        <w:t xml:space="preserve">Aday, aracı bankaya bildirimi konsinye ihracattan bu maddeye taşır ya da teslim edilemeyen mal taleplerini Genel Sekreterliğin işi sanar.</w:t>
      </w:r>
    </w:p>
    <w:p>
      <w:pPr>
        <w:pStyle w:val="BodyText"/>
      </w:pPr>
      <w:r>
        <w:rPr>
          <w:bCs/>
          <w:b/>
        </w:rPr>
        <w:t xml:space="preserve">Dayanak:</w:t>
      </w:r>
      <w:r>
        <w:t xml:space="preserve"> </w:t>
      </w:r>
      <w:r>
        <w:t xml:space="preserve">İhracat Yönetmeliği md. 14/1, 14/2, 14/3 ve md. 15/1</w:t>
      </w:r>
    </w:p>
    <w:bookmarkEnd w:id="46"/>
    <w:bookmarkStart w:id="47" w:name="soru-cevap-e-8"/>
    <w:p>
      <w:pPr>
        <w:pStyle w:val="Heading4"/>
      </w:pPr>
      <w:r>
        <w:t xml:space="preserve">26. soru — Cevap: E</w:t>
      </w:r>
    </w:p>
    <w:p>
      <w:pPr>
        <w:pStyle w:val="FirstParagraph"/>
      </w:pPr>
      <w:r>
        <w:rPr>
          <w:iCs/>
          <w:i/>
        </w:rPr>
        <w:t xml:space="preserve">SAİR · İhracat rejimi · O1</w:t>
      </w:r>
    </w:p>
    <w:p>
      <w:pPr>
        <w:pStyle w:val="BodyText"/>
      </w:pPr>
      <w:r>
        <w:rPr>
          <w:bCs/>
          <w:b/>
        </w:rPr>
        <w:t xml:space="preserve">Doğru şık:</w:t>
      </w:r>
      <w:r>
        <w:t xml:space="preserve"> </w:t>
      </w:r>
      <w:r>
        <w:t xml:space="preserve">E) Afyon ve haşhaş kellesi</w:t>
      </w:r>
    </w:p>
    <w:p>
      <w:pPr>
        <w:pStyle w:val="BodyText"/>
      </w:pPr>
      <w:r>
        <w:t xml:space="preserve">Meyan kökü, ham lületaşı ve taslak pipo, orijinal bağırsak ile tohumluk olmayan haşhaş tohumu (1207.91.90.00.00) İhracı Kayda Bağlı Mallar Listesinde yer alır; bu malların beyannameleri ihracattan önce İhracatçı Birlikleri Genel Sekreterliğince kayda alınır. Afyon ve haşhaş kellesi ise İhracat 96/31 sayılı Tebliğin Ek-2 listesinde, ihracı Sağlık Bakanlığının ön iznine bağlı mallar arasındadır.</w:t>
      </w:r>
    </w:p>
    <w:p>
      <w:pPr>
        <w:pStyle w:val="BodyText"/>
      </w:pPr>
      <w:r>
        <w:rPr>
          <w:bCs/>
          <w:b/>
        </w:rPr>
        <w:t xml:space="preserve">Tuzak:</w:t>
      </w:r>
      <w:r>
        <w:t xml:space="preserve"> </w:t>
      </w:r>
      <w:r>
        <w:t xml:space="preserve">Aday listede haşhaş tohumunu gördüğü için haşhaş kellesini de kayda bağlı sanır; ön izin ile kayıt listelerini karıştırır.</w:t>
      </w:r>
    </w:p>
    <w:p>
      <w:pPr>
        <w:pStyle w:val="BodyText"/>
      </w:pPr>
      <w:r>
        <w:rPr>
          <w:bCs/>
          <w:b/>
        </w:rPr>
        <w:t xml:space="preserve">Dayanak:</w:t>
      </w:r>
      <w:r>
        <w:t xml:space="preserve"> </w:t>
      </w:r>
      <w:r>
        <w:t xml:space="preserve">İhracı Kayda Bağlı Mallara İlişkin Tebliğ (İhracat 2006/7) Ek liste sıra 9, 10, 13, 27; İhracat 96/31 Ek-2 sıra 2</w:t>
      </w:r>
    </w:p>
    <w:bookmarkEnd w:id="47"/>
    <w:bookmarkStart w:id="48" w:name="soru-cevap-d-2"/>
    <w:p>
      <w:pPr>
        <w:pStyle w:val="Heading4"/>
      </w:pPr>
      <w:r>
        <w:t xml:space="preserve">27. soru — Cevap: D</w:t>
      </w:r>
    </w:p>
    <w:p>
      <w:pPr>
        <w:pStyle w:val="FirstParagraph"/>
      </w:pPr>
      <w:r>
        <w:rPr>
          <w:iCs/>
          <w:i/>
        </w:rPr>
        <w:t xml:space="preserve">SAİR · İthalat rejimi · O1</w:t>
      </w:r>
    </w:p>
    <w:p>
      <w:pPr>
        <w:pStyle w:val="BodyText"/>
      </w:pPr>
      <w:r>
        <w:rPr>
          <w:bCs/>
          <w:b/>
        </w:rPr>
        <w:t xml:space="preserve">Doğru şık:</w:t>
      </w:r>
      <w:r>
        <w:t xml:space="preserve"> </w:t>
      </w:r>
      <w:r>
        <w:t xml:space="preserve">D) Eşyanın İthalat Rejimi Kararına ekli II veya III sayılı listede yer alması</w:t>
      </w:r>
    </w:p>
    <w:p>
      <w:pPr>
        <w:pStyle w:val="BodyText"/>
      </w:pPr>
      <w:r>
        <w:t xml:space="preserve">Karar; dahilde işleme rejiminde telafi edici verginin hesaplanmasında, tarife kontenjanı kapsamında sıfır veya indirimli vergiyle yapılan ithalatta, eşyanın aynı zamanda V veya VI sayılı listede yer alması hâlinde ve gümrük vergisi muafiyetinden yararlanılarak yapılan ithalatta ilave gümrük vergisi uygulanmayacağını hükme bağlar. Eşyanın İthalat Rejimi Kararına ekli II veya III sayılı listede yer alması ise istisna değil, Kararın uygulama alanını belirleyen koşuldur; ilave gümrük vergisi bu listelerdeki eşya için alınır. Gümrük vergisi muafiyetine ilişkin istisna 11.07.2026 tarihli ve 11508 sayılı Kararla bugünkü genel hâlini almıştır; önceki metin yalnız yatırım teşvik belgesi kapsamındaki muafiyetli ithalatı sayıyordu.</w:t>
      </w:r>
    </w:p>
    <w:p>
      <w:pPr>
        <w:pStyle w:val="BodyText"/>
      </w:pPr>
      <w:r>
        <w:rPr>
          <w:bCs/>
          <w:b/>
        </w:rPr>
        <w:t xml:space="preserve">Tuzak:</w:t>
      </w:r>
      <w:r>
        <w:t xml:space="preserve"> </w:t>
      </w:r>
      <w:r>
        <w:t xml:space="preserve">Aday</w:t>
      </w:r>
      <w:r>
        <w:t xml:space="preserve"> </w:t>
      </w:r>
      <w:r>
        <w:t xml:space="preserve">“</w:t>
      </w:r>
      <w:r>
        <w:t xml:space="preserve">liste</w:t>
      </w:r>
      <w:r>
        <w:t xml:space="preserve">”</w:t>
      </w:r>
      <w:r>
        <w:t xml:space="preserve"> </w:t>
      </w:r>
      <w:r>
        <w:t xml:space="preserve">ifadeleri arasında V-VI sayılı listeler ile II-III sayılı listeleri karıştırır.</w:t>
      </w:r>
    </w:p>
    <w:p>
      <w:pPr>
        <w:pStyle w:val="BodyText"/>
      </w:pPr>
      <w:r>
        <w:rPr>
          <w:bCs/>
          <w:b/>
        </w:rPr>
        <w:t xml:space="preserve">Dayanak:</w:t>
      </w:r>
      <w:r>
        <w:t xml:space="preserve"> </w:t>
      </w:r>
      <w:r>
        <w:t xml:space="preserve">İthalatta İlave Gümrük Vergisi Uygulanmasına İlişkin Karar md. 1 ve md. 4/1, 4/3, 4/5, 4/6 (4/6: 11.07.2026 tarihli ve 11508 sayılı Kararla değişik)</w:t>
      </w:r>
    </w:p>
    <w:bookmarkEnd w:id="48"/>
    <w:bookmarkStart w:id="49" w:name="soru-cevap-a-7"/>
    <w:p>
      <w:pPr>
        <w:pStyle w:val="Heading4"/>
      </w:pPr>
      <w:r>
        <w:t xml:space="preserve">28. soru — Cevap: A</w:t>
      </w:r>
    </w:p>
    <w:p>
      <w:pPr>
        <w:pStyle w:val="FirstParagraph"/>
      </w:pPr>
      <w:r>
        <w:rPr>
          <w:iCs/>
          <w:i/>
        </w:rPr>
        <w:t xml:space="preserve">SAİR · DİR (Ticaret) · Ö1</w:t>
      </w:r>
    </w:p>
    <w:p>
      <w:pPr>
        <w:pStyle w:val="BodyText"/>
      </w:pPr>
      <w:r>
        <w:rPr>
          <w:bCs/>
          <w:b/>
        </w:rPr>
        <w:t xml:space="preserve">Doğru şık:</w:t>
      </w:r>
      <w:r>
        <w:t xml:space="preserve"> </w:t>
      </w:r>
      <w:r>
        <w:t xml:space="preserve">A) I ve II</w:t>
      </w:r>
    </w:p>
    <w:p>
      <w:pPr>
        <w:pStyle w:val="BodyText"/>
      </w:pPr>
      <w:r>
        <w:t xml:space="preserve">Tebliğe göre ihracat taahhüdünün azami %1’i oranında değişmemiş eşya ithalatına izin verilebilir (I doğru); işletme malzemesi değeri taahhüdün %2’sini geçemez, doğal taş ile kıymetli maden ve taş taahhütlü belgelerde bu oran %10’a kadar tespit edilebilir (II doğru). Döviz kullanım oranı dahilde işleme izninde, belge kapsamındaki bedelsiz ithalatta ve yurt içi alımlarda aranmaz (III yanlış). Eşdeğer eşyada genel kural asgari 8’li bazda GTİP olmakla birlikte tarım ürünlerinde tespit münhasıran 12’li bazda yapılır (IV yanlış).</w:t>
      </w:r>
    </w:p>
    <w:p>
      <w:pPr>
        <w:pStyle w:val="BodyText"/>
      </w:pPr>
      <w:r>
        <w:rPr>
          <w:bCs/>
          <w:b/>
        </w:rPr>
        <w:t xml:space="preserve">Tuzak:</w:t>
      </w:r>
      <w:r>
        <w:t xml:space="preserve"> </w:t>
      </w:r>
      <w:r>
        <w:t xml:space="preserve">Aday eşdeğer eşyanın genel 8’li baz kuralını tarım ürünlerine de uygular; döviz kullanım oranının her alımda arandığını düşünür.</w:t>
      </w:r>
    </w:p>
    <w:p>
      <w:pPr>
        <w:pStyle w:val="BodyText"/>
      </w:pPr>
      <w:r>
        <w:rPr>
          <w:bCs/>
          <w:b/>
        </w:rPr>
        <w:t xml:space="preserve">Dayanak:</w:t>
      </w:r>
      <w:r>
        <w:t xml:space="preserve"> </w:t>
      </w:r>
      <w:r>
        <w:t xml:space="preserve">Dahilde İşleme Rejimi Tebliği md. 6/1, md. 17/8, 17/11, 17/12</w:t>
      </w:r>
    </w:p>
    <w:bookmarkEnd w:id="49"/>
    <w:bookmarkStart w:id="50" w:name="soru-cevap-c-5"/>
    <w:p>
      <w:pPr>
        <w:pStyle w:val="Heading4"/>
      </w:pPr>
      <w:r>
        <w:t xml:space="preserve">29. soru — Cevap: C</w:t>
      </w:r>
    </w:p>
    <w:p>
      <w:pPr>
        <w:pStyle w:val="FirstParagraph"/>
      </w:pPr>
      <w:r>
        <w:rPr>
          <w:iCs/>
          <w:i/>
        </w:rPr>
        <w:t xml:space="preserve">GM · Geri gelen eşya · Ö3</w:t>
      </w:r>
    </w:p>
    <w:p>
      <w:pPr>
        <w:pStyle w:val="BodyText"/>
      </w:pPr>
      <w:r>
        <w:rPr>
          <w:bCs/>
          <w:b/>
        </w:rPr>
        <w:t xml:space="preserve">Doğru şık:</w:t>
      </w:r>
      <w:r>
        <w:t xml:space="preserve"> </w:t>
      </w:r>
      <w:r>
        <w:t xml:space="preserve">C) I, II ve III</w:t>
      </w:r>
    </w:p>
    <w:p>
      <w:pPr>
        <w:pStyle w:val="BodyText"/>
      </w:pPr>
      <w:r>
        <w:t xml:space="preserve">Yönetmeliğin 448 inci maddesine göre yükümlü, eşyanın ihracına ilişkin gümrük beyannamesini ve ayniyet tespitine ilişkin diğer belgeleri ibraz eder; 451 inci maddeye göre de ihracat nedeniyle yararlanılan hak ve menfaat varsa bunların iade edildiğini gösteren belgenin beyannameye eklenmesi gerekir. Eşya Türkiye’den ihraç edilip geri geldiğinden, ihraç edildiği ülkece düzenlenen bir menşe şahadetnamesi aranmaz.</w:t>
      </w:r>
    </w:p>
    <w:p>
      <w:pPr>
        <w:pStyle w:val="BodyText"/>
      </w:pPr>
      <w:r>
        <w:rPr>
          <w:bCs/>
          <w:b/>
        </w:rPr>
        <w:t xml:space="preserve">Tuzak:</w:t>
      </w:r>
      <w:r>
        <w:t xml:space="preserve"> </w:t>
      </w:r>
      <w:r>
        <w:t xml:space="preserve">Geri gelen eşyanın</w:t>
      </w:r>
      <w:r>
        <w:t xml:space="preserve"> </w:t>
      </w:r>
      <w:r>
        <w:t xml:space="preserve">“</w:t>
      </w:r>
      <w:r>
        <w:t xml:space="preserve">yabancı ülkeden gelen eşya</w:t>
      </w:r>
      <w:r>
        <w:t xml:space="preserve">”</w:t>
      </w:r>
      <w:r>
        <w:t xml:space="preserve"> </w:t>
      </w:r>
      <w:r>
        <w:t xml:space="preserve">olarak menşe belgesiyle beyan edileceğini sanan aday dördüncü öncülü de ekler.</w:t>
      </w:r>
    </w:p>
    <w:p>
      <w:pPr>
        <w:pStyle w:val="BodyText"/>
      </w:pPr>
      <w:r>
        <w:rPr>
          <w:bCs/>
          <w:b/>
        </w:rPr>
        <w:t xml:space="preserve">Dayanak:</w:t>
      </w:r>
      <w:r>
        <w:t xml:space="preserve"> </w:t>
      </w:r>
      <w:r>
        <w:t xml:space="preserve">Gümrük Yönetmeliği md. 448, 451</w:t>
      </w:r>
    </w:p>
    <w:bookmarkEnd w:id="50"/>
    <w:bookmarkStart w:id="51" w:name="soru-cevap-b-3"/>
    <w:p>
      <w:pPr>
        <w:pStyle w:val="Heading4"/>
      </w:pPr>
      <w:r>
        <w:t xml:space="preserve">30. soru — Cevap: B</w:t>
      </w:r>
    </w:p>
    <w:p>
      <w:pPr>
        <w:pStyle w:val="FirstParagraph"/>
      </w:pPr>
      <w:r>
        <w:rPr>
          <w:iCs/>
          <w:i/>
        </w:rPr>
        <w:t xml:space="preserve">GM · Geri gelen eşya · O2</w:t>
      </w:r>
    </w:p>
    <w:p>
      <w:pPr>
        <w:pStyle w:val="BodyText"/>
      </w:pPr>
      <w:r>
        <w:rPr>
          <w:bCs/>
          <w:b/>
        </w:rPr>
        <w:t xml:space="preserve">Doğru şık:</w:t>
      </w:r>
      <w:r>
        <w:t xml:space="preserve"> </w:t>
      </w:r>
      <w:r>
        <w:t xml:space="preserve">B) Süre uzatımı talep edilmeksizin üç yıllık süre aşılarak geri getirilen eşyaya Kanunun 238 inci maddesi uyarınca ceza uygulanır ve gümrük vergileri tahsil edilerek serbest dolaşıma giriş rejimi hükümleri uygulanır.</w:t>
      </w:r>
    </w:p>
    <w:p>
      <w:pPr>
        <w:pStyle w:val="BodyText"/>
      </w:pPr>
      <w:r>
        <w:t xml:space="preserve">Yönetmeliğin 453 üncü maddesinin birinci fıkrasına göre üç yıllık süreyi (veya idarece uzatılan süreyi) aşarak geri getirilen eşyaya Kanunun 241 inci maddesinin üçüncü fıkrasının (ı) bendi uyarınca usulsüzlük cezası uygulanır, gümrük vergileri tahsil edilerek serbest dolaşıma giriş rejimi hükümleri uygulanır; 238 inci madde cezası öngörülmemiştir. Üç yıl aşılmadan ek sürelerin aşılmasında usulsüzlük cezası uygulanıp vergi alınmaması, geri getirilmeyen geçici ihracat eşyasından ihracat vergilerinin alınması, süre bitmeden kesin ihracata dönüşüm ve mücbir sebeplerle süre uzatımı 452 ve 453 üncü maddelerin hükümleridir.</w:t>
      </w:r>
    </w:p>
    <w:p>
      <w:pPr>
        <w:pStyle w:val="BodyText"/>
      </w:pPr>
      <w:r>
        <w:rPr>
          <w:bCs/>
          <w:b/>
        </w:rPr>
        <w:t xml:space="preserve">Tuzak:</w:t>
      </w:r>
      <w:r>
        <w:t xml:space="preserve"> </w:t>
      </w:r>
      <w:r>
        <w:t xml:space="preserve">Süre aşımını rejim şartlarının ihlali gibi değerlendiren aday 238 inci madde cezasını doğru kabul eder.</w:t>
      </w:r>
    </w:p>
    <w:p>
      <w:pPr>
        <w:pStyle w:val="BodyText"/>
      </w:pPr>
      <w:r>
        <w:rPr>
          <w:bCs/>
          <w:b/>
        </w:rPr>
        <w:t xml:space="preserve">Dayanak:</w:t>
      </w:r>
      <w:r>
        <w:t xml:space="preserve"> </w:t>
      </w:r>
      <w:r>
        <w:t xml:space="preserve">Gümrük Yönetmeliği md. 452/2, 453/1-4; 4458 sayılı Gümrük Kanunu md. 241/3-ı</w:t>
      </w:r>
    </w:p>
    <w:bookmarkEnd w:id="51"/>
    <w:bookmarkStart w:id="52" w:name="soru-cevap-c-6"/>
    <w:p>
      <w:pPr>
        <w:pStyle w:val="Heading4"/>
      </w:pPr>
      <w:r>
        <w:t xml:space="preserve">31. soru — Cevap: C</w:t>
      </w:r>
    </w:p>
    <w:p>
      <w:pPr>
        <w:pStyle w:val="FirstParagraph"/>
      </w:pPr>
      <w:r>
        <w:rPr>
          <w:iCs/>
          <w:i/>
        </w:rPr>
        <w:t xml:space="preserve">GM · Muafiyetler · D3</w:t>
      </w:r>
    </w:p>
    <w:p>
      <w:pPr>
        <w:pStyle w:val="BodyText"/>
      </w:pPr>
      <w:r>
        <w:rPr>
          <w:bCs/>
          <w:b/>
        </w:rPr>
        <w:t xml:space="preserve">Doğru şık:</w:t>
      </w:r>
      <w:r>
        <w:t xml:space="preserve"> </w:t>
      </w:r>
      <w:r>
        <w:t xml:space="preserve">C) İstiap haddi 20 ton olan ve standart deposunda 380 litre yakıt bulunan tanker</w:t>
      </w:r>
    </w:p>
    <w:p>
      <w:pPr>
        <w:pStyle w:val="BodyText"/>
      </w:pPr>
      <w:r>
        <w:t xml:space="preserve">Karar’ın 96 ncı maddesine göre motorlu ticari araçların standart depolarında muaf olarak ithal edilecek yakıt; TIR çekicilerinde 550, istiap haddi 15 tona kadar (15 ton dahil) olan kamyon ve tankerlerde 300, 15 tonun üzerindeki kamyon ve tankerlerde 400, otobüslerde 300 litreyi aşamaz. İstiap haddi 20 ton olan tankerdeki 380 litre 400 litrelik sınırın içindedir. 15 ton istiap hadli tanker 300 litrelik kademeye girdiğinden 320 litre sınırı aşar; diğer araçlardaki miktarlar da ilgili sınırların üzerindedir.</w:t>
      </w:r>
    </w:p>
    <w:p>
      <w:pPr>
        <w:pStyle w:val="BodyText"/>
      </w:pPr>
      <w:r>
        <w:rPr>
          <w:bCs/>
          <w:b/>
        </w:rPr>
        <w:t xml:space="preserve">Tuzak:</w:t>
      </w:r>
      <w:r>
        <w:t xml:space="preserve"> </w:t>
      </w:r>
      <w:r>
        <w:t xml:space="preserve">“</w:t>
      </w:r>
      <w:r>
        <w:t xml:space="preserve">15 ton dahil</w:t>
      </w:r>
      <w:r>
        <w:t xml:space="preserve">”</w:t>
      </w:r>
      <w:r>
        <w:t xml:space="preserve"> </w:t>
      </w:r>
      <w:r>
        <w:t xml:space="preserve">ifadesini gözden kaçıran aday 15 tonluk tankeri 400 litrelik kademede değerlendirerek iki doğru cevap bulduğunu sanır ya da yanlış seçeneğe kayar.</w:t>
      </w:r>
    </w:p>
    <w:p>
      <w:pPr>
        <w:pStyle w:val="BodyText"/>
      </w:pPr>
      <w:r>
        <w:rPr>
          <w:bCs/>
          <w:b/>
        </w:rPr>
        <w:t xml:space="preserve">Dayanak:</w:t>
      </w:r>
      <w:r>
        <w:t xml:space="preserve"> </w:t>
      </w:r>
      <w:r>
        <w:t xml:space="preserve">2009/15481 sayılı Karar md. 95, 96/1</w:t>
      </w:r>
    </w:p>
    <w:bookmarkEnd w:id="52"/>
    <w:bookmarkStart w:id="53" w:name="soru-cevap-e-9"/>
    <w:p>
      <w:pPr>
        <w:pStyle w:val="Heading4"/>
      </w:pPr>
      <w:r>
        <w:t xml:space="preserve">32. soru — Cevap: E</w:t>
      </w:r>
    </w:p>
    <w:p>
      <w:pPr>
        <w:pStyle w:val="FirstParagraph"/>
      </w:pPr>
      <w:r>
        <w:rPr>
          <w:iCs/>
          <w:i/>
        </w:rPr>
        <w:t xml:space="preserve">GM · Muafiyetler · O1</w:t>
      </w:r>
    </w:p>
    <w:p>
      <w:pPr>
        <w:pStyle w:val="BodyText"/>
      </w:pPr>
      <w:r>
        <w:rPr>
          <w:bCs/>
          <w:b/>
        </w:rPr>
        <w:t xml:space="preserve">Doğru şık:</w:t>
      </w:r>
      <w:r>
        <w:t xml:space="preserve"> </w:t>
      </w:r>
      <w:r>
        <w:t xml:space="preserve">E) Ulaştırma şartlarındaki beklenmeyen değişiklikler</w:t>
      </w:r>
    </w:p>
    <w:p>
      <w:pPr>
        <w:pStyle w:val="BodyText"/>
      </w:pPr>
      <w:r>
        <w:t xml:space="preserve">Karar’ın 111 inci maddesi mücbir sebep hâllerini; Karar’da belirtilen kriz hâlleri, devletçe konulan yasaklar, abluka veya savaş hâli, kısmi veya genel seferberlik ilanı, terör, kaza, hastalık, gözaltında bulunma, tutukluluk veya hükümlülük hâlleri, yükümlünün iflası ve yükümlü faaliyetinin kamu otoritelerince durdurulması olarak sayar. Ulaştırma şartlarındaki beklenmeyen değişiklikler ise aynı maddede</w:t>
      </w:r>
      <w:r>
        <w:t xml:space="preserve"> </w:t>
      </w:r>
      <w:r>
        <w:t xml:space="preserve">“</w:t>
      </w:r>
      <w:r>
        <w:t xml:space="preserve">beklenmeyen hâller</w:t>
      </w:r>
      <w:r>
        <w:t xml:space="preserve">”</w:t>
      </w:r>
      <w:r>
        <w:t xml:space="preserve"> </w:t>
      </w:r>
      <w:r>
        <w:t xml:space="preserve">arasında yer alır.</w:t>
      </w:r>
    </w:p>
    <w:p>
      <w:pPr>
        <w:pStyle w:val="BodyText"/>
      </w:pPr>
      <w:r>
        <w:rPr>
          <w:bCs/>
          <w:b/>
        </w:rPr>
        <w:t xml:space="preserve">Tuzak:</w:t>
      </w:r>
      <w:r>
        <w:t xml:space="preserve"> </w:t>
      </w:r>
      <w:r>
        <w:t xml:space="preserve">Mücbir sebep ile beklenmeyen hâli aynı liste sanan aday ulaştırma şartlarındaki değişikliği mücbir sebep kabul eder; kişisel durumları (hastalık, tutukluluk) mücbir sebep saymayan aday o seçeneğe yönelir.</w:t>
      </w:r>
    </w:p>
    <w:p>
      <w:pPr>
        <w:pStyle w:val="BodyText"/>
      </w:pPr>
      <w:r>
        <w:rPr>
          <w:bCs/>
          <w:b/>
        </w:rPr>
        <w:t xml:space="preserve">Dayanak:</w:t>
      </w:r>
      <w:r>
        <w:t xml:space="preserve"> </w:t>
      </w:r>
      <w:r>
        <w:t xml:space="preserve">2009/15481 sayılı Karar md. 111</w:t>
      </w:r>
    </w:p>
    <w:bookmarkEnd w:id="53"/>
    <w:bookmarkStart w:id="54" w:name="soru-cevap-e-10"/>
    <w:p>
      <w:pPr>
        <w:pStyle w:val="Heading4"/>
      </w:pPr>
      <w:r>
        <w:t xml:space="preserve">33. soru — Cevap: E</w:t>
      </w:r>
    </w:p>
    <w:p>
      <w:pPr>
        <w:pStyle w:val="FirstParagraph"/>
      </w:pPr>
      <w:r>
        <w:rPr>
          <w:iCs/>
          <w:i/>
        </w:rPr>
        <w:t xml:space="preserve">GM · Muafiyetler · Ö3</w:t>
      </w:r>
    </w:p>
    <w:p>
      <w:pPr>
        <w:pStyle w:val="BodyText"/>
      </w:pPr>
      <w:r>
        <w:rPr>
          <w:bCs/>
          <w:b/>
        </w:rPr>
        <w:t xml:space="preserve">Doğru şık:</w:t>
      </w:r>
      <w:r>
        <w:t xml:space="preserve"> </w:t>
      </w:r>
      <w:r>
        <w:t xml:space="preserve">E) I, II, III ve IV</w:t>
      </w:r>
    </w:p>
    <w:p>
      <w:pPr>
        <w:pStyle w:val="BodyText"/>
      </w:pPr>
      <w:r>
        <w:t xml:space="preserve">Gümrük Yönetmeliğinin 438 inci maddesine göre diplomatik muafiyetlerden; yabancı devlet başkanları ve aileleri ile refakatlerine memur olanlar, diplomatik pasaportu haiz olmak kaydıyla resmi bir ziyaret veya görev için gelen delegeler ile sivil ve askeri heyetler, yabancı devletlerin Türkiye’deki diplomatik temsilcilik ve konsolosluklarında görevli misyon şefleri, diplomatik memurlar, meslekten konsolosluk memurları ile idari ve teknik personel ve milletlerarası resmi kuruluşların Türkiye’de ikamet eden misyon şefleri, diplomatik memurları ile idari ve teknik personeli yararlanabilir. Dört öncülün tamamı bu sayımda yer alır.</w:t>
      </w:r>
    </w:p>
    <w:p>
      <w:pPr>
        <w:pStyle w:val="BodyText"/>
      </w:pPr>
      <w:r>
        <w:rPr>
          <w:bCs/>
          <w:b/>
        </w:rPr>
        <w:t xml:space="preserve">Tuzak:</w:t>
      </w:r>
      <w:r>
        <w:t xml:space="preserve"> </w:t>
      </w:r>
      <w:r>
        <w:t xml:space="preserve">Muafiyeti yalnız diplomatik unvanlı kişilere ait sanan aday konsolosluk memurlarını ya da milletlerarası kuruluşların idari ve teknik personelini dışarıda bırakır;</w:t>
      </w:r>
      <w:r>
        <w:t xml:space="preserve"> </w:t>
      </w:r>
      <w:r>
        <w:t xml:space="preserve">“</w:t>
      </w:r>
      <w:r>
        <w:t xml:space="preserve">hepsi olamaz</w:t>
      </w:r>
      <w:r>
        <w:t xml:space="preserve">”</w:t>
      </w:r>
      <w:r>
        <w:t xml:space="preserve"> </w:t>
      </w:r>
      <w:r>
        <w:t xml:space="preserve">refleksiyle dar kümelere yönelir.</w:t>
      </w:r>
    </w:p>
    <w:p>
      <w:pPr>
        <w:pStyle w:val="BodyText"/>
      </w:pPr>
      <w:r>
        <w:rPr>
          <w:bCs/>
          <w:b/>
        </w:rPr>
        <w:t xml:space="preserve">Dayanak:</w:t>
      </w:r>
      <w:r>
        <w:t xml:space="preserve"> </w:t>
      </w:r>
      <w:r>
        <w:t xml:space="preserve">Gümrük Yönetmeliği md. 438</w:t>
      </w:r>
    </w:p>
    <w:bookmarkEnd w:id="54"/>
    <w:bookmarkStart w:id="55" w:name="soru-cevap-b-4"/>
    <w:p>
      <w:pPr>
        <w:pStyle w:val="Heading4"/>
      </w:pPr>
      <w:r>
        <w:t xml:space="preserve">34. soru — Cevap: B</w:t>
      </w:r>
    </w:p>
    <w:p>
      <w:pPr>
        <w:pStyle w:val="FirstParagraph"/>
      </w:pPr>
      <w:r>
        <w:rPr>
          <w:iCs/>
          <w:i/>
        </w:rPr>
        <w:t xml:space="preserve">GM · Gümrük kıymeti · Ö1</w:t>
      </w:r>
    </w:p>
    <w:p>
      <w:pPr>
        <w:pStyle w:val="BodyText"/>
      </w:pPr>
      <w:r>
        <w:rPr>
          <w:bCs/>
          <w:b/>
        </w:rPr>
        <w:t xml:space="preserve">Doğru şık:</w:t>
      </w:r>
      <w:r>
        <w:t xml:space="preserve"> </w:t>
      </w:r>
      <w:r>
        <w:t xml:space="preserve">B) I ve III</w:t>
      </w:r>
    </w:p>
    <w:p>
      <w:pPr>
        <w:pStyle w:val="BodyText"/>
      </w:pPr>
      <w:r>
        <w:t xml:space="preserve">İstisnai kıymetle beyan bir kıymet yöntemi değil, beyan anında kesinleşmemiş kıymet unsurları için öngörülen bir beyan kolaylığıdır. Boru hatlarıyla taşınan ve depolanamayan sürekli akıştaki eşya ile fiyatın sonradan gözden geçirilmesini öngören sözleşmeler bu kapsamdadır (I ve III doğru). Satış bedeli yöntemine göre kıymeti belirlenemeyen eşyanın kıymeti diğer kıymet yöntemleriyle belirlenir; bu durum istisnai kıymetle beyan konusu olmaz (II yanlış). Tamamlayıcı beyanın süresinde verilmemesi hâlinde zamanında ödenmeyen vergiler için gecikme zammı değil gecikme faizi tahsil edilir; GK 241/1 ise ayrıca uygulanır (IV yanlış).</w:t>
      </w:r>
    </w:p>
    <w:p>
      <w:pPr>
        <w:pStyle w:val="BodyText"/>
      </w:pPr>
      <w:r>
        <w:rPr>
          <w:bCs/>
          <w:b/>
        </w:rPr>
        <w:t xml:space="preserve">Tuzak:</w:t>
      </w:r>
      <w:r>
        <w:t xml:space="preserve"> </w:t>
      </w:r>
      <w:r>
        <w:t xml:space="preserve">İstisnai kıymeti</w:t>
      </w:r>
      <w:r>
        <w:t xml:space="preserve"> </w:t>
      </w:r>
      <w:r>
        <w:t xml:space="preserve">“</w:t>
      </w:r>
      <w:r>
        <w:t xml:space="preserve">belirlenemeyen kıymet</w:t>
      </w:r>
      <w:r>
        <w:t xml:space="preserve">”</w:t>
      </w:r>
      <w:r>
        <w:t xml:space="preserve"> </w:t>
      </w:r>
      <w:r>
        <w:t xml:space="preserve">sanan aday II’yi; gecikme faizi ile gecikme zammını karıştıran aday IV’ü kümeye ekler.</w:t>
      </w:r>
    </w:p>
    <w:p>
      <w:pPr>
        <w:pStyle w:val="BodyText"/>
      </w:pPr>
      <w:r>
        <w:rPr>
          <w:bCs/>
          <w:b/>
        </w:rPr>
        <w:t xml:space="preserve">Dayanak:</w:t>
      </w:r>
      <w:r>
        <w:t xml:space="preserve"> </w:t>
      </w:r>
      <w:r>
        <w:t xml:space="preserve">Gümrük Yönetmeliği istisnai kıymetle beyan hükümleri; GK md. 241/1</w:t>
      </w:r>
    </w:p>
    <w:bookmarkEnd w:id="55"/>
    <w:bookmarkStart w:id="56" w:name="soru-cevap-b-5"/>
    <w:p>
      <w:pPr>
        <w:pStyle w:val="Heading4"/>
      </w:pPr>
      <w:r>
        <w:t xml:space="preserve">35. soru — Cevap: B</w:t>
      </w:r>
    </w:p>
    <w:p>
      <w:pPr>
        <w:pStyle w:val="FirstParagraph"/>
      </w:pPr>
      <w:r>
        <w:rPr>
          <w:iCs/>
          <w:i/>
        </w:rPr>
        <w:t xml:space="preserve">GM · Gümrük kıymeti · O2</w:t>
      </w:r>
    </w:p>
    <w:p>
      <w:pPr>
        <w:pStyle w:val="BodyText"/>
      </w:pPr>
      <w:r>
        <w:rPr>
          <w:bCs/>
          <w:b/>
        </w:rPr>
        <w:t xml:space="preserve">Doğru şık:</w:t>
      </w:r>
      <w:r>
        <w:t xml:space="preserve"> </w:t>
      </w:r>
      <w:r>
        <w:t xml:space="preserve">B) Alıcının bir üçüncü kişiye royalti ödemesi durumunda, satıcı veya satıcıyla ilişkili bir kişi alıcıdan bu ödemeyi yapmasını istemese dahi ödemenin satış şartı olarak yapıldığı kabul edilir.</w:t>
      </w:r>
    </w:p>
    <w:p>
      <w:pPr>
        <w:pStyle w:val="BodyText"/>
      </w:pPr>
      <w:r>
        <w:t xml:space="preserve">Alıcının üçüncü bir kişiye royalti ödemesi hâlinde, royaltinin kıymete eklenmesine ilişkin koşullar satıcı veya satıcıyla ilişkili bir kişinin alıcıdan bu ödemeyi yapmasını istememesi durumunda yerine getirilmiş sayılmaz; bu durumda ödeme satış şartı kabul edilmez. Satış şartı olan ve fiyata dahil edilmemiş royaltinin eklenmesi (GK 27/1-c), Türkiye’de çoğaltma hakkı ödemelerinin eklenmemesi, satış şartı olmayan dağıtım veya yeniden satış hakkı ödemelerinin eklenmemesi ve fiyata bağlı belirlenen royaltinin eşya ile ilgili olduğu karinesi mevzuatın kendisidir.</w:t>
      </w:r>
    </w:p>
    <w:p>
      <w:pPr>
        <w:pStyle w:val="BodyText"/>
      </w:pPr>
      <w:r>
        <w:rPr>
          <w:bCs/>
          <w:b/>
        </w:rPr>
        <w:t xml:space="preserve">Tuzak:</w:t>
      </w:r>
      <w:r>
        <w:t xml:space="preserve"> </w:t>
      </w:r>
      <w:r>
        <w:t xml:space="preserve">Royaltiyi kime ödenirse ödensin her durumda kıymete giren bir unsur sanan aday, üçüncü kişiye yapılan ödemede satış şartının nasıl kurulduğunu bilmediği için yanlış ifadeyi doğru kabul eder.</w:t>
      </w:r>
    </w:p>
    <w:p>
      <w:pPr>
        <w:pStyle w:val="BodyText"/>
      </w:pPr>
      <w:r>
        <w:rPr>
          <w:bCs/>
          <w:b/>
        </w:rPr>
        <w:t xml:space="preserve">Dayanak:</w:t>
      </w:r>
      <w:r>
        <w:t xml:space="preserve"> </w:t>
      </w:r>
      <w:r>
        <w:t xml:space="preserve">GK md. 27/1-c ve 27/5; Gümrük Genel Tebliği (Gümrük Kıymeti) (Seri No: 2) royalti hükümleri</w:t>
      </w:r>
    </w:p>
    <w:bookmarkEnd w:id="56"/>
    <w:bookmarkStart w:id="57" w:name="soru-cevap-d-3"/>
    <w:p>
      <w:pPr>
        <w:pStyle w:val="Heading4"/>
      </w:pPr>
      <w:r>
        <w:t xml:space="preserve">36. soru — Cevap: D</w:t>
      </w:r>
    </w:p>
    <w:p>
      <w:pPr>
        <w:pStyle w:val="FirstParagraph"/>
      </w:pPr>
      <w:r>
        <w:rPr>
          <w:iCs/>
          <w:i/>
        </w:rPr>
        <w:t xml:space="preserve">GM · Gümrük kıymeti · O1</w:t>
      </w:r>
    </w:p>
    <w:p>
      <w:pPr>
        <w:pStyle w:val="BodyText"/>
      </w:pPr>
      <w:r>
        <w:rPr>
          <w:bCs/>
          <w:b/>
        </w:rPr>
        <w:t xml:space="preserve">Doğru şık:</w:t>
      </w:r>
      <w:r>
        <w:t xml:space="preserve"> </w:t>
      </w:r>
      <w:r>
        <w:t xml:space="preserve">D) İthal eşyasının üretimi için gerekli olan ve Türkiye’de yapılan tasarım çalışmaları</w:t>
      </w:r>
    </w:p>
    <w:p>
      <w:pPr>
        <w:pStyle w:val="BodyText"/>
      </w:pPr>
      <w:r>
        <w:t xml:space="preserve">GK 27 nci maddesine göre eşya ile bir bütün sayılan kapların bedeli, işçilik ve malzeme dahil ambalaj giderleri ile alıcının bedelsiz veya indirimli sağladığı malzeme, parça, alet ve kalıplar ve Türkiye dışında yapılan mühendislik, geliştirme, sanat ve tasarım çalışmaları fiilen ödenen fiyata eklenir. Türkiye’de yapılan tasarım ve mühendislik çalışmaları ise eklenmez.</w:t>
      </w:r>
    </w:p>
    <w:p>
      <w:pPr>
        <w:pStyle w:val="BodyText"/>
      </w:pPr>
      <w:r>
        <w:rPr>
          <w:bCs/>
          <w:b/>
        </w:rPr>
        <w:t xml:space="preserve">Tuzak:</w:t>
      </w:r>
      <w:r>
        <w:t xml:space="preserve"> </w:t>
      </w:r>
      <w:r>
        <w:t xml:space="preserve">Yardım (assist) kalemlerini yer ayrımı yapmadan ezberleyen aday Türkiye’de yapılan tasarımı da eklenecek unsur sayar; bedelsiz sağlanan kalıbı ise bedel ödenmediği için eklenmez sanır.</w:t>
      </w:r>
    </w:p>
    <w:p>
      <w:pPr>
        <w:pStyle w:val="BodyText"/>
      </w:pPr>
      <w:r>
        <w:rPr>
          <w:bCs/>
          <w:b/>
        </w:rPr>
        <w:t xml:space="preserve">Dayanak:</w:t>
      </w:r>
      <w:r>
        <w:t xml:space="preserve"> </w:t>
      </w:r>
      <w:r>
        <w:t xml:space="preserve">GK md. 27/1-a, 27/1-b</w:t>
      </w:r>
    </w:p>
    <w:bookmarkEnd w:id="57"/>
    <w:bookmarkStart w:id="58" w:name="soru-cevap-a-8"/>
    <w:p>
      <w:pPr>
        <w:pStyle w:val="Heading4"/>
      </w:pPr>
      <w:r>
        <w:t xml:space="preserve">37. soru — Cevap: A</w:t>
      </w:r>
    </w:p>
    <w:p>
      <w:pPr>
        <w:pStyle w:val="FirstParagraph"/>
      </w:pPr>
      <w:r>
        <w:rPr>
          <w:iCs/>
          <w:i/>
        </w:rPr>
        <w:t xml:space="preserve">GM · Menşe, BTB/BMB · O2</w:t>
      </w:r>
    </w:p>
    <w:p>
      <w:pPr>
        <w:pStyle w:val="BodyText"/>
      </w:pPr>
      <w:r>
        <w:rPr>
          <w:bCs/>
          <w:b/>
        </w:rPr>
        <w:t xml:space="preserve">Doğru şık:</w:t>
      </w:r>
      <w:r>
        <w:t xml:space="preserve"> </w:t>
      </w:r>
      <w:r>
        <w:t xml:space="preserve">A) Ticaret politikası önlemine tabi eşyanın tercihli menşeini tevsik eden belgenin ibraz edilmesi, ayrıca menşe şahadetnamesi ibraz edilmesi gerekliliğini ortadan kaldırmaz.</w:t>
      </w:r>
    </w:p>
    <w:p>
      <w:pPr>
        <w:pStyle w:val="BodyText"/>
      </w:pPr>
      <w:r>
        <w:t xml:space="preserve">Gümrük Yönetmeliğine göre ticaret politikası önlemlerine tabi eşyada tercihli menşeini tevsik eden belgelerin ibraz edilmesi hâlinde menşe şahadetnamesi aranmaz; tercihli belgenin şahadetname gerekliliğini ortadan kaldırmadığını söyleyen ifade bu nedenle yanlıştır. Doğrudan önlemin uygulandığı ülkeden ithal edilip o ülke menşeli beyan edilen eşyada kural olarak şahadetname aranmaz; ancak eşya birden fazla önleme tabi ise ya da aynı düzenlemede ülkesine göre farklı oranlar belirlenmişse aranır. Şahadetnamenin aranacağı hâllerin yönetmelikle belirlenmesi ve ciddi şüphede ek kanıt istenebilmesi mevzuatın kendisidir.</w:t>
      </w:r>
    </w:p>
    <w:p>
      <w:pPr>
        <w:pStyle w:val="BodyText"/>
      </w:pPr>
      <w:r>
        <w:rPr>
          <w:bCs/>
          <w:b/>
        </w:rPr>
        <w:t xml:space="preserve">Tuzak:</w:t>
      </w:r>
      <w:r>
        <w:t xml:space="preserve"> </w:t>
      </w:r>
      <w:r>
        <w:t xml:space="preserve">Önleme tabi eşyada her durumda menşe şahadetnamesi gerektiğini düşünen aday, tercihli menşe belgesinin bu gerekliliği karşıladığını bilmediği için yanlış ifadeyi doğru sanır.</w:t>
      </w:r>
    </w:p>
    <w:p>
      <w:pPr>
        <w:pStyle w:val="BodyText"/>
      </w:pPr>
      <w:r>
        <w:rPr>
          <w:bCs/>
          <w:b/>
        </w:rPr>
        <w:t xml:space="preserve">Dayanak:</w:t>
      </w:r>
      <w:r>
        <w:t xml:space="preserve"> </w:t>
      </w:r>
      <w:r>
        <w:t xml:space="preserve">Gümrük Yönetmeliği md. 205; GK menşe şahadetnamesi hükmü</w:t>
      </w:r>
    </w:p>
    <w:bookmarkEnd w:id="58"/>
    <w:bookmarkStart w:id="59" w:name="soru-cevap-d-4"/>
    <w:p>
      <w:pPr>
        <w:pStyle w:val="Heading4"/>
      </w:pPr>
      <w:r>
        <w:t xml:space="preserve">38. soru — Cevap: D</w:t>
      </w:r>
    </w:p>
    <w:p>
      <w:pPr>
        <w:pStyle w:val="FirstParagraph"/>
      </w:pPr>
      <w:r>
        <w:rPr>
          <w:iCs/>
          <w:i/>
        </w:rPr>
        <w:t xml:space="preserve">SAİR · DTÖ, TFA, DGÖ · O2</w:t>
      </w:r>
    </w:p>
    <w:p>
      <w:pPr>
        <w:pStyle w:val="BodyText"/>
      </w:pPr>
      <w:r>
        <w:rPr>
          <w:bCs/>
          <w:b/>
        </w:rPr>
        <w:t xml:space="preserve">Doğru şık:</w:t>
      </w:r>
      <w:r>
        <w:t xml:space="preserve"> </w:t>
      </w:r>
      <w:r>
        <w:t xml:space="preserve">D) Anlaşmanın işleyişini gözden geçirmek ve uygulanmasını izlemek üzere Dünya Gümrük Örgütü bünyesinde Ticaretin Kolaylaştırılması Komitesi kurulmuştur.</w:t>
      </w:r>
    </w:p>
    <w:p>
      <w:pPr>
        <w:pStyle w:val="BodyText"/>
      </w:pPr>
      <w:r>
        <w:t xml:space="preserve">Ticaretin Kolaylaştırılması Anlaşması bir DTÖ anlaşmasıdır ve 23 üncü maddeyle kurulan Ticaretin Kolaylaştırılması Komitesi DTÖ bünyesindedir; DGÖ Anlaşmanın uygulanmasına teknik destek verir, ancak Komiteye ev sahipliği yapmaz. Tarife sınıflandırması ve menşe için ön karar verilmesi (md. 3), ortalama serbest bırakma süresinin ölçülüp yayımlanmasının teşviki (md. 7.6), ulusal ticareti kolaylaştırma komitesi (md. 23.2) ve risk yönetimine (md. 7.4) ilişkin cümleler Anlaşma hükümleriyle uyumludur.</w:t>
      </w:r>
    </w:p>
    <w:p>
      <w:pPr>
        <w:pStyle w:val="BodyText"/>
      </w:pPr>
      <w:r>
        <w:rPr>
          <w:bCs/>
          <w:b/>
        </w:rPr>
        <w:t xml:space="preserve">Tuzak:</w:t>
      </w:r>
      <w:r>
        <w:t xml:space="preserve"> </w:t>
      </w:r>
      <w:r>
        <w:t xml:space="preserve">Gümrük konulu her uluslararası düzenlemeyi DGÖ ile ilişkilendiren aday kurum kaydırmasını fark etmez.</w:t>
      </w:r>
    </w:p>
    <w:p>
      <w:pPr>
        <w:pStyle w:val="BodyText"/>
      </w:pPr>
      <w:r>
        <w:rPr>
          <w:bCs/>
          <w:b/>
        </w:rPr>
        <w:t xml:space="preserve">Dayanak:</w:t>
      </w:r>
      <w:r>
        <w:t xml:space="preserve"> </w:t>
      </w:r>
      <w:r>
        <w:t xml:space="preserve">DTÖ Ticaretin Kolaylaştırılması Anlaşması md. 3, 7.4, 7.6, 23</w:t>
      </w:r>
    </w:p>
    <w:bookmarkEnd w:id="59"/>
    <w:bookmarkStart w:id="60" w:name="soru-cevap-b-6"/>
    <w:p>
      <w:pPr>
        <w:pStyle w:val="Heading4"/>
      </w:pPr>
      <w:r>
        <w:t xml:space="preserve">39. soru — Cevap: B</w:t>
      </w:r>
    </w:p>
    <w:p>
      <w:pPr>
        <w:pStyle w:val="FirstParagraph"/>
      </w:pPr>
      <w:r>
        <w:rPr>
          <w:iCs/>
          <w:i/>
        </w:rPr>
        <w:t xml:space="preserve">SAİR · DTÖ, TFA, DGÖ · G2</w:t>
      </w:r>
    </w:p>
    <w:p>
      <w:pPr>
        <w:pStyle w:val="BodyText"/>
      </w:pPr>
      <w:r>
        <w:rPr>
          <w:bCs/>
          <w:b/>
        </w:rPr>
        <w:t xml:space="preserve">Doğru şık:</w:t>
      </w:r>
      <w:r>
        <w:t xml:space="preserve"> </w:t>
      </w:r>
      <w:r>
        <w:t xml:space="preserve">B) Üyeler, Anlaşmanın yürürlüğünden itibaren gümrük müşavirlerinin zorunlu kullanımını getirmez.</w:t>
      </w:r>
    </w:p>
    <w:p>
      <w:pPr>
        <w:pStyle w:val="BodyText"/>
      </w:pPr>
      <w:r>
        <w:t xml:space="preserve">Anlaşmanın 10.6.1 maddesine göre, gümrük müşavirlerine halihazırda özel bir rol tanıyan bazı üyelerin önemli politika kaygılarına halel gelmeksizin, üyeler Anlaşmanın yürürlüğe girmesinden itibaren gümrük müşavirlerinin zorunlu kullanımını getirmez. Üyeler ayrıca gümrük müşavirlerinin kullanımına ilişkin önlemlerini Komiteye bildirir ve yayımlar, lisanslamada şeffaf ve objektif kurallar uygular. Konu Anlaşmada düzenlenmiştir; zorunluluk, teşvik veya karşılıklılık şartı öngörülmemiştir.</w:t>
      </w:r>
    </w:p>
    <w:p>
      <w:pPr>
        <w:pStyle w:val="BodyText"/>
      </w:pPr>
      <w:r>
        <w:rPr>
          <w:bCs/>
          <w:b/>
        </w:rPr>
        <w:t xml:space="preserve">Tuzak:</w:t>
      </w:r>
      <w:r>
        <w:t xml:space="preserve"> </w:t>
      </w:r>
      <w:r>
        <w:t xml:space="preserve">Türkiye’de beyanların büyük kısmının gümrük müşavirlerince yapılmasından hareketle Anlaşmanın zorunluluk getirdiğini düşünen aday zorunluluk ifade eden şıkka kayar.</w:t>
      </w:r>
    </w:p>
    <w:p>
      <w:pPr>
        <w:pStyle w:val="BodyText"/>
      </w:pPr>
      <w:r>
        <w:rPr>
          <w:bCs/>
          <w:b/>
        </w:rPr>
        <w:t xml:space="preserve">Dayanak:</w:t>
      </w:r>
      <w:r>
        <w:t xml:space="preserve"> </w:t>
      </w:r>
      <w:r>
        <w:t xml:space="preserve">DTÖ Ticaretin Kolaylaştırılması Anlaşması md. 10.6</w:t>
      </w:r>
    </w:p>
    <w:bookmarkEnd w:id="60"/>
    <w:bookmarkStart w:id="61" w:name="soru-cevap-e-11"/>
    <w:p>
      <w:pPr>
        <w:pStyle w:val="Heading4"/>
      </w:pPr>
      <w:r>
        <w:t xml:space="preserve">40. soru — Cevap: E</w:t>
      </w:r>
    </w:p>
    <w:p>
      <w:pPr>
        <w:pStyle w:val="FirstParagraph"/>
      </w:pPr>
      <w:r>
        <w:rPr>
          <w:iCs/>
          <w:i/>
        </w:rPr>
        <w:t xml:space="preserve">SAİR · TIR, ATA · O1</w:t>
      </w:r>
    </w:p>
    <w:p>
      <w:pPr>
        <w:pStyle w:val="BodyText"/>
      </w:pPr>
      <w:r>
        <w:rPr>
          <w:bCs/>
          <w:b/>
        </w:rPr>
        <w:t xml:space="preserve">Doğru şık:</w:t>
      </w:r>
      <w:r>
        <w:t xml:space="preserve"> </w:t>
      </w:r>
      <w:r>
        <w:t xml:space="preserve">E) Ticari amaçla kullanılan taşıma araçları</w:t>
      </w:r>
    </w:p>
    <w:p>
      <w:pPr>
        <w:pStyle w:val="BodyText"/>
      </w:pPr>
      <w:r>
        <w:t xml:space="preserve">Tebliğe göre ATA karnesi, taşıma araçları hariç olmak üzere eşyanın geçici ithali için kullanılan uluslararası bir gümrük belgesidir. Türkiye Geçici İthalat Sözleşmesi’ni ve eklerini onaylamış olmakla birlikte ATA karnesini yalnız B1 (sergi, fuar, toplantı), B2 (mesleki malzeme), B3, B4, B5 (eğitsel, bilimsel, kültürel amaçlı eşya), B6, B7, B8, B9 ekleri ile hayvanlara ilişkin Ek D kapsamındaki eşya için kabul etmektedir. Taşıma araçları bu on ekin dışındadır.</w:t>
      </w:r>
    </w:p>
    <w:p>
      <w:pPr>
        <w:pStyle w:val="BodyText"/>
      </w:pPr>
      <w:r>
        <w:rPr>
          <w:bCs/>
          <w:b/>
        </w:rPr>
        <w:t xml:space="preserve">Tuzak:</w:t>
      </w:r>
      <w:r>
        <w:t xml:space="preserve"> </w:t>
      </w:r>
      <w:r>
        <w:t xml:space="preserve">Canlı hayvanların karne ile geçici ithal edilemeyeceğini düşünen aday</w:t>
      </w:r>
      <w:r>
        <w:t xml:space="preserve"> </w:t>
      </w:r>
      <w:r>
        <w:t xml:space="preserve">‘</w:t>
      </w:r>
      <w:r>
        <w:t xml:space="preserve">Hayvanlar</w:t>
      </w:r>
      <w:r>
        <w:t xml:space="preserve">’</w:t>
      </w:r>
      <w:r>
        <w:t xml:space="preserve"> </w:t>
      </w:r>
      <w:r>
        <w:t xml:space="preserve">şıkkını işaretler.</w:t>
      </w:r>
    </w:p>
    <w:p>
      <w:pPr>
        <w:pStyle w:val="BodyText"/>
      </w:pPr>
      <w:r>
        <w:rPr>
          <w:bCs/>
          <w:b/>
        </w:rPr>
        <w:t xml:space="preserve">Dayanak:</w:t>
      </w:r>
      <w:r>
        <w:t xml:space="preserve"> </w:t>
      </w:r>
      <w:r>
        <w:t xml:space="preserve">GGT (Geçici İthalat) Seri No: 4 md. 2, 3</w:t>
      </w:r>
    </w:p>
    <w:bookmarkEnd w:id="61"/>
    <w:bookmarkStart w:id="62" w:name="soru-cevap-a-9"/>
    <w:p>
      <w:pPr>
        <w:pStyle w:val="Heading4"/>
      </w:pPr>
      <w:r>
        <w:t xml:space="preserve">41. soru — Cevap: A</w:t>
      </w:r>
    </w:p>
    <w:p>
      <w:pPr>
        <w:pStyle w:val="FirstParagraph"/>
      </w:pPr>
      <w:r>
        <w:rPr>
          <w:iCs/>
          <w:i/>
        </w:rPr>
        <w:t xml:space="preserve">SAİR · TIR, ATA · D2</w:t>
      </w:r>
    </w:p>
    <w:p>
      <w:pPr>
        <w:pStyle w:val="BodyText"/>
      </w:pPr>
      <w:r>
        <w:rPr>
          <w:bCs/>
          <w:b/>
        </w:rPr>
        <w:t xml:space="preserve">Doğru şık:</w:t>
      </w:r>
      <w:r>
        <w:t xml:space="preserve"> </w:t>
      </w:r>
      <w:r>
        <w:t xml:space="preserve">A) Uluslararası Karayolu Taşımacılığı Birliği (IRU)</w:t>
      </w:r>
    </w:p>
    <w:p>
      <w:pPr>
        <w:pStyle w:val="BodyText"/>
      </w:pPr>
      <w:r>
        <w:t xml:space="preserve">TIR Sözleşmesi uyarınca uluslararası teminat zincirini yöneten ve TIR karnelerini merkezi olarak basıp ulusal kefil kuruluşlar aracılığıyla dağıtan kuruluş Uluslararası Karayolu Taşımacılığı Birliği’dir (IRU). Sözleşme Birleşmiş Milletler Avrupa Ekonomik Komisyonu bünyesinde hazırlanmıştır; Milletlerarası Ticaret Odası ise Incoterms kurallarını hazırlayan kuruluştur.</w:t>
      </w:r>
    </w:p>
    <w:p>
      <w:pPr>
        <w:pStyle w:val="BodyText"/>
      </w:pPr>
      <w:r>
        <w:rPr>
          <w:bCs/>
          <w:b/>
        </w:rPr>
        <w:t xml:space="preserve">Tuzak:</w:t>
      </w:r>
      <w:r>
        <w:t xml:space="preserve"> </w:t>
      </w:r>
      <w:r>
        <w:t xml:space="preserve">Sözleşmenin UNECE bünyesinde hazırlanmasından karnelerin de UNECE tarafından basıldığı sonucunu çıkaran aday UNECE’yi seçer.</w:t>
      </w:r>
    </w:p>
    <w:p>
      <w:pPr>
        <w:pStyle w:val="BodyText"/>
      </w:pPr>
      <w:r>
        <w:rPr>
          <w:bCs/>
          <w:b/>
        </w:rPr>
        <w:t xml:space="preserve">Dayanak:</w:t>
      </w:r>
      <w:r>
        <w:t xml:space="preserve"> </w:t>
      </w:r>
      <w:r>
        <w:t xml:space="preserve">TIR Sözleşmesi (1975) md. 6 ve Ek 9</w:t>
      </w:r>
    </w:p>
    <w:bookmarkEnd w:id="62"/>
    <w:bookmarkStart w:id="63" w:name="soru-cevap-c-7"/>
    <w:p>
      <w:pPr>
        <w:pStyle w:val="Heading4"/>
      </w:pPr>
      <w:r>
        <w:t xml:space="preserve">42. soru — Cevap: C</w:t>
      </w:r>
    </w:p>
    <w:p>
      <w:pPr>
        <w:pStyle w:val="FirstParagraph"/>
      </w:pPr>
      <w:r>
        <w:rPr>
          <w:iCs/>
          <w:i/>
        </w:rPr>
        <w:t xml:space="preserve">GM · Posta ve hızlı kargo · D3</w:t>
      </w:r>
    </w:p>
    <w:p>
      <w:pPr>
        <w:pStyle w:val="BodyText"/>
      </w:pPr>
      <w:r>
        <w:rPr>
          <w:bCs/>
          <w:b/>
        </w:rPr>
        <w:t xml:space="preserve">Doğru şık:</w:t>
      </w:r>
      <w:r>
        <w:t xml:space="preserve"> </w:t>
      </w:r>
      <w:r>
        <w:t xml:space="preserve">C) Eşyanın konulacağı geçici depolama yerlerinde X-ray cihazı, otomatik barkod okuyucu, yürüyen bant sistemi ve kamera sistemi bulundurulması</w:t>
      </w:r>
    </w:p>
    <w:p>
      <w:pPr>
        <w:pStyle w:val="BodyText"/>
      </w:pPr>
      <w:r>
        <w:t xml:space="preserve">Tebliğin 4 üncü maddesinin ikinci fıkrasına göre posta idaresi için, operatörlerde aranan koşullardan yalnızca gümrük müşaviri istihdamına veya sözleşmesine ilişkin (c) bendi ile X-ray cihazı, otomatik barkod okuyucu, yürüyen bant ve kamera sistemi gibi altyapıya ilişkin (e) bendi aranır. Hava kargo acentesi yetkisi, yöneticilerin adli sicil durumu, kesinleşmiş borç bulunmaması ve teminat mektubu koşulları posta idaresinden aranmaz.</w:t>
      </w:r>
    </w:p>
    <w:p>
      <w:pPr>
        <w:pStyle w:val="BodyText"/>
      </w:pPr>
      <w:r>
        <w:rPr>
          <w:bCs/>
          <w:b/>
        </w:rPr>
        <w:t xml:space="preserve">Tuzak:</w:t>
      </w:r>
      <w:r>
        <w:t xml:space="preserve"> </w:t>
      </w:r>
      <w:r>
        <w:t xml:space="preserve">Kamu alacağını güvenceye alan teminat ve borçsuzluk koşullarının her operatöre uygulandığını düşünen aday bu koşullardan birini işaretler.</w:t>
      </w:r>
    </w:p>
    <w:p>
      <w:pPr>
        <w:pStyle w:val="BodyText"/>
      </w:pPr>
      <w:r>
        <w:rPr>
          <w:bCs/>
          <w:b/>
        </w:rPr>
        <w:t xml:space="preserve">Dayanak:</w:t>
      </w:r>
      <w:r>
        <w:t xml:space="preserve"> </w:t>
      </w:r>
      <w:r>
        <w:t xml:space="preserve">Posta ve Hızlı Kargo Yoluyla Taşınan Eşyanın Gümrük İşlemlerine İlişkin Tebliğ (Seri No: 1) md. 4/1 ve 4/2 (4/2’deki</w:t>
      </w:r>
      <w:r>
        <w:t xml:space="preserve"> </w:t>
      </w:r>
      <w:r>
        <w:t xml:space="preserve">‘</w:t>
      </w:r>
      <w:r>
        <w:t xml:space="preserve">(e) bendi</w:t>
      </w:r>
      <w:r>
        <w:t xml:space="preserve">’</w:t>
      </w:r>
      <w:r>
        <w:t xml:space="preserve"> </w:t>
      </w:r>
      <w:r>
        <w:t xml:space="preserve">ibaresi 03.01.2026 tarihli Seri No: 5 Tebliğ ile</w:t>
      </w:r>
      <w:r>
        <w:t xml:space="preserve"> </w:t>
      </w:r>
      <w:r>
        <w:t xml:space="preserve">‘</w:t>
      </w:r>
      <w:r>
        <w:t xml:space="preserve">(c) ve (e) bentleri</w:t>
      </w:r>
      <w:r>
        <w:t xml:space="preserve">’</w:t>
      </w:r>
      <w:r>
        <w:t xml:space="preserve"> </w:t>
      </w:r>
      <w:r>
        <w:t xml:space="preserve">olarak değiştirildi; yürürlük 02.03.2026)</w:t>
      </w:r>
    </w:p>
    <w:bookmarkEnd w:id="63"/>
    <w:bookmarkStart w:id="64" w:name="soru-cevap-b-7"/>
    <w:p>
      <w:pPr>
        <w:pStyle w:val="Heading4"/>
      </w:pPr>
      <w:r>
        <w:t xml:space="preserve">43. soru — Cevap: B</w:t>
      </w:r>
    </w:p>
    <w:p>
      <w:pPr>
        <w:pStyle w:val="FirstParagraph"/>
      </w:pPr>
      <w:r>
        <w:rPr>
          <w:iCs/>
          <w:i/>
        </w:rPr>
        <w:t xml:space="preserve">GM · Akaryakıt, kumanya · D6</w:t>
      </w:r>
    </w:p>
    <w:p>
      <w:pPr>
        <w:pStyle w:val="BodyText"/>
      </w:pPr>
      <w:r>
        <w:rPr>
          <w:bCs/>
          <w:b/>
        </w:rPr>
        <w:t xml:space="preserve">Doğru şık:</w:t>
      </w:r>
      <w:r>
        <w:t xml:space="preserve"> </w:t>
      </w:r>
      <w:r>
        <w:t xml:space="preserve">B) Seyir jurnaline göre alınan miktar ile seyir jurnali ve devriçark defterine göre sarf edilen miktar arasındaki farka göre</w:t>
      </w:r>
    </w:p>
    <w:p>
      <w:pPr>
        <w:pStyle w:val="BodyText"/>
      </w:pPr>
      <w:r>
        <w:t xml:space="preserve">Yönetmeliğin 481 inci maddesine göre kabotaja girecek gemilerin yabancı limanlardan aldıkları yakıt miktarı seyir jurnallerinde ve devriçark defterinde gösterildiğinden, seyir jurnaline göre alınan miktar ile seyir jurnali ve devriçark defterine göre sarf edilen miktar arasındaki fark bulunarak vergiye esas miktar tespit olunur. Alınan miktarın tamamı veya sefer sırasında sarf edilen miktar esas alınmaz; yakıt ve kumanya defteri Türk bandıralı gemilerde tutulan ayrı bir kayıttır, fatura ile tespit farkı ise maddede öngörülmemiştir.</w:t>
      </w:r>
    </w:p>
    <w:p>
      <w:pPr>
        <w:pStyle w:val="BodyText"/>
      </w:pPr>
      <w:r>
        <w:rPr>
          <w:bCs/>
          <w:b/>
        </w:rPr>
        <w:t xml:space="preserve">Tuzak:</w:t>
      </w:r>
      <w:r>
        <w:t xml:space="preserve"> </w:t>
      </w:r>
      <w:r>
        <w:t xml:space="preserve">Vergiye</w:t>
      </w:r>
      <w:r>
        <w:t xml:space="preserve"> </w:t>
      </w:r>
      <w:r>
        <w:t xml:space="preserve">“</w:t>
      </w:r>
      <w:r>
        <w:t xml:space="preserve">tüketilen yakıtın</w:t>
      </w:r>
      <w:r>
        <w:t xml:space="preserve">”</w:t>
      </w:r>
      <w:r>
        <w:t xml:space="preserve"> </w:t>
      </w:r>
      <w:r>
        <w:t xml:space="preserve">konu olacağını düşünen aday sarf edilen miktarı esas alan seçeneğe kayar.</w:t>
      </w:r>
    </w:p>
    <w:p>
      <w:pPr>
        <w:pStyle w:val="BodyText"/>
      </w:pPr>
      <w:r>
        <w:rPr>
          <w:bCs/>
          <w:b/>
        </w:rPr>
        <w:t xml:space="preserve">Dayanak:</w:t>
      </w:r>
      <w:r>
        <w:t xml:space="preserve"> </w:t>
      </w:r>
      <w:r>
        <w:t xml:space="preserve">Gümrük Yönetmeliği md. 481 (ayrıca md. 479)</w:t>
      </w:r>
    </w:p>
    <w:bookmarkEnd w:id="64"/>
    <w:bookmarkStart w:id="65" w:name="soru-cevap-c-8"/>
    <w:p>
      <w:pPr>
        <w:pStyle w:val="Heading4"/>
      </w:pPr>
      <w:r>
        <w:t xml:space="preserve">44. soru — Cevap: C</w:t>
      </w:r>
    </w:p>
    <w:p>
      <w:pPr>
        <w:pStyle w:val="FirstParagraph"/>
      </w:pPr>
      <w:r>
        <w:rPr>
          <w:iCs/>
          <w:i/>
        </w:rPr>
        <w:t xml:space="preserve">GM · GSM, sınır ticareti, serbest bölge · G1</w:t>
      </w:r>
    </w:p>
    <w:p>
      <w:pPr>
        <w:pStyle w:val="BodyText"/>
      </w:pPr>
      <w:r>
        <w:rPr>
          <w:bCs/>
          <w:b/>
        </w:rPr>
        <w:t xml:space="preserve">Doğru şık:</w:t>
      </w:r>
      <w:r>
        <w:t xml:space="preserve"> </w:t>
      </w:r>
      <w:r>
        <w:t xml:space="preserve">C) Sınır ticareti kapsamında ithal ve ihraç edilen ürünler, Teknik Düzenlemeler Rejimi Kararına istinaden yapılan ithalat ve ihracat denetimlerinden muaftır.</w:t>
      </w:r>
    </w:p>
    <w:p>
      <w:pPr>
        <w:pStyle w:val="BodyText"/>
      </w:pPr>
      <w:r>
        <w:t xml:space="preserve">Kararın 12 nci maddesinin birinci fıkrasına göre bu Karar kapsamında ithal ve ihraç edilen ürünler, Teknik Düzenlemeler Rejimi Kararına istinaden yapılan ithalat ve ihracat denetimlerinden muaftır; ithal edilen ürünün güvenli olması ise 7223 sayılı Kanun uyarınca ithalatçının sorumluluğundadır. 9 uncu maddeye göre 30 gün içinde ithal edilebilecek eşya en fazla 75.000 ABD Doları değerindedir (150 milyon ABD Doları, komşu ülke başına yıllık ithalat değer limitidir) ve tek ve maktu vergi katma değer vergisi ile özel tüketim vergisi oranları toplamıdır. 6 ncı maddeye göre Sınır Ticareti Belgesi üç yıl geçerlidir; 18 inci maddeye göre sınır ticareti kapsamında transit ticaret ile Dâhilde İşleme Rejimi kapsamında ithalat ve ihracat işlemlerinin hiçbiri yapılamaz.</w:t>
      </w:r>
    </w:p>
    <w:p>
      <w:pPr>
        <w:pStyle w:val="BodyText"/>
      </w:pPr>
      <w:r>
        <w:rPr>
          <w:bCs/>
          <w:b/>
        </w:rPr>
        <w:t xml:space="preserve">Tuzak:</w:t>
      </w:r>
      <w:r>
        <w:t xml:space="preserve"> </w:t>
      </w:r>
      <w:r>
        <w:t xml:space="preserve">Sınır ticaretinde de genel ithalattaki teknik düzenleme denetimlerinin uygulandığını sanan aday doğru ifadeyi eler ve komşu ülke başına yıllık 150 milyon dolarlık limiti çağrıştıran 150.000 dolarlık tutara kayar.</w:t>
      </w:r>
    </w:p>
    <w:p>
      <w:pPr>
        <w:pStyle w:val="BodyText"/>
      </w:pPr>
      <w:r>
        <w:rPr>
          <w:bCs/>
          <w:b/>
        </w:rPr>
        <w:t xml:space="preserve">Dayanak:</w:t>
      </w:r>
      <w:r>
        <w:t xml:space="preserve"> </w:t>
      </w:r>
      <w:r>
        <w:t xml:space="preserve">4874 sayılı Sınır Ticaretinin Düzenlenmesine İlişkin Karar md. 6/3, 7/1, 9/1-2, 12/1-2, 18/5</w:t>
      </w:r>
    </w:p>
    <w:bookmarkEnd w:id="65"/>
    <w:bookmarkStart w:id="66" w:name="soru-cevap-a-10"/>
    <w:p>
      <w:pPr>
        <w:pStyle w:val="Heading4"/>
      </w:pPr>
      <w:r>
        <w:t xml:space="preserve">45. soru — Cevap: A</w:t>
      </w:r>
    </w:p>
    <w:p>
      <w:pPr>
        <w:pStyle w:val="FirstParagraph"/>
      </w:pPr>
      <w:r>
        <w:rPr>
          <w:iCs/>
          <w:i/>
        </w:rPr>
        <w:t xml:space="preserve">SAİR · Kambiyo · K1</w:t>
      </w:r>
    </w:p>
    <w:p>
      <w:pPr>
        <w:pStyle w:val="BodyText"/>
      </w:pPr>
      <w:r>
        <w:rPr>
          <w:bCs/>
          <w:b/>
        </w:rPr>
        <w:t xml:space="preserve">Doğru şık:</w:t>
      </w:r>
      <w:r>
        <w:t xml:space="preserve"> </w:t>
      </w:r>
      <w:r>
        <w:t xml:space="preserve">A) Çekili kıymetli maden</w:t>
      </w:r>
    </w:p>
    <w:p>
      <w:pPr>
        <w:pStyle w:val="BodyText"/>
      </w:pPr>
      <w:r>
        <w:t xml:space="preserve">Karara 15.03.2025 tarihli değişiklikle eklenen tanıma göre bu tanım ’çekili kıymetli maden’e aittir. Basılı kıymetli maden kalıba dökülme veya şeritten çıkarılan parçaların darp yöntemiyle işaretlenmesiyle üretilir; işlenmiş kıymetli maden işçilik uygulanarak ziynet veya süs eşyasına dönüştürülmüş madendir; standart dışı işlenmemiş maden, standart saflığın altındaki külçe, bar, granül, toz veya hurdadır; Darphane üretimi kıymetli madenler ise Darphanece basılan sikke ve ziynet altınları ile diğer ürünlerdir.</w:t>
      </w:r>
    </w:p>
    <w:p>
      <w:pPr>
        <w:pStyle w:val="BodyText"/>
      </w:pPr>
      <w:r>
        <w:rPr>
          <w:bCs/>
          <w:b/>
        </w:rPr>
        <w:t xml:space="preserve">Tuzak:</w:t>
      </w:r>
      <w:r>
        <w:t xml:space="preserve"> </w:t>
      </w:r>
      <w:r>
        <w:t xml:space="preserve">Tanımdaki</w:t>
      </w:r>
      <w:r>
        <w:t xml:space="preserve"> </w:t>
      </w:r>
      <w:r>
        <w:t xml:space="preserve">‘</w:t>
      </w:r>
      <w:r>
        <w:t xml:space="preserve">şerit</w:t>
      </w:r>
      <w:r>
        <w:t xml:space="preserve">’</w:t>
      </w:r>
      <w:r>
        <w:t xml:space="preserve"> </w:t>
      </w:r>
      <w:r>
        <w:t xml:space="preserve">kelimesini basılı kıymetli maden tanımındaki</w:t>
      </w:r>
      <w:r>
        <w:t xml:space="preserve"> </w:t>
      </w:r>
      <w:r>
        <w:t xml:space="preserve">‘</w:t>
      </w:r>
      <w:r>
        <w:t xml:space="preserve">kıymetli maden şeridi</w:t>
      </w:r>
      <w:r>
        <w:t xml:space="preserve">’</w:t>
      </w:r>
      <w:r>
        <w:t xml:space="preserve"> </w:t>
      </w:r>
      <w:r>
        <w:t xml:space="preserve">ifadesiyle eşleştiren aday basılı kıymetli madene kayar.</w:t>
      </w:r>
    </w:p>
    <w:p>
      <w:pPr>
        <w:pStyle w:val="BodyText"/>
      </w:pPr>
      <w:r>
        <w:rPr>
          <w:bCs/>
          <w:b/>
        </w:rPr>
        <w:t xml:space="preserve">Dayanak:</w:t>
      </w:r>
      <w:r>
        <w:t xml:space="preserve"> </w:t>
      </w:r>
      <w:r>
        <w:t xml:space="preserve">Türk Parası Kıymetini Koruma Hakkında 32 Sayılı Karar md. 2 (15.03.2025 tarihli değişiklikle eklenen tanım)</w:t>
      </w:r>
    </w:p>
    <w:bookmarkEnd w:id="66"/>
    <w:bookmarkStart w:id="67" w:name="soru-cevap-d-5"/>
    <w:p>
      <w:pPr>
        <w:pStyle w:val="Heading4"/>
      </w:pPr>
      <w:r>
        <w:t xml:space="preserve">46. soru — Cevap: D</w:t>
      </w:r>
    </w:p>
    <w:p>
      <w:pPr>
        <w:pStyle w:val="FirstParagraph"/>
      </w:pPr>
      <w:r>
        <w:rPr>
          <w:iCs/>
          <w:i/>
        </w:rPr>
        <w:t xml:space="preserve">SAİR · Kambiyo · O1</w:t>
      </w:r>
    </w:p>
    <w:p>
      <w:pPr>
        <w:pStyle w:val="BodyText"/>
      </w:pPr>
      <w:r>
        <w:rPr>
          <w:bCs/>
          <w:b/>
        </w:rPr>
        <w:t xml:space="preserve">Doğru şık:</w:t>
      </w:r>
      <w:r>
        <w:t xml:space="preserve"> </w:t>
      </w:r>
      <w:r>
        <w:t xml:space="preserve">D) Resmî kayıtlarla tevsik edilen diğer engel hâlleri</w:t>
      </w:r>
    </w:p>
    <w:p>
      <w:pPr>
        <w:pStyle w:val="BodyText"/>
      </w:pPr>
      <w:r>
        <w:t xml:space="preserve">Tebliğde grev, lokavt ve avarya; tabii afet, harp ve abluka; malların kaybı, hasara uğraması veya imhası; ihtilaf nedeniyle dava açılması veya tahkime başvurulması mücbir sebep hâlleri olarak sayılmıştır. Mücbir sebep hâlleri dışında kalan, ancak bedel getirme süreleri içinde bedelin yurda getirilmesine engel olan ve resmî kayıtlarla tevsik edilebilen durumlar ise vergi dairelerince</w:t>
      </w:r>
      <w:r>
        <w:t xml:space="preserve"> </w:t>
      </w:r>
      <w:r>
        <w:t xml:space="preserve">‘</w:t>
      </w:r>
      <w:r>
        <w:t xml:space="preserve">haklı durum</w:t>
      </w:r>
      <w:r>
        <w:t xml:space="preserve">’</w:t>
      </w:r>
      <w:r>
        <w:t xml:space="preserve"> </w:t>
      </w:r>
      <w:r>
        <w:t xml:space="preserve">olarak değerlendirilebilir; mücbir sebep değildir.</w:t>
      </w:r>
    </w:p>
    <w:p>
      <w:pPr>
        <w:pStyle w:val="BodyText"/>
      </w:pPr>
      <w:r>
        <w:rPr>
          <w:bCs/>
          <w:b/>
        </w:rPr>
        <w:t xml:space="preserve">Tuzak:</w:t>
      </w:r>
      <w:r>
        <w:t xml:space="preserve"> </w:t>
      </w:r>
      <w:r>
        <w:t xml:space="preserve">Haklı durum ile mücbir sebebin aynı ek süre mekanizmasına bağlandığını bilen ancak ikisini ayırmayan aday resmî kayıtlarla tevsik edilen diğer engel hâllerini de mücbir sebep sayar.</w:t>
      </w:r>
    </w:p>
    <w:p>
      <w:pPr>
        <w:pStyle w:val="BodyText"/>
      </w:pPr>
      <w:r>
        <w:rPr>
          <w:bCs/>
          <w:b/>
        </w:rPr>
        <w:t xml:space="preserve">Dayanak:</w:t>
      </w:r>
      <w:r>
        <w:t xml:space="preserve"> </w:t>
      </w:r>
      <w:r>
        <w:t xml:space="preserve">Türk Parası Kıymetini Koruma Hakkında 32 Sayılı Karara İlişkin Tebliğ (İhracat Bedelleri Hakkında) (Tebliğ No: 2018-32/48) md. 9/1 ve 9/3</w:t>
      </w:r>
    </w:p>
    <w:bookmarkEnd w:id="67"/>
    <w:bookmarkStart w:id="68" w:name="soru-cevap-e-12"/>
    <w:p>
      <w:pPr>
        <w:pStyle w:val="Heading4"/>
      </w:pPr>
      <w:r>
        <w:t xml:space="preserve">47. soru — Cevap: E</w:t>
      </w:r>
    </w:p>
    <w:p>
      <w:pPr>
        <w:pStyle w:val="FirstParagraph"/>
      </w:pPr>
      <w:r>
        <w:rPr>
          <w:iCs/>
          <w:i/>
        </w:rPr>
        <w:t xml:space="preserve">SAİR · Kambiyo · D3</w:t>
      </w:r>
    </w:p>
    <w:p>
      <w:pPr>
        <w:pStyle w:val="BodyText"/>
      </w:pPr>
      <w:r>
        <w:rPr>
          <w:bCs/>
          <w:b/>
        </w:rPr>
        <w:t xml:space="preserve">Doğru şık:</w:t>
      </w:r>
      <w:r>
        <w:t xml:space="preserve"> </w:t>
      </w:r>
      <w:r>
        <w:t xml:space="preserve">E) İhracat bedeli olarak yurt dışında tahsil edilen efektif</w:t>
      </w:r>
    </w:p>
    <w:p>
      <w:pPr>
        <w:pStyle w:val="BodyText"/>
      </w:pPr>
      <w:r>
        <w:t xml:space="preserve">Genelgeye göre kişisel sermaye hareketi niteliğindeki kişisel borçlar, armağan, hediye, bağış, çeyiz, gelin veya güveyin karşı tarafa verdiği para, miras, veraset veya kalan mal ile yurt dışından temin edilen krediler ve ham elmas ihraç bedelleri ancak bankacılık sistemi vasıtasıyla yurda getirilebilir; bunun dışındaki nakdin yolcu beraberinde getirilmesi mümkündür. 2018-32/48 sayılı Tebliğe göre de ihracat bedelinin yolcu beraberinde efektif olarak getirilmesi hâlinde gümrük idaresine beyanı zorunludur.</w:t>
      </w:r>
    </w:p>
    <w:p>
      <w:pPr>
        <w:pStyle w:val="BodyText"/>
      </w:pPr>
      <w:r>
        <w:rPr>
          <w:bCs/>
          <w:b/>
        </w:rPr>
        <w:t xml:space="preserve">Tuzak:</w:t>
      </w:r>
      <w:r>
        <w:t xml:space="preserve"> </w:t>
      </w:r>
      <w:r>
        <w:t xml:space="preserve">Mirasın kişisel nitelikte olması nedeniyle yolcu beraberinde getirilebileceğini, ihracat bedelinin ise mutlaka banka kanalıyla gelmesi gerektiğini sanan aday miras şıkkına kayar.</w:t>
      </w:r>
    </w:p>
    <w:p>
      <w:pPr>
        <w:pStyle w:val="BodyText"/>
      </w:pPr>
      <w:r>
        <w:rPr>
          <w:bCs/>
          <w:b/>
        </w:rPr>
        <w:t xml:space="preserve">Dayanak:</w:t>
      </w:r>
      <w:r>
        <w:t xml:space="preserve"> </w:t>
      </w:r>
      <w:r>
        <w:t xml:space="preserve">Nakit Kontrolleri Genelgesi (2024/1) md. 1.1; Türk Parası Kıymetini Koruma Hakkında 32 Sayılı Karara İlişkin Tebliğ (İhracat Bedelleri Hakkında) (Tebliğ No: 2018-32/48) md. 3/4</w:t>
      </w:r>
    </w:p>
    <w:bookmarkEnd w:id="68"/>
    <w:bookmarkStart w:id="69" w:name="soru-cevap-d-6"/>
    <w:p>
      <w:pPr>
        <w:pStyle w:val="Heading4"/>
      </w:pPr>
      <w:r>
        <w:t xml:space="preserve">48. soru — Cevap: D</w:t>
      </w:r>
    </w:p>
    <w:p>
      <w:pPr>
        <w:pStyle w:val="FirstParagraph"/>
      </w:pPr>
      <w:r>
        <w:rPr>
          <w:iCs/>
          <w:i/>
        </w:rPr>
        <w:t xml:space="preserve">SAİR · KDV · G1</w:t>
      </w:r>
    </w:p>
    <w:p>
      <w:pPr>
        <w:pStyle w:val="BodyText"/>
      </w:pPr>
      <w:r>
        <w:rPr>
          <w:bCs/>
          <w:b/>
        </w:rPr>
        <w:t xml:space="preserve">Doğru şık:</w:t>
      </w:r>
      <w:r>
        <w:t xml:space="preserve"> </w:t>
      </w:r>
      <w:r>
        <w:t xml:space="preserve">D) Gümrük vergisinin maktuen alındığı hâllerde tek ve maktu tarife, ithalde alınacak KDV de dahil edilmek suretiyle tespit olunur.</w:t>
      </w:r>
    </w:p>
    <w:p>
      <w:pPr>
        <w:pStyle w:val="BodyText"/>
      </w:pPr>
      <w:r>
        <w:t xml:space="preserve">KDV Kanununa göre gümrük vergisinin maktuen alındığı hâllerde tek ve maktu tarife, ithalde alınacak KDV de dahil edilmek suretiyle tespit olunur. İthalde alınan KDV ilgili gümrük idaresince tarh olunur ve gümrük vergisi ile birlikte ve aynı zamanda ödenir; ayın 26’sı kuralı beyanname veren mükellefler içindir. Gümrükte tarh edilen KDV’nin tebliği üzerine açılacak davalarda gümrük vergisinin tabi olduğu usul ve esaslar uygulanır ve ithal sırasında alınan KDV gümrük makbuzunda ayrıca gösterilir.</w:t>
      </w:r>
    </w:p>
    <w:p>
      <w:pPr>
        <w:pStyle w:val="BodyText"/>
      </w:pPr>
      <w:r>
        <w:rPr>
          <w:bCs/>
          <w:b/>
        </w:rPr>
        <w:t xml:space="preserve">Tuzak:</w:t>
      </w:r>
      <w:r>
        <w:t xml:space="preserve"> </w:t>
      </w:r>
      <w:r>
        <w:t xml:space="preserve">Dahilde KDV’nin beyan, tarh ve ödeme kurallarını ithalde alınan KDV’ye taşıyan aday vergi dairesince tarh ya da ayın yirmi altıncı günü ödeme ifadelerinden birine kayar.</w:t>
      </w:r>
    </w:p>
    <w:p>
      <w:pPr>
        <w:pStyle w:val="BodyText"/>
      </w:pPr>
      <w:r>
        <w:rPr>
          <w:bCs/>
          <w:b/>
        </w:rPr>
        <w:t xml:space="preserve">Dayanak:</w:t>
      </w:r>
      <w:r>
        <w:t xml:space="preserve"> </w:t>
      </w:r>
      <w:r>
        <w:t xml:space="preserve">3065 sayılı Katma Değer Vergisi Kanunu md. 43/4, 46/2, 47, 50 ve 52</w:t>
      </w:r>
    </w:p>
    <w:bookmarkEnd w:id="69"/>
    <w:bookmarkStart w:id="70" w:name="soru-cevap-c-9"/>
    <w:p>
      <w:pPr>
        <w:pStyle w:val="Heading4"/>
      </w:pPr>
      <w:r>
        <w:t xml:space="preserve">49. soru — Cevap: C</w:t>
      </w:r>
    </w:p>
    <w:p>
      <w:pPr>
        <w:pStyle w:val="FirstParagraph"/>
      </w:pPr>
      <w:r>
        <w:rPr>
          <w:iCs/>
          <w:i/>
        </w:rPr>
        <w:t xml:space="preserve">SAİR · ÖTV · O3</w:t>
      </w:r>
    </w:p>
    <w:p>
      <w:pPr>
        <w:pStyle w:val="BodyText"/>
      </w:pPr>
      <w:r>
        <w:rPr>
          <w:bCs/>
          <w:b/>
        </w:rPr>
        <w:t xml:space="preserve">Doğru şık:</w:t>
      </w:r>
      <w:r>
        <w:t xml:space="preserve"> </w:t>
      </w:r>
      <w:r>
        <w:t xml:space="preserve">C) Belediyeler</w:t>
      </w:r>
    </w:p>
    <w:p>
      <w:pPr>
        <w:pStyle w:val="BodyText"/>
      </w:pPr>
      <w:r>
        <w:t xml:space="preserve">Tebliğe göre genel ve özel bütçeli idareler, il özel idareleri ve sermayelerinin %51’i veya daha fazlası bunlara ait olan kuruluşlar ile özelleştirme kapsam ve programına alınmış olup hisselerinin yarısından fazlası kamuya ait olan kuruluşlardan teminat aranmaz. Belediyeler bu sayımda yer almaz; dolayısıyla belediyelerin (I) sayılı listedeki mal ithalinde teminat verilmesi gerekir.</w:t>
      </w:r>
    </w:p>
    <w:p>
      <w:pPr>
        <w:pStyle w:val="BodyText"/>
      </w:pPr>
      <w:r>
        <w:rPr>
          <w:bCs/>
          <w:b/>
        </w:rPr>
        <w:t xml:space="preserve">Tuzak:</w:t>
      </w:r>
      <w:r>
        <w:t xml:space="preserve"> </w:t>
      </w:r>
      <w:r>
        <w:t xml:space="preserve">ÖTV ve KDV’deki pek çok istisna listesinde il özel idareleriyle birlikte belediyelerin de sayılmasından hareket eden aday belediyeleri teminat aranmayanlar arasında sanar.</w:t>
      </w:r>
    </w:p>
    <w:p>
      <w:pPr>
        <w:pStyle w:val="BodyText"/>
      </w:pPr>
      <w:r>
        <w:rPr>
          <w:bCs/>
          <w:b/>
        </w:rPr>
        <w:t xml:space="preserve">Dayanak:</w:t>
      </w:r>
      <w:r>
        <w:t xml:space="preserve"> </w:t>
      </w:r>
      <w:r>
        <w:t xml:space="preserve">Özel Tüketim Vergisi (I) Sayılı Liste Uygulama Genel Tebliği V/A-1</w:t>
      </w:r>
    </w:p>
    <w:bookmarkEnd w:id="70"/>
    <w:bookmarkStart w:id="71" w:name="soru-cevap-a-11"/>
    <w:p>
      <w:pPr>
        <w:pStyle w:val="Heading4"/>
      </w:pPr>
      <w:r>
        <w:t xml:space="preserve">50. soru — Cevap: A</w:t>
      </w:r>
    </w:p>
    <w:p>
      <w:pPr>
        <w:pStyle w:val="FirstParagraph"/>
      </w:pPr>
      <w:r>
        <w:rPr>
          <w:iCs/>
          <w:i/>
        </w:rPr>
        <w:t xml:space="preserve">SAİR · ÖTV · D6</w:t>
      </w:r>
    </w:p>
    <w:p>
      <w:pPr>
        <w:pStyle w:val="BodyText"/>
      </w:pPr>
      <w:r>
        <w:rPr>
          <w:bCs/>
          <w:b/>
        </w:rPr>
        <w:t xml:space="preserve">Doğru şık:</w:t>
      </w:r>
      <w:r>
        <w:t xml:space="preserve"> </w:t>
      </w:r>
      <w:r>
        <w:t xml:space="preserve">A) Mükellefin ÖTV yönünden bağlı olduğu vergi dairesi müdürlüğü adına</w:t>
      </w:r>
    </w:p>
    <w:p>
      <w:pPr>
        <w:pStyle w:val="BodyText"/>
      </w:pPr>
      <w:r>
        <w:t xml:space="preserve">Tebliğe göre banka teminat mektuplarının (I) sayılı listenin (A) cetvelindeki mallar için (Gümrük ve) Ticaret Bakanlığı adına, (B) cetvelindeki mallar için ise mükellefin ÖTV yönünden bağlı olduğu vergi dairesi müdürlüğü adına düzenlenmesi zorunludur. Buna paralel olarak (B) cetveli teminatı, bilgi formuyla birlikte beş iş günü içinde vergi dairesine gönderilir ve çözümü vergi dairesince yapılır.</w:t>
      </w:r>
    </w:p>
    <w:p>
      <w:pPr>
        <w:pStyle w:val="BodyText"/>
      </w:pPr>
      <w:r>
        <w:rPr>
          <w:bCs/>
          <w:b/>
        </w:rPr>
        <w:t xml:space="preserve">Tuzak:</w:t>
      </w:r>
      <w:r>
        <w:t xml:space="preserve"> </w:t>
      </w:r>
      <w:r>
        <w:t xml:space="preserve">Teminatı gümrük idaresi aldığı için mektubun da gümrük idaresi veya Ticaret Bakanlığı adına düzenleneceğini düşünen aday (A) cetveline ait kuralı (B) cetveline uygular.</w:t>
      </w:r>
    </w:p>
    <w:p>
      <w:pPr>
        <w:pStyle w:val="BodyText"/>
      </w:pPr>
      <w:r>
        <w:rPr>
          <w:bCs/>
          <w:b/>
        </w:rPr>
        <w:t xml:space="preserve">Dayanak:</w:t>
      </w:r>
      <w:r>
        <w:t xml:space="preserve"> </w:t>
      </w:r>
      <w:r>
        <w:t xml:space="preserve">Özel Tüketim Vergisi (I) Sayılı Liste Uygulama Genel Tebliği V/A-1 ve V/A-2.2</w:t>
      </w:r>
    </w:p>
    <w:bookmarkEnd w:id="71"/>
    <w:bookmarkStart w:id="72" w:name="soru-cevap-b-8"/>
    <w:p>
      <w:pPr>
        <w:pStyle w:val="Heading4"/>
      </w:pPr>
      <w:r>
        <w:t xml:space="preserve">51. soru — Cevap: B</w:t>
      </w:r>
    </w:p>
    <w:p>
      <w:pPr>
        <w:pStyle w:val="FirstParagraph"/>
      </w:pPr>
      <w:r>
        <w:rPr>
          <w:iCs/>
          <w:i/>
        </w:rPr>
        <w:t xml:space="preserve">SAİR · Damga vergisi, KKDF · D3</w:t>
      </w:r>
    </w:p>
    <w:p>
      <w:pPr>
        <w:pStyle w:val="BodyText"/>
      </w:pPr>
      <w:r>
        <w:rPr>
          <w:bCs/>
          <w:b/>
        </w:rPr>
        <w:t xml:space="preserve">Doğru şık:</w:t>
      </w:r>
      <w:r>
        <w:t xml:space="preserve"> </w:t>
      </w:r>
      <w:r>
        <w:t xml:space="preserve">B) Türkiye’de yerleşik sanayi şirketlerinin yurt dışından sağladıkları krediler</w:t>
      </w:r>
    </w:p>
    <w:p>
      <w:pPr>
        <w:pStyle w:val="BodyText"/>
      </w:pPr>
      <w:r>
        <w:t xml:space="preserve">Karar’ın 3 üncü maddesinin (c) bendi, bankalar ve finansman şirketleri dışında Türkiye’de yerleşik kişilerin yurt dışından sağladıkları kredilerde yatırılacak tutarı Fon’un kaynakları arasında sayar; bu nedenle Türkiye’de yerleşik sanayi şirketlerinin yurt dışından sağladıkları krediler fon kesintisine tabidir. Buna karşılık 4 üncü madde; yurt içi bankalararası krediler ile bankaların finansman şirketlerine kullandırdığı kredileri (3), kanuni ve idari takibe alınan kredileri (5), bankalarca yurt dışında yerleşik kişilere açılacak kredileri (6) ve yurt dışındaki işlerle ilgili olarak yurt içindeki bankalardan veya yurt dışından alınacak döviz kredilerini (8) Fon’a kesinti yapılmayacak krediler arasında sayar. Finansman şirketlerince kullandırılan krediler kesintiye tabi olsa da bankaların finansman şirketlerine kullandırdığı krediler istisna kapsamındadır. Kesinti oranlarını artırmaya veya eksiltmeye TCMB yetkili olduğundan soru oranı değil kesintinin kapsamını ölçmektedir.</w:t>
      </w:r>
    </w:p>
    <w:p>
      <w:pPr>
        <w:pStyle w:val="BodyText"/>
      </w:pPr>
      <w:r>
        <w:rPr>
          <w:bCs/>
          <w:b/>
        </w:rPr>
        <w:t xml:space="preserve">Tuzak:</w:t>
      </w:r>
      <w:r>
        <w:t xml:space="preserve"> </w:t>
      </w:r>
      <w:r>
        <w:t xml:space="preserve">Yurt dışından sağlanan her krediyi kesintiye tabi sanan aday yurt dışındaki işlerle ilgili döviz kredilerini, finansman şirketlerince kullandırılan kredilerin kesintiye tabi olmasından yola çıkan aday ise bankaların finansman şirketlerine kullandırdığı kredileri işaretler.</w:t>
      </w:r>
    </w:p>
    <w:p>
      <w:pPr>
        <w:pStyle w:val="BodyText"/>
      </w:pPr>
      <w:r>
        <w:rPr>
          <w:bCs/>
          <w:b/>
        </w:rPr>
        <w:t xml:space="preserve">Dayanak:</w:t>
      </w:r>
      <w:r>
        <w:t xml:space="preserve"> </w:t>
      </w:r>
      <w:r>
        <w:t xml:space="preserve">Kaynak Kullanımını Destekleme Fonu Hakkında Karar (88/12944) md. 3/c ve md. 4 (3), (5), (6), (8)</w:t>
      </w:r>
    </w:p>
    <w:bookmarkEnd w:id="72"/>
    <w:bookmarkStart w:id="73" w:name="soru-cevap-d-7"/>
    <w:p>
      <w:pPr>
        <w:pStyle w:val="Heading4"/>
      </w:pPr>
      <w:r>
        <w:t xml:space="preserve">52. soru — Cevap: D</w:t>
      </w:r>
    </w:p>
    <w:p>
      <w:pPr>
        <w:pStyle w:val="FirstParagraph"/>
      </w:pPr>
      <w:r>
        <w:rPr>
          <w:iCs/>
          <w:i/>
        </w:rPr>
        <w:t xml:space="preserve">SAİR · Damga vergisi, KKDF · Ö3</w:t>
      </w:r>
    </w:p>
    <w:p>
      <w:pPr>
        <w:pStyle w:val="BodyText"/>
      </w:pPr>
      <w:r>
        <w:rPr>
          <w:bCs/>
          <w:b/>
        </w:rPr>
        <w:t xml:space="preserve">Doğru şık:</w:t>
      </w:r>
      <w:r>
        <w:t xml:space="preserve"> </w:t>
      </w:r>
      <w:r>
        <w:t xml:space="preserve">D) I, II, III ve V</w:t>
      </w:r>
    </w:p>
    <w:p>
      <w:pPr>
        <w:pStyle w:val="BodyText"/>
      </w:pPr>
      <w:r>
        <w:t xml:space="preserve">Karara göre petrol (petrol mahsulleri dahil), gübre, gübre hammaddesi, buğday ve arpa ithalatının finansmanı amacıyla kullandırılacak krediler ve ithalat işlemleri ile yatırım teşvik belgesi kapsamında yapılan ithalattan fona kesinti yapılmaz; I, II, III ve V bu sayımdadır. Pirinç ithalatı bu sayımda yer almaz; vadeli ödeme şekilleriyle yapılan pirinç ithalatı KKDF’ye tabidir.</w:t>
      </w:r>
    </w:p>
    <w:p>
      <w:pPr>
        <w:pStyle w:val="BodyText"/>
      </w:pPr>
      <w:r>
        <w:rPr>
          <w:bCs/>
          <w:b/>
        </w:rPr>
        <w:t xml:space="preserve">Tuzak:</w:t>
      </w:r>
      <w:r>
        <w:t xml:space="preserve"> </w:t>
      </w:r>
      <w:r>
        <w:t xml:space="preserve">Temel gıda maddesi olduğu için pirincin de buğday ve arpa gibi kesintiden muaf olduğunu düşünen aday tüm öncülleri işaretler.</w:t>
      </w:r>
    </w:p>
    <w:p>
      <w:pPr>
        <w:pStyle w:val="BodyText"/>
      </w:pPr>
      <w:r>
        <w:rPr>
          <w:bCs/>
          <w:b/>
        </w:rPr>
        <w:t xml:space="preserve">Dayanak:</w:t>
      </w:r>
      <w:r>
        <w:t xml:space="preserve"> </w:t>
      </w:r>
      <w:r>
        <w:t xml:space="preserve">Kaynak Kullanımını Destekleme Fonu Hakkında Karar (88/12944) md. 4 (9) ve (14)</w:t>
      </w:r>
    </w:p>
    <w:bookmarkEnd w:id="73"/>
    <w:bookmarkStart w:id="74" w:name="soru-cevap-b-9"/>
    <w:p>
      <w:pPr>
        <w:pStyle w:val="Heading4"/>
      </w:pPr>
      <w:r>
        <w:t xml:space="preserve">53. soru — Cevap: B</w:t>
      </w:r>
    </w:p>
    <w:p>
      <w:pPr>
        <w:pStyle w:val="FirstParagraph"/>
      </w:pPr>
      <w:r>
        <w:rPr>
          <w:iCs/>
          <w:i/>
        </w:rPr>
        <w:t xml:space="preserve">GM · Yükümlülük, teminat, tecil · Ö2</w:t>
      </w:r>
    </w:p>
    <w:p>
      <w:pPr>
        <w:pStyle w:val="BodyText"/>
      </w:pPr>
      <w:r>
        <w:rPr>
          <w:bCs/>
          <w:b/>
        </w:rPr>
        <w:t xml:space="preserve">Doğru şık:</w:t>
      </w:r>
      <w:r>
        <w:t xml:space="preserve"> </w:t>
      </w:r>
      <w:r>
        <w:t xml:space="preserve">B) Yalnız IV</w:t>
      </w:r>
    </w:p>
    <w:p>
      <w:pPr>
        <w:pStyle w:val="BodyText"/>
      </w:pPr>
      <w:r>
        <w:t xml:space="preserve">Gümrük Yönetmeliğinin 495 inci maddesinin ikinci fıkrasına göre garanti mektubu ile işlem yapılması durumunda yükümlülüklerin tam ve zamanında yerine getirilmemesi hâlinde yükümlüye bir yıl boyunca bu haktan yararlanma izni verilmez;</w:t>
      </w:r>
      <w:r>
        <w:t xml:space="preserve"> </w:t>
      </w:r>
      <w:r>
        <w:t xml:space="preserve">“</w:t>
      </w:r>
      <w:r>
        <w:t xml:space="preserve">üç yıl</w:t>
      </w:r>
      <w:r>
        <w:t xml:space="preserve">”</w:t>
      </w:r>
      <w:r>
        <w:t xml:space="preserve"> </w:t>
      </w:r>
      <w:r>
        <w:t xml:space="preserve">ifadesi yanlıştır. Teminat aranmayacak ve kısmi teminat uygulanacak hâlleri belirleme yetkisi Cumhurbaşkanınındır (GK md. 202/4); değer yitiren veya yetersiz kalan teminat için ek teminat ya da değiştirme istenebilir (GK md. 206/1); götürü teminattan yararlanma hakkı askıya alınanların teminat mektupları iade edilmez (GY md. 498/3); Millî Esham ve Tahvilat en yakın borsa cetveli üzerinden yüzde on beş noksanıyla değerlendirilir (GY md. 495/1-ç).</w:t>
      </w:r>
    </w:p>
    <w:p>
      <w:pPr>
        <w:pStyle w:val="BodyText"/>
      </w:pPr>
      <w:r>
        <w:rPr>
          <w:bCs/>
          <w:b/>
        </w:rPr>
        <w:t xml:space="preserve">Tuzak:</w:t>
      </w:r>
      <w:r>
        <w:t xml:space="preserve"> </w:t>
      </w:r>
      <w:r>
        <w:t xml:space="preserve">Askıya alma sırasında teminatın iade edileceğini ya da Millî Esham ve Tahvilatın nominal değerle kabul edileceğini düşünüp ikinci bir öncülü yanlış işaretlemek.</w:t>
      </w:r>
    </w:p>
    <w:p>
      <w:pPr>
        <w:pStyle w:val="BodyText"/>
      </w:pPr>
      <w:r>
        <w:rPr>
          <w:bCs/>
          <w:b/>
        </w:rPr>
        <w:t xml:space="preserve">Dayanak:</w:t>
      </w:r>
      <w:r>
        <w:t xml:space="preserve"> </w:t>
      </w:r>
      <w:r>
        <w:t xml:space="preserve">4458 sayılı Gümrük Kanunu md. 202/4, 206/1; Gümrük Yönetmeliği md. 495/1-ç, 495/2, 498/3</w:t>
      </w:r>
    </w:p>
    <w:bookmarkEnd w:id="74"/>
    <w:bookmarkStart w:id="75" w:name="soru-cevap-e-13"/>
    <w:p>
      <w:pPr>
        <w:pStyle w:val="Heading4"/>
      </w:pPr>
      <w:r>
        <w:t xml:space="preserve">54. soru — Cevap: E</w:t>
      </w:r>
    </w:p>
    <w:p>
      <w:pPr>
        <w:pStyle w:val="FirstParagraph"/>
      </w:pPr>
      <w:r>
        <w:rPr>
          <w:iCs/>
          <w:i/>
        </w:rPr>
        <w:t xml:space="preserve">GM · Yükümlülük, teminat, tecil · O1</w:t>
      </w:r>
    </w:p>
    <w:p>
      <w:pPr>
        <w:pStyle w:val="BodyText"/>
      </w:pPr>
      <w:r>
        <w:rPr>
          <w:bCs/>
          <w:b/>
        </w:rPr>
        <w:t xml:space="preserve">Doğru şık:</w:t>
      </w:r>
      <w:r>
        <w:t xml:space="preserve"> </w:t>
      </w:r>
      <w:r>
        <w:t xml:space="preserve">E) Gümrük vergilerinin 6183 sayılı Kanun uyarınca tecil edilerek taksitlendirilmesine karar verilmesi</w:t>
      </w:r>
    </w:p>
    <w:p>
      <w:pPr>
        <w:pStyle w:val="BodyText"/>
      </w:pPr>
      <w:r>
        <w:t xml:space="preserve">Gümrük Kanununun 208 inci maddesine göre gümrük yükümlülüğü; vergilerin ödenmesi, kaldırılmasına karar verilmesi, gümrük beyannamesinin iptali, eşyanın bir gümrük rejimi kapsamında tesliminden önce zapt ve müsaderesi veya imhası, 164 üncü madde uyarınca imha ya da terki, doğal özellikleri, beklenmeyen hâl veya mücbir sebep nedeniyle telef ya da kaybı ve 182 nci madde uyarınca yükümlülük doğan eşyanın kanuna aykırı giriş nedeniyle müsaderesi hâllerinde sona erer. Tecil ve taksitlendirme alacağı ortadan kaldırmaz, yalnızca ödeme zamanını tecil faizi karşılığında erteler; bu nedenle sona erme hâlleri arasında sayılmamıştır.</w:t>
      </w:r>
    </w:p>
    <w:p>
      <w:pPr>
        <w:pStyle w:val="BodyText"/>
      </w:pPr>
      <w:r>
        <w:rPr>
          <w:bCs/>
          <w:b/>
        </w:rPr>
        <w:t xml:space="preserve">Tuzak:</w:t>
      </w:r>
      <w:r>
        <w:t xml:space="preserve"> </w:t>
      </w:r>
      <w:r>
        <w:t xml:space="preserve">Tecil kararını, kaldırma kararı gibi alacağı ortadan kaldıran bir idari işlem sanmak.</w:t>
      </w:r>
    </w:p>
    <w:p>
      <w:pPr>
        <w:pStyle w:val="BodyText"/>
      </w:pPr>
      <w:r>
        <w:rPr>
          <w:bCs/>
          <w:b/>
        </w:rPr>
        <w:t xml:space="preserve">Dayanak:</w:t>
      </w:r>
      <w:r>
        <w:t xml:space="preserve"> </w:t>
      </w:r>
      <w:r>
        <w:t xml:space="preserve">4458 sayılı Gümrük Kanunu md. 208</w:t>
      </w:r>
    </w:p>
    <w:bookmarkEnd w:id="75"/>
    <w:bookmarkStart w:id="76" w:name="soru-cevap-a-12"/>
    <w:p>
      <w:pPr>
        <w:pStyle w:val="Heading4"/>
      </w:pPr>
      <w:r>
        <w:t xml:space="preserve">55. soru — Cevap: A</w:t>
      </w:r>
    </w:p>
    <w:p>
      <w:pPr>
        <w:pStyle w:val="FirstParagraph"/>
      </w:pPr>
      <w:r>
        <w:rPr>
          <w:iCs/>
          <w:i/>
        </w:rPr>
        <w:t xml:space="preserve">GM · Geri verme – kaldırma · O2</w:t>
      </w:r>
    </w:p>
    <w:p>
      <w:pPr>
        <w:pStyle w:val="BodyText"/>
      </w:pPr>
      <w:r>
        <w:rPr>
          <w:bCs/>
          <w:b/>
        </w:rPr>
        <w:t xml:space="preserve">Doğru şık:</w:t>
      </w:r>
      <w:r>
        <w:t xml:space="preserve"> </w:t>
      </w:r>
      <w:r>
        <w:t xml:space="preserve">A) Geri verme veya kaldırma başvurusunda bulunulabilmesi için, Gümrük Kanununun 242 nci maddesinde düzenlenen itiraz hakkının süresi içinde kullanılmış olması gerekir.</w:t>
      </w:r>
    </w:p>
    <w:p>
      <w:pPr>
        <w:pStyle w:val="BodyText"/>
      </w:pPr>
      <w:r>
        <w:t xml:space="preserve">Tahsilat İşlemleri Tebliğinin 32 nci maddesine göre geri verme veya kaldırma başvurusu Kanunda öngörülen süreler içinde yapıldıkça, GK 242 nci maddesindeki itiraz hakkından süresinde yararlanılmamış olması başvuruya engel teşkil etmez; itirazın kullanılmış olmasını şart koşan ifade yanlıştır. Hükümlerin para cezalarına da uygulanması (GK 210), kusurlu olduğu teyit edildikten sonra satılan eşyada geri verme yapılmaması (GY 501), gözetimde kendi isteğiyle eşik kıymetten yapılan beyana dayanan talebin reddi (Tebliğ md. 38) ve fer’i alacakların da geri verilmesi (Tebliğ md. 44) mevzuatın kendisidir.</w:t>
      </w:r>
    </w:p>
    <w:p>
      <w:pPr>
        <w:pStyle w:val="BodyText"/>
      </w:pPr>
      <w:r>
        <w:rPr>
          <w:bCs/>
          <w:b/>
        </w:rPr>
        <w:t xml:space="preserve">Tuzak:</w:t>
      </w:r>
      <w:r>
        <w:t xml:space="preserve"> </w:t>
      </w:r>
      <w:r>
        <w:t xml:space="preserve">İdari itiraz yolunu geri vermenin ön şartı sanan aday, itiraz süresi kaçırıldığında geri verme yolunun da kapandığını düşünerek yanlış ifadeyi doğru kabul eder.</w:t>
      </w:r>
    </w:p>
    <w:p>
      <w:pPr>
        <w:pStyle w:val="BodyText"/>
      </w:pPr>
      <w:r>
        <w:rPr>
          <w:bCs/>
          <w:b/>
        </w:rPr>
        <w:t xml:space="preserve">Dayanak:</w:t>
      </w:r>
      <w:r>
        <w:t xml:space="preserve"> </w:t>
      </w:r>
      <w:r>
        <w:t xml:space="preserve">GK md. 210; Gümrük Yönetmeliği md. 501; Gümrük Genel Tebliği (Tahsilat İşlemleri) (Seri No: 2) md. 32, 38, 44</w:t>
      </w:r>
    </w:p>
    <w:bookmarkEnd w:id="76"/>
    <w:bookmarkStart w:id="77" w:name="soru-cevap-d-8"/>
    <w:p>
      <w:pPr>
        <w:pStyle w:val="Heading4"/>
      </w:pPr>
      <w:r>
        <w:t xml:space="preserve">56. soru — Cevap: D</w:t>
      </w:r>
    </w:p>
    <w:p>
      <w:pPr>
        <w:pStyle w:val="FirstParagraph"/>
      </w:pPr>
      <w:r>
        <w:rPr>
          <w:iCs/>
          <w:i/>
        </w:rPr>
        <w:t xml:space="preserve">GM · Cezalar, uzlaşma, itiraz · Ö1</w:t>
      </w:r>
    </w:p>
    <w:p>
      <w:pPr>
        <w:pStyle w:val="BodyText"/>
      </w:pPr>
      <w:r>
        <w:rPr>
          <w:bCs/>
          <w:b/>
        </w:rPr>
        <w:t xml:space="preserve">Doğru şık:</w:t>
      </w:r>
      <w:r>
        <w:t xml:space="preserve"> </w:t>
      </w:r>
      <w:r>
        <w:t xml:space="preserve">D) I, II ve IV</w:t>
      </w:r>
    </w:p>
    <w:p>
      <w:pPr>
        <w:pStyle w:val="BodyText"/>
      </w:pPr>
      <w:r>
        <w:t xml:space="preserve">Kanunun 244 üncü maddesine göre uzlaşma talebi, itiraz yapılmamış veya itirazı sonuçlanmamış alacaklar için tebliğden itibaren on beş gün içinde yapılır (I); talep, itiraz ve dava açma süresini durdurur, süre kaldığı yerden işler ve beş günden az kalmışsa beş güne tamamlanır (II); uzlaşılan vergi ve cezalar tutanağın tebliğinden itibaren bir ay içinde ödenir (IV). Uzlaşmanın vaki olmaması veya temin edilememesi hâlinde yeniden uzlaşma talebinde bulunulamaz; bu nedenle III yanlıştır.</w:t>
      </w:r>
    </w:p>
    <w:p>
      <w:pPr>
        <w:pStyle w:val="BodyText"/>
      </w:pPr>
      <w:r>
        <w:rPr>
          <w:bCs/>
          <w:b/>
        </w:rPr>
        <w:t xml:space="preserve">Tuzak:</w:t>
      </w:r>
      <w:r>
        <w:t xml:space="preserve"> </w:t>
      </w:r>
      <w:r>
        <w:t xml:space="preserve">Yükümlü lehine ikinci bir fırsat tanındığını varsayan aday III’ü de doğru sayarak tüm öncülleri içeren kümeyi işaretler.</w:t>
      </w:r>
    </w:p>
    <w:p>
      <w:pPr>
        <w:pStyle w:val="BodyText"/>
      </w:pPr>
      <w:r>
        <w:rPr>
          <w:bCs/>
          <w:b/>
        </w:rPr>
        <w:t xml:space="preserve">Dayanak:</w:t>
      </w:r>
      <w:r>
        <w:t xml:space="preserve"> </w:t>
      </w:r>
      <w:r>
        <w:t xml:space="preserve">4458 sayılı GK md. 244/1, 244/5; Gümrük Uzlaşma Yönetmeliği md. 14/1, 22/3, 24/1</w:t>
      </w:r>
    </w:p>
    <w:bookmarkEnd w:id="77"/>
    <w:bookmarkStart w:id="78" w:name="soru-cevap-b-10"/>
    <w:p>
      <w:pPr>
        <w:pStyle w:val="Heading4"/>
      </w:pPr>
      <w:r>
        <w:t xml:space="preserve">57. soru — Cevap: B</w:t>
      </w:r>
    </w:p>
    <w:p>
      <w:pPr>
        <w:pStyle w:val="FirstParagraph"/>
      </w:pPr>
      <w:r>
        <w:rPr>
          <w:iCs/>
          <w:i/>
        </w:rPr>
        <w:t xml:space="preserve">GM · Cezalar, uzlaşma, itiraz · O2</w:t>
      </w:r>
    </w:p>
    <w:p>
      <w:pPr>
        <w:pStyle w:val="BodyText"/>
      </w:pPr>
      <w:r>
        <w:rPr>
          <w:bCs/>
          <w:b/>
        </w:rPr>
        <w:t xml:space="preserve">Doğru şık:</w:t>
      </w:r>
      <w:r>
        <w:t xml:space="preserve"> </w:t>
      </w:r>
      <w:r>
        <w:t xml:space="preserve">B) İtirazın reddi kararlarına karşı yükümlünün yerleşim yerindeki idari yargı mercilerine başvurulabilir.</w:t>
      </w:r>
    </w:p>
    <w:p>
      <w:pPr>
        <w:pStyle w:val="BodyText"/>
      </w:pPr>
      <w:r>
        <w:t xml:space="preserve">Kanunun 242 nci maddesine göre itirazın reddi kararlarına karşı işlemin yapıldığı yerdeki idari yargı mercilerine başvurulabilir; yükümlünün yerleşim yeri esas alınmaz. On beş günlük itiraz süresi, otuz günlük karar süresi, süresi içinde yanlış makama verilen dilekçenin süresinde yapılmış sayılması ve taahhütlü postada postaya veriliş tarihinin esas alınması mevzuatın aynısıdır.</w:t>
      </w:r>
    </w:p>
    <w:p>
      <w:pPr>
        <w:pStyle w:val="BodyText"/>
      </w:pPr>
      <w:r>
        <w:rPr>
          <w:bCs/>
          <w:b/>
        </w:rPr>
        <w:t xml:space="preserve">Tuzak:</w:t>
      </w:r>
      <w:r>
        <w:t xml:space="preserve"> </w:t>
      </w:r>
      <w:r>
        <w:t xml:space="preserve">Genel yargı yetkisi kurallarından hareketle davacının yerleşim yerini yetkili sayan aday yanlış ifadeyi doğru kabul eder.</w:t>
      </w:r>
    </w:p>
    <w:p>
      <w:pPr>
        <w:pStyle w:val="BodyText"/>
      </w:pPr>
      <w:r>
        <w:rPr>
          <w:bCs/>
          <w:b/>
        </w:rPr>
        <w:t xml:space="preserve">Dayanak:</w:t>
      </w:r>
      <w:r>
        <w:t xml:space="preserve"> </w:t>
      </w:r>
      <w:r>
        <w:t xml:space="preserve">4458 sayılı GK md. 242/1-4; Gümrük Yönetmeliği md. 585/4-a</w:t>
      </w:r>
    </w:p>
    <w:bookmarkEnd w:id="78"/>
    <w:bookmarkStart w:id="79" w:name="soru-cevap-e-14"/>
    <w:p>
      <w:pPr>
        <w:pStyle w:val="Heading4"/>
      </w:pPr>
      <w:r>
        <w:t xml:space="preserve">58. soru — Cevap: E</w:t>
      </w:r>
    </w:p>
    <w:p>
      <w:pPr>
        <w:pStyle w:val="FirstParagraph"/>
      </w:pPr>
      <w:r>
        <w:rPr>
          <w:iCs/>
          <w:i/>
        </w:rPr>
        <w:t xml:space="preserve">GM · Tasfiye · O2</w:t>
      </w:r>
    </w:p>
    <w:p>
      <w:pPr>
        <w:pStyle w:val="BodyText"/>
      </w:pPr>
      <w:r>
        <w:rPr>
          <w:bCs/>
          <w:b/>
        </w:rPr>
        <w:t xml:space="preserve">Doğru şık:</w:t>
      </w:r>
      <w:r>
        <w:t xml:space="preserve"> </w:t>
      </w:r>
      <w:r>
        <w:t xml:space="preserve">E) Gümrük rejimine tabi tutulma başvurusunun ihale ilanı yayımlandıktan sonra ve satış gerçekleşmeden önce yapılması hâlinde talebin kabulü, varsa cezalar ve giderlerin yanı sıra CIF değerinin %3’ü oranında bir tutarın ödenmesine bağlıdır.</w:t>
      </w:r>
    </w:p>
    <w:p>
      <w:pPr>
        <w:pStyle w:val="BodyText"/>
      </w:pPr>
      <w:r>
        <w:t xml:space="preserve">Kanunun 179 uncu maddesine göre başvurunun ihale ilanı yayımlandıktan veya perakende satış kararı alındıktan sonra ve satıştan önce yapılması hâlinde ödenecek tutar CIF değerinin %10’udur; %3, ilandan önce yapılan başvurularda bu uygulamadan ikinci kez yararlanılmak istenmesi hâlinde aranan orandır. Eşyanın bulunmaması hâlinde CIF veya FOB kıymeti ile vergilerin tahsili, beyanname tescil tarihindeki oranların esas alınması, 2886 sayılı Kanunun uygulanmaması ve ilan öncesi başvuruda %1 oranı 177, 179 ve 180 inci maddelerin aynısıdır.</w:t>
      </w:r>
    </w:p>
    <w:p>
      <w:pPr>
        <w:pStyle w:val="BodyText"/>
      </w:pPr>
      <w:r>
        <w:rPr>
          <w:bCs/>
          <w:b/>
        </w:rPr>
        <w:t xml:space="preserve">Tuzak:</w:t>
      </w:r>
      <w:r>
        <w:t xml:space="preserve"> </w:t>
      </w:r>
      <w:r>
        <w:t xml:space="preserve">İkinci kez yararlanmaya ilişkin %3 oranını ilan sonrası başvuruların oranı sanan aday yanlış ifadeyi doğru kabul eder.</w:t>
      </w:r>
    </w:p>
    <w:p>
      <w:pPr>
        <w:pStyle w:val="BodyText"/>
      </w:pPr>
      <w:r>
        <w:rPr>
          <w:bCs/>
          <w:b/>
        </w:rPr>
        <w:t xml:space="preserve">Dayanak:</w:t>
      </w:r>
      <w:r>
        <w:t xml:space="preserve"> </w:t>
      </w:r>
      <w:r>
        <w:t xml:space="preserve">4458 sayılı GK md. 177/3, 179/1, 180/3, 180/5</w:t>
      </w:r>
    </w:p>
    <w:bookmarkEnd w:id="79"/>
    <w:bookmarkStart w:id="80" w:name="soru-cevap-c-10"/>
    <w:p>
      <w:pPr>
        <w:pStyle w:val="Heading4"/>
      </w:pPr>
      <w:r>
        <w:t xml:space="preserve">59. soru — Cevap: C</w:t>
      </w:r>
    </w:p>
    <w:p>
      <w:pPr>
        <w:pStyle w:val="FirstParagraph"/>
      </w:pPr>
      <w:r>
        <w:rPr>
          <w:iCs/>
          <w:i/>
        </w:rPr>
        <w:t xml:space="preserve">SAİR · Tercihli ticaret, menşe belgeleri · K1</w:t>
      </w:r>
    </w:p>
    <w:p>
      <w:pPr>
        <w:pStyle w:val="BodyText"/>
      </w:pPr>
      <w:r>
        <w:rPr>
          <w:bCs/>
          <w:b/>
        </w:rPr>
        <w:t xml:space="preserve">Doğru şık:</w:t>
      </w:r>
      <w:r>
        <w:t xml:space="preserve"> </w:t>
      </w:r>
      <w:r>
        <w:t xml:space="preserve">C) Uzun dönem tedarikçi beyanı</w:t>
      </w:r>
    </w:p>
    <w:p>
      <w:pPr>
        <w:pStyle w:val="BodyText"/>
      </w:pPr>
      <w:r>
        <w:t xml:space="preserve">Karar’ın tanımlar maddesi ve 71 inci maddesi uyarınca uzun dönem tedarikçi beyanı, düzenli tedarik halinde müteakip sevkiyatları da kapsayan ve düzenlendiği tarihten itibaren en çok bir yıl geçerli olan tek tedarikçi beyanıdır; geçmişe yönelik düzenlendiğinde geriye dönük süre de bir yılı geçemez. Tedarikçi beyanı kural olarak her sevkiyat için ayrı düzenlenir; INF 4 tedarikçi beyanının doğrulanması amacıyla gümrük idaresince düzenlenen formdur; fatura beyanı ise ihracatçının menşe ispat beyanıdır.</w:t>
      </w:r>
    </w:p>
    <w:p>
      <w:pPr>
        <w:pStyle w:val="BodyText"/>
      </w:pPr>
      <w:r>
        <w:rPr>
          <w:bCs/>
          <w:b/>
        </w:rPr>
        <w:t xml:space="preserve">Tuzak:</w:t>
      </w:r>
      <w:r>
        <w:t xml:space="preserve"> </w:t>
      </w:r>
      <w:r>
        <w:t xml:space="preserve">Tanımın</w:t>
      </w:r>
      <w:r>
        <w:t xml:space="preserve"> </w:t>
      </w:r>
      <w:r>
        <w:t xml:space="preserve">‘</w:t>
      </w:r>
      <w:r>
        <w:t xml:space="preserve">tedarikçi tarafından hazırlanan beyan</w:t>
      </w:r>
      <w:r>
        <w:t xml:space="preserve">’</w:t>
      </w:r>
      <w:r>
        <w:t xml:space="preserve"> </w:t>
      </w:r>
      <w:r>
        <w:t xml:space="preserve">kısmına odaklanıp süreklilik ve bir yıllık geçerlilik unsurunu gözden kaçıran aday genel</w:t>
      </w:r>
      <w:r>
        <w:t xml:space="preserve"> </w:t>
      </w:r>
      <w:r>
        <w:t xml:space="preserve">‘</w:t>
      </w:r>
      <w:r>
        <w:t xml:space="preserve">tedarikçi beyanı</w:t>
      </w:r>
      <w:r>
        <w:t xml:space="preserve">’</w:t>
      </w:r>
      <w:r>
        <w:t xml:space="preserve"> </w:t>
      </w:r>
      <w:r>
        <w:t xml:space="preserve">şıkkını seçer.</w:t>
      </w:r>
    </w:p>
    <w:p>
      <w:pPr>
        <w:pStyle w:val="BodyText"/>
      </w:pPr>
      <w:r>
        <w:rPr>
          <w:bCs/>
          <w:b/>
        </w:rPr>
        <w:t xml:space="preserve">Dayanak:</w:t>
      </w:r>
      <w:r>
        <w:t xml:space="preserve"> </w:t>
      </w:r>
      <w:r>
        <w:t xml:space="preserve">2006/10895 sayılı Karar md. 3 (uzun dönem tedarikçi beyanı tanımı), md. 71, 72</w:t>
      </w:r>
    </w:p>
    <w:bookmarkEnd w:id="80"/>
    <w:bookmarkStart w:id="81" w:name="soru-cevap-d-9"/>
    <w:p>
      <w:pPr>
        <w:pStyle w:val="Heading4"/>
      </w:pPr>
      <w:r>
        <w:t xml:space="preserve">60. soru — Cevap: D</w:t>
      </w:r>
    </w:p>
    <w:p>
      <w:pPr>
        <w:pStyle w:val="FirstParagraph"/>
      </w:pPr>
      <w:r>
        <w:rPr>
          <w:iCs/>
          <w:i/>
        </w:rPr>
        <w:t xml:space="preserve">SAİR · Tercihli ticaret, menşe belgeleri · E1</w:t>
      </w:r>
    </w:p>
    <w:p>
      <w:pPr>
        <w:pStyle w:val="BodyText"/>
      </w:pPr>
      <w:r>
        <w:rPr>
          <w:bCs/>
          <w:b/>
        </w:rPr>
        <w:t xml:space="preserve">Doğru şık:</w:t>
      </w:r>
      <w:r>
        <w:t xml:space="preserve"> </w:t>
      </w:r>
      <w:r>
        <w:t xml:space="preserve">D) Türkiye–AB arasındaki AKÇT kapsamı ürünler – A.TR Dolaşım Belgesi</w:t>
      </w:r>
    </w:p>
    <w:p>
      <w:pPr>
        <w:pStyle w:val="BodyText"/>
      </w:pPr>
      <w:r>
        <w:t xml:space="preserve">2006/10895 sayılı Karar’ın 5 inci maddesine göre A.TR Dolaşım Belgesi, AKÇT kapsamındaki ürünler hariç olmak üzere işlenmiş tarım ürünleri ile sanayi ürünleri için düzenlenir. Kömür ve çelik ürünleri Gümrük Birliği dışında bırakılarak ayrı bir serbest ticaret anlaşmasına konu edildiğinden bu ürünlerin AB ile ticaretinde EUR.1 Dolaşım Belgesi kullanılır. Gürcistan STA’sında EUR.1, Birleşik Krallık STA’sında menşe beyanı, Azerbaycan TTA’sında TR-AZ Menşe İspat Belgesi kullanılır.</w:t>
      </w:r>
    </w:p>
    <w:p>
      <w:pPr>
        <w:pStyle w:val="BodyText"/>
      </w:pPr>
      <w:r>
        <w:rPr>
          <w:bCs/>
          <w:b/>
        </w:rPr>
        <w:t xml:space="preserve">Tuzak:</w:t>
      </w:r>
      <w:r>
        <w:t xml:space="preserve"> </w:t>
      </w:r>
      <w:r>
        <w:t xml:space="preserve">‘</w:t>
      </w:r>
      <w:r>
        <w:t xml:space="preserve">AB ile ticaret = A.TR</w:t>
      </w:r>
      <w:r>
        <w:t xml:space="preserve">’</w:t>
      </w:r>
      <w:r>
        <w:t xml:space="preserve"> </w:t>
      </w:r>
      <w:r>
        <w:t xml:space="preserve">genellemesi yapan aday AKÇT eşleşmesini doğru sanır.</w:t>
      </w:r>
    </w:p>
    <w:p>
      <w:pPr>
        <w:pStyle w:val="BodyText"/>
      </w:pPr>
      <w:r>
        <w:rPr>
          <w:bCs/>
          <w:b/>
        </w:rPr>
        <w:t xml:space="preserve">Dayanak:</w:t>
      </w:r>
      <w:r>
        <w:t xml:space="preserve"> </w:t>
      </w:r>
      <w:r>
        <w:t xml:space="preserve">2006/10895 sayılı Karar md. 5; ilgili STA/TTA menşe kuralları</w:t>
      </w:r>
    </w:p>
    <w:bookmarkEnd w:id="81"/>
    <w:bookmarkStart w:id="82" w:name="soru-cevap-b-11"/>
    <w:p>
      <w:pPr>
        <w:pStyle w:val="Heading4"/>
      </w:pPr>
      <w:r>
        <w:t xml:space="preserve">61. soru — Cevap: B</w:t>
      </w:r>
    </w:p>
    <w:p>
      <w:pPr>
        <w:pStyle w:val="FirstParagraph"/>
      </w:pPr>
      <w:r>
        <w:rPr>
          <w:iCs/>
          <w:i/>
        </w:rPr>
        <w:t xml:space="preserve">SAİR · 5607 Kaçakçılık · Ö2</w:t>
      </w:r>
    </w:p>
    <w:p>
      <w:pPr>
        <w:pStyle w:val="BodyText"/>
      </w:pPr>
      <w:r>
        <w:rPr>
          <w:bCs/>
          <w:b/>
        </w:rPr>
        <w:t xml:space="preserve">Doğru şık:</w:t>
      </w:r>
      <w:r>
        <w:t xml:space="preserve"> </w:t>
      </w:r>
      <w:r>
        <w:t xml:space="preserve">B) Yalnız III</w:t>
      </w:r>
    </w:p>
    <w:p>
      <w:pPr>
        <w:pStyle w:val="BodyText"/>
      </w:pPr>
      <w:r>
        <w:t xml:space="preserve">Kanuna göre örgüt faaliyeti çerçevesinde işlenen suçlarda ceza iki kat, görevliler tarafından veya meslek ve sanatın sağladığı kolaylıktan yararlanılarak işlenen suçlarda yarı oranında artırılır; göz yuman görevli müşterek fail olarak sorumlu tutulur. Suçların belgede sahtecilik yapılarak işlenmesi hâlinde ise kaçakçılık suçunun cezasına ek olarak</w:t>
      </w:r>
      <w:r>
        <w:t xml:space="preserve"> </w:t>
      </w:r>
      <w:r>
        <w:t xml:space="preserve">‘</w:t>
      </w:r>
      <w:r>
        <w:t xml:space="preserve">ayrıca</w:t>
      </w:r>
      <w:r>
        <w:t xml:space="preserve">’</w:t>
      </w:r>
      <w:r>
        <w:t xml:space="preserve"> </w:t>
      </w:r>
      <w:r>
        <w:t xml:space="preserve">belgede sahtecilik suçundan da cezaya hükmolunur (gerçek içtima);</w:t>
      </w:r>
      <w:r>
        <w:t xml:space="preserve"> </w:t>
      </w:r>
      <w:r>
        <w:t xml:space="preserve">‘</w:t>
      </w:r>
      <w:r>
        <w:t xml:space="preserve">yalnızca sahtecilikten ceza</w:t>
      </w:r>
      <w:r>
        <w:t xml:space="preserve">’</w:t>
      </w:r>
      <w:r>
        <w:t xml:space="preserve"> </w:t>
      </w:r>
      <w:r>
        <w:t xml:space="preserve">ifadesi yanlıştır.</w:t>
      </w:r>
    </w:p>
    <w:p>
      <w:pPr>
        <w:pStyle w:val="BodyText"/>
      </w:pPr>
      <w:r>
        <w:rPr>
          <w:bCs/>
          <w:b/>
        </w:rPr>
        <w:t xml:space="preserve">Tuzak:</w:t>
      </w:r>
      <w:r>
        <w:t xml:space="preserve"> </w:t>
      </w:r>
      <w:r>
        <w:t xml:space="preserve">TCK’daki fikri içtima kuralını (en ağır cezayı gerektiren suçtan ceza) 5607’ye taşıyan aday III’ü doğru sanar; örgüt ile görevli hâlindeki artırım oranlarını karıştıran aday I veya II’yi yanlış sanır.</w:t>
      </w:r>
    </w:p>
    <w:p>
      <w:pPr>
        <w:pStyle w:val="BodyText"/>
      </w:pPr>
      <w:r>
        <w:rPr>
          <w:bCs/>
          <w:b/>
        </w:rPr>
        <w:t xml:space="preserve">Dayanak:</w:t>
      </w:r>
      <w:r>
        <w:t xml:space="preserve"> </w:t>
      </w:r>
      <w:r>
        <w:t xml:space="preserve">5607 sayılı Kaçakçılıkla Mücadele Kanunu md. 4 (nitelikli hâller)</w:t>
      </w:r>
    </w:p>
    <w:bookmarkEnd w:id="82"/>
    <w:bookmarkStart w:id="83" w:name="soru-cevap-e-15"/>
    <w:p>
      <w:pPr>
        <w:pStyle w:val="Heading4"/>
      </w:pPr>
      <w:r>
        <w:t xml:space="preserve">62. soru — Cevap: E</w:t>
      </w:r>
    </w:p>
    <w:p>
      <w:pPr>
        <w:pStyle w:val="FirstParagraph"/>
      </w:pPr>
      <w:r>
        <w:rPr>
          <w:iCs/>
          <w:i/>
        </w:rPr>
        <w:t xml:space="preserve">SAİR · 5607 Kaçakçılık · D3</w:t>
      </w:r>
    </w:p>
    <w:p>
      <w:pPr>
        <w:pStyle w:val="BodyText"/>
      </w:pPr>
      <w:r>
        <w:rPr>
          <w:bCs/>
          <w:b/>
        </w:rPr>
        <w:t xml:space="preserve">Doğru şık:</w:t>
      </w:r>
      <w:r>
        <w:t xml:space="preserve"> </w:t>
      </w:r>
      <w:r>
        <w:t xml:space="preserve">E) Yurt içinde fikri ve sınai mülkiyet haklarını ihlal ettiği şüphesiyle elkonulan ve gümrük işlemleri ile bağlantısı kurulamayan eşya</w:t>
      </w:r>
    </w:p>
    <w:p>
      <w:pPr>
        <w:pStyle w:val="BodyText"/>
      </w:pPr>
      <w:r>
        <w:t xml:space="preserve">Tebliğe göre yurt içinde fikri ve sınai mülkiyet haklarını ihlal ettiği şüphesiyle elkonulan eşyanın gümrük işlemleri ile bağlantısı kurulamazsa, 6769 sayılı Sınai Mülkiyet Kanununa göre işlem yapılacağından gümrük idaresince teslim alınmaz ve milli emlak birimlerine teslim edilir. Gümrük işlemi ile bağlantılı FSMH eşyası gümrük idaresine ait ambarlara alınır; kaçak zannı ile elkonulan eşya kaçak eşya ambarına konulur; teminatla teslim alınmayan deniz taşıtları en yakın liman işletmesine; özel tesis gerektiren eşya ise ilgili idarelere veya mülki amirin uygun göreceği yerlere teslim edilir.</w:t>
      </w:r>
    </w:p>
    <w:p>
      <w:pPr>
        <w:pStyle w:val="BodyText"/>
      </w:pPr>
      <w:r>
        <w:rPr>
          <w:bCs/>
          <w:b/>
        </w:rPr>
        <w:t xml:space="preserve">Tuzak:</w:t>
      </w:r>
      <w:r>
        <w:t xml:space="preserve"> </w:t>
      </w:r>
      <w:r>
        <w:t xml:space="preserve">FSMH eşyasının her durumda gümrük ambarına alınacağını sanan aday, gümrük işlemiyle bağlantılı olup olmama ayrımını kaçırarak gümrük işlemiyle bağlantılı FSMH eşyasına ilişkin şıkka kayar.</w:t>
      </w:r>
    </w:p>
    <w:p>
      <w:pPr>
        <w:pStyle w:val="BodyText"/>
      </w:pPr>
      <w:r>
        <w:rPr>
          <w:bCs/>
          <w:b/>
        </w:rPr>
        <w:t xml:space="preserve">Dayanak:</w:t>
      </w:r>
      <w:r>
        <w:t xml:space="preserve"> </w:t>
      </w:r>
      <w:r>
        <w:t xml:space="preserve">Tasfiye Genel Tebliği (Kaçak Eşya ve Kaçak Eşya Naklinde Kullanılan Taşıtlara İlişkin İşlemler) (Seri No: 1) md. 8/3 ve 9; Tasfiye Yönetmeliği md. 10/7 ve 11</w:t>
      </w:r>
    </w:p>
    <w:bookmarkEnd w:id="83"/>
    <w:bookmarkStart w:id="84" w:name="soru-cevap-d-10"/>
    <w:p>
      <w:pPr>
        <w:pStyle w:val="Heading4"/>
      </w:pPr>
      <w:r>
        <w:t xml:space="preserve">63. soru — Cevap: D</w:t>
      </w:r>
    </w:p>
    <w:p>
      <w:pPr>
        <w:pStyle w:val="FirstParagraph"/>
      </w:pPr>
      <w:r>
        <w:rPr>
          <w:iCs/>
          <w:i/>
        </w:rPr>
        <w:t xml:space="preserve">SAİR · 5607 Kaçakçılık · Ö4</w:t>
      </w:r>
    </w:p>
    <w:p>
      <w:pPr>
        <w:pStyle w:val="BodyText"/>
      </w:pPr>
      <w:r>
        <w:rPr>
          <w:bCs/>
          <w:b/>
        </w:rPr>
        <w:t xml:space="preserve">Doğru şık:</w:t>
      </w:r>
      <w:r>
        <w:t xml:space="preserve"> </w:t>
      </w:r>
      <w:r>
        <w:t xml:space="preserve">D) I ve III</w:t>
      </w:r>
    </w:p>
    <w:p>
      <w:pPr>
        <w:pStyle w:val="BodyText"/>
      </w:pPr>
      <w:r>
        <w:t xml:space="preserve">Kanunun etkin pişmanlık hükmüne göre suç konusu eşyanın gümrüklenmiş değerinin iki katı kadar paranın Devlet Hazinesine ödenmesi ve bu ödemenin soruşturma evresi sona erinceye kadar yapılması hâlinde verilecek ceza yarı oranında indirilir; I ve III birlikte aranır. Etkin pişmanlıktan yararlanmak için kişinin diğer faillerin yakalanmasını sağlaması gerekmez; bu, ödemeye bağlı indirimin koşulu değildir.</w:t>
      </w:r>
    </w:p>
    <w:p>
      <w:pPr>
        <w:pStyle w:val="BodyText"/>
      </w:pPr>
      <w:r>
        <w:rPr>
          <w:bCs/>
          <w:b/>
        </w:rPr>
        <w:t xml:space="preserve">Tuzak:</w:t>
      </w:r>
      <w:r>
        <w:t xml:space="preserve"> </w:t>
      </w:r>
      <w:r>
        <w:t xml:space="preserve">TCK’daki</w:t>
      </w:r>
      <w:r>
        <w:t xml:space="preserve"> </w:t>
      </w:r>
      <w:r>
        <w:t xml:space="preserve">‘</w:t>
      </w:r>
      <w:r>
        <w:t xml:space="preserve">suç ortaklarının yakalanmasını sağlama</w:t>
      </w:r>
      <w:r>
        <w:t xml:space="preserve">’</w:t>
      </w:r>
      <w:r>
        <w:t xml:space="preserve"> </w:t>
      </w:r>
      <w:r>
        <w:t xml:space="preserve">biçimindeki etkin pişmanlık kalıbını 5607’ye taşıyan aday II’yi de koşul sayar.</w:t>
      </w:r>
    </w:p>
    <w:p>
      <w:pPr>
        <w:pStyle w:val="BodyText"/>
      </w:pPr>
      <w:r>
        <w:rPr>
          <w:bCs/>
          <w:b/>
        </w:rPr>
        <w:t xml:space="preserve">Dayanak:</w:t>
      </w:r>
      <w:r>
        <w:t xml:space="preserve"> </w:t>
      </w:r>
      <w:r>
        <w:t xml:space="preserve">5607 sayılı Kaçakçılıkla Mücadele Kanunu md. 5 (etkin pişmanlık)</w:t>
      </w:r>
    </w:p>
    <w:bookmarkEnd w:id="84"/>
    <w:bookmarkStart w:id="85" w:name="soru-cevap-b-12"/>
    <w:p>
      <w:pPr>
        <w:pStyle w:val="Heading4"/>
      </w:pPr>
      <w:r>
        <w:t xml:space="preserve">64. soru — Cevap: B</w:t>
      </w:r>
    </w:p>
    <w:p>
      <w:pPr>
        <w:pStyle w:val="FirstParagraph"/>
      </w:pPr>
      <w:r>
        <w:rPr>
          <w:iCs/>
          <w:i/>
        </w:rPr>
        <w:t xml:space="preserve">GM · YYS, yerinde gümrükleme · Ö3</w:t>
      </w:r>
    </w:p>
    <w:p>
      <w:pPr>
        <w:pStyle w:val="BodyText"/>
      </w:pPr>
      <w:r>
        <w:rPr>
          <w:bCs/>
          <w:b/>
        </w:rPr>
        <w:t xml:space="preserve">Doğru şık:</w:t>
      </w:r>
      <w:r>
        <w:t xml:space="preserve"> </w:t>
      </w:r>
      <w:r>
        <w:t xml:space="preserve">B) I ve II</w:t>
      </w:r>
    </w:p>
    <w:p>
      <w:pPr>
        <w:pStyle w:val="BodyText"/>
      </w:pPr>
      <w:r>
        <w:t xml:space="preserve">Tebliğe göre statü belgesi, belge sahibince talep edilmesi hâlinde ve adına yetkilendirilmiş yükümlü sertifikası düzenlenen kişiler bakımından belgeyi düzenleyen bölge müdürlüğünce geri alınır (I ve II). Kamu alacağının süresi içinde ödenmemesi geri alma değil, kesinleşmiş vergi ve/veya ceza borcu ödenene kadar askıya alma sebebidir (III). Yanlış veya eksik bilgilere ya da sahte belgelere dayanılarak verildiği anlaşılan statü belgesi ise iptal edilir (IV).</w:t>
      </w:r>
    </w:p>
    <w:p>
      <w:pPr>
        <w:pStyle w:val="BodyText"/>
      </w:pPr>
      <w:r>
        <w:rPr>
          <w:bCs/>
          <w:b/>
        </w:rPr>
        <w:t xml:space="preserve">Tuzak:</w:t>
      </w:r>
      <w:r>
        <w:t xml:space="preserve"> </w:t>
      </w:r>
      <w:r>
        <w:t xml:space="preserve">Askıya alma, geri alma ve iptal sonuçlarını ayırt etmeyen aday sahte belge hâlini de geri alma sebebi sayarak</w:t>
      </w:r>
      <w:r>
        <w:t xml:space="preserve"> </w:t>
      </w:r>
      <w:r>
        <w:t xml:space="preserve">‘</w:t>
      </w:r>
      <w:r>
        <w:t xml:space="preserve">I, II ve IV</w:t>
      </w:r>
      <w:r>
        <w:t xml:space="preserve">’</w:t>
      </w:r>
      <w:r>
        <w:t xml:space="preserve"> </w:t>
      </w:r>
      <w:r>
        <w:t xml:space="preserve">kümesine yönelir.</w:t>
      </w:r>
    </w:p>
    <w:p>
      <w:pPr>
        <w:pStyle w:val="BodyText"/>
      </w:pPr>
      <w:r>
        <w:rPr>
          <w:bCs/>
          <w:b/>
        </w:rPr>
        <w:t xml:space="preserve">Dayanak:</w:t>
      </w:r>
      <w:r>
        <w:t xml:space="preserve"> </w:t>
      </w:r>
      <w:r>
        <w:t xml:space="preserve">Onaylanmış Kişi Statüsüne İlişkin Gümrük Genel Tebliği (Sıra No: 1) md. 61, 62/1, 62/4, 63</w:t>
      </w:r>
    </w:p>
    <w:bookmarkEnd w:id="85"/>
    <w:bookmarkStart w:id="86" w:name="soru-cevap-b-13"/>
    <w:p>
      <w:pPr>
        <w:pStyle w:val="Heading4"/>
      </w:pPr>
      <w:r>
        <w:t xml:space="preserve">65. soru — Cevap: B</w:t>
      </w:r>
    </w:p>
    <w:p>
      <w:pPr>
        <w:pStyle w:val="FirstParagraph"/>
      </w:pPr>
      <w:r>
        <w:rPr>
          <w:iCs/>
          <w:i/>
        </w:rPr>
        <w:t xml:space="preserve">GM · YYS, yerinde gümrükleme · O2</w:t>
      </w:r>
    </w:p>
    <w:p>
      <w:pPr>
        <w:pStyle w:val="BodyText"/>
      </w:pPr>
      <w:r>
        <w:rPr>
          <w:bCs/>
          <w:b/>
        </w:rPr>
        <w:t xml:space="preserve">Doğru şık:</w:t>
      </w:r>
      <w:r>
        <w:t xml:space="preserve"> </w:t>
      </w:r>
      <w:r>
        <w:t xml:space="preserve">B) Eksik belgeleri ek süreler dâhil süresi içinde ibraz etmeyen statü belgesi sahibi, statü belgesini düzenleyen bölge müdürlüğünce uyarılır ve durum beyannamenin tescil edildiği gümrük idaresine bildirilir.</w:t>
      </w:r>
    </w:p>
    <w:p>
      <w:pPr>
        <w:pStyle w:val="BodyText"/>
      </w:pPr>
      <w:r>
        <w:t xml:space="preserve">Tebliğin 24 üncü maddesine göre eksik belgeleri süresi içinde ibraz etmeyen statü belgesi sahibi, beyannamenin tescil edildiği gümrük idaresince uyarılır ve durum statü belgesini düzenleyen bölge müdürlüğüne derhal bildirilir; uyarı ve bildirim makamlarını yer değiştiren ifade yanlıştır. Bir aylık ibraz süresi, indirimli veya sıfır oranlı vergiye ilişkin belgeler için üç ayı geçmeyen ek süre, kıymete ilişkin eksik beyanda üç aydan uzun ek süre ve üçüncü ihlalde altı aylık askıya alma tebliğin 18 ve 24 üncü maddelerinin aynısıdır.</w:t>
      </w:r>
    </w:p>
    <w:p>
      <w:pPr>
        <w:pStyle w:val="BodyText"/>
      </w:pPr>
      <w:r>
        <w:rPr>
          <w:bCs/>
          <w:b/>
        </w:rPr>
        <w:t xml:space="preserve">Tuzak:</w:t>
      </w:r>
      <w:r>
        <w:t xml:space="preserve"> </w:t>
      </w:r>
      <w:r>
        <w:t xml:space="preserve">Statü belgesine ilişkin her işlemi belgeyi düzenleyen bölge müdürlüğüne bağlayan aday, uyarı makamının da bölge müdürlüğü olduğunu sanır.</w:t>
      </w:r>
    </w:p>
    <w:p>
      <w:pPr>
        <w:pStyle w:val="BodyText"/>
      </w:pPr>
      <w:r>
        <w:rPr>
          <w:bCs/>
          <w:b/>
        </w:rPr>
        <w:t xml:space="preserve">Dayanak:</w:t>
      </w:r>
      <w:r>
        <w:t xml:space="preserve"> </w:t>
      </w:r>
      <w:r>
        <w:t xml:space="preserve">Onaylanmış Kişi Statüsüne İlişkin Gümrük Genel Tebliği (Sıra No: 1) md. 18/1-3, 24/1, 24/3</w:t>
      </w:r>
    </w:p>
    <w:bookmarkEnd w:id="86"/>
    <w:bookmarkStart w:id="87" w:name="soru-cevap-d-11"/>
    <w:p>
      <w:pPr>
        <w:pStyle w:val="Heading4"/>
      </w:pPr>
      <w:r>
        <w:t xml:space="preserve">66. soru — Cevap: D</w:t>
      </w:r>
    </w:p>
    <w:p>
      <w:pPr>
        <w:pStyle w:val="FirstParagraph"/>
      </w:pPr>
      <w:r>
        <w:rPr>
          <w:iCs/>
          <w:i/>
        </w:rPr>
        <w:t xml:space="preserve">GM · YYS, yerinde gümrükleme · G1</w:t>
      </w:r>
    </w:p>
    <w:p>
      <w:pPr>
        <w:pStyle w:val="BodyText"/>
      </w:pPr>
      <w:r>
        <w:rPr>
          <w:bCs/>
          <w:b/>
        </w:rPr>
        <w:t xml:space="preserve">Doğru şık:</w:t>
      </w:r>
      <w:r>
        <w:t xml:space="preserve"> </w:t>
      </w:r>
      <w:r>
        <w:t xml:space="preserve">D) İthalatta yerinde gümrükleme izninden faydalanılabilmesi için yetkilendirilmiş yükümlü sertifikası sahiplerince karşılanması gereken ek koşullardan biri imalatçı olmaktır.</w:t>
      </w:r>
    </w:p>
    <w:p>
      <w:pPr>
        <w:pStyle w:val="BodyText"/>
      </w:pPr>
      <w:r>
        <w:t xml:space="preserve">Yetkilendirilmiş yükümlü sertifikası sahiplerinin ithalatta yerinde gümrükleme izninden faydalanabilmesi için aranan ek koşullar arasında YYS-I statüsüne sahip olmak ile tartım, depolama, boşaltma ve muayene donanımına sahip olmanın yanında imalatçı olmak da sayılmıştır; gümrük idaresine yüz bin avro tutarında teminat verilmesi bu ek koşullardan değildir. Yerinde gümrükleme izni onaylanmış kişi statüsüne tanınan haklardan değildir; iki statüye birlikte tanınan basitleştirme götürü teminat yetkisidir. Son bir yılda iki yüz transit beyannamesi koşulu izinli alıcı başvuru koşulları arasında yer almaz. Güvenli depolama alanına giriş kayıtlarında mühür numarası, giriş tarihi ve saati, sipariş numaraları ve transit beyanı tarihi gibi bilgiler aranır; sürücü bilgisi zorunlu kayıtlar arasında değildir.</w:t>
      </w:r>
    </w:p>
    <w:p>
      <w:pPr>
        <w:pStyle w:val="BodyText"/>
      </w:pPr>
      <w:r>
        <w:rPr>
          <w:bCs/>
          <w:b/>
        </w:rPr>
        <w:t xml:space="preserve">Tuzak:</w:t>
      </w:r>
      <w:r>
        <w:t xml:space="preserve"> </w:t>
      </w:r>
      <w:r>
        <w:t xml:space="preserve">Yerinde gümrüklemede eşya yükümlünün tesisine çekildiği için ayrıca sabit tutarlı bir teminat aranacağını düşünen aday yüz bin avro teminat koşulunu doğru sanır.</w:t>
      </w:r>
    </w:p>
    <w:p>
      <w:pPr>
        <w:pStyle w:val="BodyText"/>
      </w:pPr>
      <w:r>
        <w:rPr>
          <w:bCs/>
          <w:b/>
        </w:rPr>
        <w:t xml:space="preserve">Dayanak:</w:t>
      </w:r>
      <w:r>
        <w:t xml:space="preserve"> </w:t>
      </w:r>
      <w:r>
        <w:t xml:space="preserve">Gümrük İşlemlerinin Kolaylaştırılması Yönetmeliği (ithalatta yerinde gümrükleme ek koşulları, güvenli depolama alanı kayıtları, izinli alıcı koşulları; onaylanmış kişi ile ortak basitleştirmeler)</w:t>
      </w:r>
    </w:p>
    <w:bookmarkEnd w:id="87"/>
    <w:bookmarkStart w:id="88" w:name="soru-cevap-a-13"/>
    <w:p>
      <w:pPr>
        <w:pStyle w:val="Heading4"/>
      </w:pPr>
      <w:r>
        <w:t xml:space="preserve">67. soru — Cevap: A</w:t>
      </w:r>
    </w:p>
    <w:p>
      <w:pPr>
        <w:pStyle w:val="FirstParagraph"/>
      </w:pPr>
      <w:r>
        <w:rPr>
          <w:iCs/>
          <w:i/>
        </w:rPr>
        <w:t xml:space="preserve">GM · Gümrük müşavirliği, temsil · E1</w:t>
      </w:r>
    </w:p>
    <w:p>
      <w:pPr>
        <w:pStyle w:val="BodyText"/>
      </w:pPr>
      <w:r>
        <w:rPr>
          <w:bCs/>
          <w:b/>
        </w:rPr>
        <w:t xml:space="preserve">Doğru şık:</w:t>
      </w:r>
      <w:r>
        <w:t xml:space="preserve"> </w:t>
      </w:r>
      <w:r>
        <w:t xml:space="preserve">A) INF4 (ithalatçı ülke gümrük idarelerinden kontrol talebiyle alınan tedarikçi beyanlarının kontrolü) – Kontrol talebinde bulunan ülkenin talep yazısı tarihini müteakip en fazla beş ay içinde</w:t>
      </w:r>
    </w:p>
    <w:p>
      <w:pPr>
        <w:pStyle w:val="BodyText"/>
      </w:pPr>
      <w:r>
        <w:t xml:space="preserve">Tebliğin 17 nci maddesine göre SK1 tespit raporları kontrol talebinde bulunan ülkenin talep yazısı tarihini müteakip en fazla beş ay içinde sunulur; INF4 tespit kodu kapsamındaki işlemlerde bu süre üç aydır. AN7 raporları altışar aylık dönemleri takip eden ayın son gününe kadar, AN9 raporları elleçleme tutanağının gönderildiği tarihi takip eden ayın ilk yedi iş günü içinde, DR2 raporları ise gümrük idaresinin tebligatını müteakip en geç bir ay içinde sunulur.</w:t>
      </w:r>
    </w:p>
    <w:p>
      <w:pPr>
        <w:pStyle w:val="BodyText"/>
      </w:pPr>
      <w:r>
        <w:rPr>
          <w:bCs/>
          <w:b/>
        </w:rPr>
        <w:t xml:space="preserve">Tuzak:</w:t>
      </w:r>
      <w:r>
        <w:t xml:space="preserve"> </w:t>
      </w:r>
      <w:r>
        <w:t xml:space="preserve">SK1 ve INF4’ü aynı sonradan kontrol ailesinde görüp sürelerini eşitleyen aday yanlış eşleştirmeyi fark etmez.</w:t>
      </w:r>
    </w:p>
    <w:p>
      <w:pPr>
        <w:pStyle w:val="BodyText"/>
      </w:pPr>
      <w:r>
        <w:rPr>
          <w:bCs/>
          <w:b/>
        </w:rPr>
        <w:t xml:space="preserve">Dayanak:</w:t>
      </w:r>
      <w:r>
        <w:t xml:space="preserve"> </w:t>
      </w:r>
      <w:r>
        <w:t xml:space="preserve">Yetkilendirilmiş Gümrük Müşavirliği Tebliği md. 11 ve 17/2-a, c, g, h</w:t>
      </w:r>
    </w:p>
    <w:bookmarkEnd w:id="88"/>
    <w:bookmarkStart w:id="89" w:name="soru-cevap-c-11"/>
    <w:p>
      <w:pPr>
        <w:pStyle w:val="Heading4"/>
      </w:pPr>
      <w:r>
        <w:t xml:space="preserve">68. soru — Cevap: C</w:t>
      </w:r>
    </w:p>
    <w:p>
      <w:pPr>
        <w:pStyle w:val="FirstParagraph"/>
      </w:pPr>
      <w:r>
        <w:rPr>
          <w:iCs/>
          <w:i/>
        </w:rPr>
        <w:t xml:space="preserve">GM · Gümrük müşavirliği, temsil · D2</w:t>
      </w:r>
    </w:p>
    <w:p>
      <w:pPr>
        <w:pStyle w:val="BodyText"/>
      </w:pPr>
      <w:r>
        <w:rPr>
          <w:bCs/>
          <w:b/>
        </w:rPr>
        <w:t xml:space="preserve">Doğru şık:</w:t>
      </w:r>
      <w:r>
        <w:t xml:space="preserve"> </w:t>
      </w:r>
      <w:r>
        <w:t xml:space="preserve">C) Bakanlık (Gümrükler Genel Müdürlüğü)</w:t>
      </w:r>
    </w:p>
    <w:p>
      <w:pPr>
        <w:pStyle w:val="BodyText"/>
      </w:pPr>
      <w:r>
        <w:t xml:space="preserve">Tebliğin 5 inci maddesinin (h) bendine göre ihtilaflarda önce gümrük müşavirinin üye olduğu Gümrük Müşavirleri Derneğine başvurulur ve dernekler tarafından verilecek ortak görüş dikkate alınarak başvurunun yapıldığı dernekçe karar verilir. Bu karara rağmen ihtilafın devam etmesi hâlinde ihtilaf, başvuru üzerine Bakanlıkça (Gümrükler Genel Müdürlüğü) sonuçlandırılır. Gümrük Muhafaza Genel Müdürlüğü, bölge müdürlüğü ve gümrük müdürlüğü bu süreçte yetkili kılınmamıştır; derneklerin ortak hakem kurulu ise tebliğde yer almayan bir yapıdır.</w:t>
      </w:r>
    </w:p>
    <w:p>
      <w:pPr>
        <w:pStyle w:val="BodyText"/>
      </w:pPr>
      <w:r>
        <w:rPr>
          <w:bCs/>
          <w:b/>
        </w:rPr>
        <w:t xml:space="preserve">Tuzak:</w:t>
      </w:r>
      <w:r>
        <w:t xml:space="preserve"> </w:t>
      </w:r>
      <w:r>
        <w:t xml:space="preserve">Derneklerin ortak görüşüne ilişkin ibareden yola çıkan aday, ikinci aşamanın da meslek kuruluşları arasında çözüleceğini düşünerek ortak hakem kurulunu işaretler.</w:t>
      </w:r>
    </w:p>
    <w:p>
      <w:pPr>
        <w:pStyle w:val="BodyText"/>
      </w:pPr>
      <w:r>
        <w:rPr>
          <w:bCs/>
          <w:b/>
        </w:rPr>
        <w:t xml:space="preserve">Dayanak:</w:t>
      </w:r>
      <w:r>
        <w:t xml:space="preserve"> </w:t>
      </w:r>
      <w:r>
        <w:t xml:space="preserve">Gümrük Müşavirliği ve Yetkilendirilmiş Gümrük Müşavirliği Asgari Ücret Tarifesine İlişkin Tebliğ md. 5/1-h</w:t>
      </w:r>
    </w:p>
    <w:bookmarkEnd w:id="89"/>
    <w:bookmarkStart w:id="90" w:name="soru-cevap-b-14"/>
    <w:p>
      <w:pPr>
        <w:pStyle w:val="Heading4"/>
      </w:pPr>
      <w:r>
        <w:t xml:space="preserve">69. soru — Cevap: B</w:t>
      </w:r>
    </w:p>
    <w:p>
      <w:pPr>
        <w:pStyle w:val="FirstParagraph"/>
      </w:pPr>
      <w:r>
        <w:rPr>
          <w:iCs/>
          <w:i/>
        </w:rPr>
        <w:t xml:space="preserve">GM · Fikri ve sınai haklar · O2</w:t>
      </w:r>
    </w:p>
    <w:p>
      <w:pPr>
        <w:pStyle w:val="BodyText"/>
      </w:pPr>
      <w:r>
        <w:rPr>
          <w:bCs/>
          <w:b/>
        </w:rPr>
        <w:t xml:space="preserve">Doğru şık:</w:t>
      </w:r>
      <w:r>
        <w:t xml:space="preserve"> </w:t>
      </w:r>
      <w:r>
        <w:t xml:space="preserve">B) Hak ihlali gerekçesiyle gümrük idaresine yapılan başvurunun kabulü, eşyanın muayene edilmeden bırakılması veya alıkonulması için herhangi bir önlem alınmaması hâlinde hak sahibine tazminat hakkı doğurur.</w:t>
      </w:r>
    </w:p>
    <w:p>
      <w:pPr>
        <w:pStyle w:val="BodyText"/>
      </w:pPr>
      <w:r>
        <w:t xml:space="preserve">Fikri ve sınai hakların ihlal edildiği gerekçesiyle yapılan başvurunun kabulü, eşyanın gümrük idaresince muayene edilmeden bırakılması veya alıkonulması için herhangi bir önlem alınmaması gerekçesiyle hak sahibine tazminat hakkı doğurmaz. Üç iş günlük re’sen alıkoyma, tebliğden önce hak sahibinden bilgi ve belge istenebilmesi, kararın hak sahibi veya temsilcisi ile beyan sahibine bildirilmesi ve mahkeme kararı doğrultusunda imha veya asli niteliklerin değiştirilmesi suretiyle tasfiye mevzuattaki hükümlerdir.</w:t>
      </w:r>
    </w:p>
    <w:p>
      <w:pPr>
        <w:pStyle w:val="BodyText"/>
      </w:pPr>
      <w:r>
        <w:rPr>
          <w:bCs/>
          <w:b/>
        </w:rPr>
        <w:t xml:space="preserve">Tuzak:</w:t>
      </w:r>
      <w:r>
        <w:t xml:space="preserve"> </w:t>
      </w:r>
      <w:r>
        <w:t xml:space="preserve">Başvurunun kabulünü idareye koruma yükümlülüğü yükleyen bir taahhüt sanan aday, önlem alınmaması hâlinde tazminat hakkı doğacağını düşünür.</w:t>
      </w:r>
    </w:p>
    <w:p>
      <w:pPr>
        <w:pStyle w:val="BodyText"/>
      </w:pPr>
      <w:r>
        <w:rPr>
          <w:bCs/>
          <w:b/>
        </w:rPr>
        <w:t xml:space="preserve">Dayanak:</w:t>
      </w:r>
      <w:r>
        <w:t xml:space="preserve"> </w:t>
      </w:r>
      <w:r>
        <w:t xml:space="preserve">4458 sayılı GK md. 57; Gümrük Yönetmeliğinin fikri ve sınai haklara ilişkin hükümleri</w:t>
      </w:r>
    </w:p>
    <w:bookmarkEnd w:id="90"/>
    <w:bookmarkStart w:id="91" w:name="soru-cevap-c-12"/>
    <w:p>
      <w:pPr>
        <w:pStyle w:val="Heading4"/>
      </w:pPr>
      <w:r>
        <w:t xml:space="preserve">70. soru — Cevap: C</w:t>
      </w:r>
    </w:p>
    <w:p>
      <w:pPr>
        <w:pStyle w:val="FirstParagraph"/>
      </w:pPr>
      <w:r>
        <w:rPr>
          <w:iCs/>
          <w:i/>
        </w:rPr>
        <w:t xml:space="preserve">SAİR · Ürün güvenliği, TAREKS · E1</w:t>
      </w:r>
    </w:p>
    <w:p>
      <w:pPr>
        <w:pStyle w:val="BodyText"/>
      </w:pPr>
      <w:r>
        <w:rPr>
          <w:bCs/>
          <w:b/>
        </w:rPr>
        <w:t xml:space="preserve">Doğru şık:</w:t>
      </w:r>
      <w:r>
        <w:t xml:space="preserve"> </w:t>
      </w:r>
      <w:r>
        <w:t xml:space="preserve">C) Yapı Malzemelerinin İthalat Denetimi Tebliği – Türk Standardları Enstitüsü</w:t>
      </w:r>
    </w:p>
    <w:p>
      <w:pPr>
        <w:pStyle w:val="BodyText"/>
      </w:pPr>
      <w:r>
        <w:t xml:space="preserve">2026 yılı tebliğlerinde Makinaların (ÜGD: 2026/32) ve Araç Parçalarının (ÜGD: 2026/25) İthalat Denetimi Tebliğlerinde denetim birimi Türk Standardları Enstitüsüdür. Tıbbi Cihazların (ÜGD: 2026/16), Pil ve Akümülatörlerin (ÜGD: 2026/15) ve Yapı Malzemelerinin (ÜGD: 2026/14) İthalat Denetimi Tebliğlerinde ise denetim birimi Bakanlığın bölge müdürlüklerine bağlı ürün güvenliği denetimleri müdürlükleridir; yapı malzemelerinin TSE ile eşleştirilmesi yanlıştır.</w:t>
      </w:r>
    </w:p>
    <w:p>
      <w:pPr>
        <w:pStyle w:val="BodyText"/>
      </w:pPr>
      <w:r>
        <w:rPr>
          <w:bCs/>
          <w:b/>
        </w:rPr>
        <w:t xml:space="preserve">Tuzak:</w:t>
      </w:r>
      <w:r>
        <w:t xml:space="preserve"> </w:t>
      </w:r>
      <w:r>
        <w:t xml:space="preserve">Aday</w:t>
      </w:r>
      <w:r>
        <w:t xml:space="preserve"> </w:t>
      </w:r>
      <w:r>
        <w:t xml:space="preserve">“</w:t>
      </w:r>
      <w:r>
        <w:t xml:space="preserve">standart</w:t>
      </w:r>
      <w:r>
        <w:t xml:space="preserve">”</w:t>
      </w:r>
      <w:r>
        <w:t xml:space="preserve"> </w:t>
      </w:r>
      <w:r>
        <w:t xml:space="preserve">çağrışımıyla yapı malzemelerini TSE’ye bağlar; makinalar ve araç parçalarının TSE’de kaldığını ise beklemez.</w:t>
      </w:r>
    </w:p>
    <w:p>
      <w:pPr>
        <w:pStyle w:val="BodyText"/>
      </w:pPr>
      <w:r>
        <w:rPr>
          <w:bCs/>
          <w:b/>
        </w:rPr>
        <w:t xml:space="preserve">Dayanak:</w:t>
      </w:r>
      <w:r>
        <w:t xml:space="preserve"> </w:t>
      </w:r>
      <w:r>
        <w:t xml:space="preserve">ÜGD 2026/14, 2026/15, 2026/16, 2026/25, 2026/32 sayılı tebliğlerin</w:t>
      </w:r>
      <w:r>
        <w:t xml:space="preserve"> </w:t>
      </w:r>
      <w:r>
        <w:t xml:space="preserve">“</w:t>
      </w:r>
      <w:r>
        <w:t xml:space="preserve">Tanımlar</w:t>
      </w:r>
      <w:r>
        <w:t xml:space="preserve">”</w:t>
      </w:r>
      <w:r>
        <w:t xml:space="preserve"> </w:t>
      </w:r>
      <w:r>
        <w:t xml:space="preserve">maddelerindeki</w:t>
      </w:r>
      <w:r>
        <w:t xml:space="preserve"> </w:t>
      </w:r>
      <w:r>
        <w:t xml:space="preserve">“</w:t>
      </w:r>
      <w:r>
        <w:t xml:space="preserve">denetim birimi</w:t>
      </w:r>
      <w:r>
        <w:t xml:space="preserve">”</w:t>
      </w:r>
      <w:r>
        <w:t xml:space="preserve"> </w:t>
      </w:r>
      <w:r>
        <w:t xml:space="preserve">tanımları</w:t>
      </w:r>
    </w:p>
    <w:bookmarkEnd w:id="91"/>
    <w:bookmarkStart w:id="92" w:name="soru-cevap-e-16"/>
    <w:p>
      <w:pPr>
        <w:pStyle w:val="Heading4"/>
      </w:pPr>
      <w:r>
        <w:t xml:space="preserve">71. soru — Cevap: E</w:t>
      </w:r>
    </w:p>
    <w:p>
      <w:pPr>
        <w:pStyle w:val="FirstParagraph"/>
      </w:pPr>
      <w:r>
        <w:rPr>
          <w:iCs/>
          <w:i/>
        </w:rPr>
        <w:t xml:space="preserve">SAİR · Ürün güvenliği, TAREKS · O1</w:t>
      </w:r>
    </w:p>
    <w:p>
      <w:pPr>
        <w:pStyle w:val="BodyText"/>
      </w:pPr>
      <w:r>
        <w:rPr>
          <w:bCs/>
          <w:b/>
        </w:rPr>
        <w:t xml:space="preserve">Doğru şık:</w:t>
      </w:r>
      <w:r>
        <w:t xml:space="preserve"> </w:t>
      </w:r>
      <w:r>
        <w:t xml:space="preserve">E) Hariçte işleme rejimi</w:t>
      </w:r>
    </w:p>
    <w:p>
      <w:pPr>
        <w:pStyle w:val="BodyText"/>
      </w:pPr>
      <w:r>
        <w:t xml:space="preserve">Tebliğe göre Kontrol Belgesi veya Kayıt Belgesi, ithalatçı veya temsilcisi tarafından serbest dolaşıma giriş, dahilde işleme, gümrük kontrolü altında işleme ve geçici ithalat rejimi kapsamında beyannamenin tescili sırasında gümrük idaresine sunulur. Hariçte işleme rejimi bu sayımda yer almaz; bu rejim Tarım ve Orman Bakanlığının kontrolüne tabi ürünler ile tütün ve alkol tebliğlerinin kapsamında sayılır.</w:t>
      </w:r>
    </w:p>
    <w:p>
      <w:pPr>
        <w:pStyle w:val="BodyText"/>
      </w:pPr>
      <w:r>
        <w:rPr>
          <w:bCs/>
          <w:b/>
        </w:rPr>
        <w:t xml:space="preserve">Tuzak:</w:t>
      </w:r>
      <w:r>
        <w:t xml:space="preserve"> </w:t>
      </w:r>
      <w:r>
        <w:t xml:space="preserve">Aday, Tarım ve Orman Bakanlığı tebliğlerindeki rejim listesini (hariçte işleme dahil) Sağlık Bakanlığı tebliğine taşır.</w:t>
      </w:r>
    </w:p>
    <w:p>
      <w:pPr>
        <w:pStyle w:val="BodyText"/>
      </w:pPr>
      <w:r>
        <w:rPr>
          <w:bCs/>
          <w:b/>
        </w:rPr>
        <w:t xml:space="preserve">Dayanak:</w:t>
      </w:r>
      <w:r>
        <w:t xml:space="preserve"> </w:t>
      </w:r>
      <w:r>
        <w:t xml:space="preserve">Sağlık Bakanlığının Özel İznine Tabi Maddelerin İthalat Denetimi Tebliği (ÜGD: 2026/4) md. 4/3</w:t>
      </w:r>
    </w:p>
    <w:bookmarkEnd w:id="92"/>
    <w:bookmarkStart w:id="93" w:name="soru-cevap-d-12"/>
    <w:p>
      <w:pPr>
        <w:pStyle w:val="Heading4"/>
      </w:pPr>
      <w:r>
        <w:t xml:space="preserve">72. soru — Cevap: D</w:t>
      </w:r>
    </w:p>
    <w:p>
      <w:pPr>
        <w:pStyle w:val="FirstParagraph"/>
      </w:pPr>
      <w:r>
        <w:rPr>
          <w:iCs/>
          <w:i/>
        </w:rPr>
        <w:t xml:space="preserve">SAİR · Ticaret politikası önlemleri · O1</w:t>
      </w:r>
    </w:p>
    <w:p>
      <w:pPr>
        <w:pStyle w:val="BodyText"/>
      </w:pPr>
      <w:r>
        <w:rPr>
          <w:bCs/>
          <w:b/>
        </w:rPr>
        <w:t xml:space="preserve">Doğru şık:</w:t>
      </w:r>
      <w:r>
        <w:t xml:space="preserve"> </w:t>
      </w:r>
      <w:r>
        <w:t xml:space="preserve">D) Soruşturma sırasında ihracatçı tarafından sunulan taahhüdün Kurulca kabul edilmesi</w:t>
      </w:r>
    </w:p>
    <w:p>
      <w:pPr>
        <w:pStyle w:val="BodyText"/>
      </w:pPr>
      <w:r>
        <w:t xml:space="preserve">Kanuna göre soruşturma konusu ithalatın dampinge veya sübvansiyona konu olmadığının ya da bu ithalattan kaynaklanan zararın bulunmadığının belirlenmesi hâlinde ve damping marjının, sübvansiyon miktarının veya ithalat miktarının ihmal edilebilecek düzeyde olduğunun tespiti durumunda soruşturma kapatılır. Taahhütlerin kabul edilmesi ise soruşturmanın kapatılmasını değil, durdurulabilmesini sağlar; Kurul taahhüdü kabul ederse soruşturma geçici veya kesin önlem alınmaksızın durdurulabilir veya sonuçlandırılabilir.</w:t>
      </w:r>
    </w:p>
    <w:p>
      <w:pPr>
        <w:pStyle w:val="BodyText"/>
      </w:pPr>
      <w:r>
        <w:rPr>
          <w:bCs/>
          <w:b/>
        </w:rPr>
        <w:t xml:space="preserve">Tuzak:</w:t>
      </w:r>
      <w:r>
        <w:t xml:space="preserve"> </w:t>
      </w:r>
      <w:r>
        <w:t xml:space="preserve">Aday, soruşturmayı sona erdiren her olayı</w:t>
      </w:r>
      <w:r>
        <w:t xml:space="preserve"> </w:t>
      </w:r>
      <w:r>
        <w:t xml:space="preserve">“</w:t>
      </w:r>
      <w:r>
        <w:t xml:space="preserve">kapatma</w:t>
      </w:r>
      <w:r>
        <w:t xml:space="preserve">”</w:t>
      </w:r>
      <w:r>
        <w:t xml:space="preserve"> </w:t>
      </w:r>
      <w:r>
        <w:t xml:space="preserve">sayar; durdurma ile kapatma arasındaki farkı gözden kaçırır.</w:t>
      </w:r>
    </w:p>
    <w:p>
      <w:pPr>
        <w:pStyle w:val="BodyText"/>
      </w:pPr>
      <w:r>
        <w:rPr>
          <w:bCs/>
          <w:b/>
        </w:rPr>
        <w:t xml:space="preserve">Dayanak:</w:t>
      </w:r>
      <w:r>
        <w:t xml:space="preserve"> </w:t>
      </w:r>
      <w:r>
        <w:t xml:space="preserve">3577 sayılı İthalatta Haksız Rekabetin Önlenmesi Hakkında Kanun ek md. 1 ve md. 11</w:t>
      </w:r>
    </w:p>
    <w:bookmarkEnd w:id="93"/>
    <w:bookmarkStart w:id="94" w:name="soru-cevap-a-14"/>
    <w:p>
      <w:pPr>
        <w:pStyle w:val="Heading4"/>
      </w:pPr>
      <w:r>
        <w:t xml:space="preserve">73. soru — Cevap: A</w:t>
      </w:r>
    </w:p>
    <w:p>
      <w:pPr>
        <w:pStyle w:val="FirstParagraph"/>
      </w:pPr>
      <w:r>
        <w:rPr>
          <w:iCs/>
          <w:i/>
        </w:rPr>
        <w:t xml:space="preserve">TARİFE · Tarife – GTİP yapısı, HS, 474 · O4</w:t>
      </w:r>
    </w:p>
    <w:p>
      <w:pPr>
        <w:pStyle w:val="BodyText"/>
      </w:pPr>
      <w:r>
        <w:rPr>
          <w:bCs/>
          <w:b/>
        </w:rPr>
        <w:t xml:space="preserve">Doğru şık:</w:t>
      </w:r>
      <w:r>
        <w:t xml:space="preserve"> </w:t>
      </w:r>
      <w:r>
        <w:t xml:space="preserve">A) Radyo verici cihazlarını yükseğe taşımak için kullanılan, içinde pilot bulunmayan sinyal balonu</w:t>
      </w:r>
    </w:p>
    <w:p>
      <w:pPr>
        <w:numPr>
          <w:ilvl w:val="0"/>
          <w:numId w:val="1001"/>
        </w:numPr>
        <w:pStyle w:val="Compact"/>
      </w:pPr>
      <w:r>
        <w:t xml:space="preserve">Faslın 1 nolu notuna göre</w:t>
      </w:r>
      <w:r>
        <w:t xml:space="preserve"> </w:t>
      </w:r>
      <w:r>
        <w:t xml:space="preserve">‘</w:t>
      </w:r>
      <w:r>
        <w:t xml:space="preserve">insansız hava taşıtı</w:t>
      </w:r>
      <w:r>
        <w:t xml:space="preserve">’</w:t>
      </w:r>
      <w:r>
        <w:t xml:space="preserve"> </w:t>
      </w:r>
      <w:r>
        <w:t xml:space="preserve">tabiri, 88.01 pozisyonunda yer alanlar dışında, içinde pilot olmadan uçmak üzere tasarlanmış herhangi bir hava aracını ifade eder; balonlar ve hava gemileri 88.01 pozisyonunda yer aldığından, radyo verici cihazlarını yükseğe taşıyan sinyal balonu (88.01 açıklama notunda sayılmıştır) içinde pilot bulunmasa da 88.06’da değil 88.01’de sınıflandırılır. Yolcu taşımak için tasarlanmış insansız hava taşıtları 8806.10 alt pozisyonunda açıkça sayılmıştır; yük taşıyacak şekilde tasarlanan, kalıcı olarak entegre dijital kamera gibi ekipmanla donatılan, yalnızca uzaktan kumanda ile veya operatör müdahalesi olmadan programlanmış uçuş yapan insansız hava taşıtları ile kurtarma amaçlı olanlar 88.06 açıklama notu ve 8806.21-8806.99 alt pozisyonları kapsamındadır.</w:t>
      </w:r>
    </w:p>
    <w:p>
      <w:pPr>
        <w:pStyle w:val="FirstParagraph"/>
      </w:pPr>
      <w:r>
        <w:rPr>
          <w:bCs/>
          <w:b/>
        </w:rPr>
        <w:t xml:space="preserve">Tuzak:</w:t>
      </w:r>
      <w:r>
        <w:t xml:space="preserve"> </w:t>
      </w:r>
      <w:r>
        <w:t xml:space="preserve">‘</w:t>
      </w:r>
      <w:r>
        <w:t xml:space="preserve">İçinde pilot bulunmayan</w:t>
      </w:r>
      <w:r>
        <w:t xml:space="preserve">’</w:t>
      </w:r>
      <w:r>
        <w:t xml:space="preserve"> </w:t>
      </w:r>
      <w:r>
        <w:t xml:space="preserve">ifadesini gören aday, Fasıl 88 Not 1’deki 88.01 istisnasını gözden kaçırarak sinyal balonunu insansız hava taşıtı sanar.</w:t>
      </w:r>
    </w:p>
    <w:p>
      <w:pPr>
        <w:pStyle w:val="BodyText"/>
      </w:pPr>
      <w:r>
        <w:rPr>
          <w:bCs/>
          <w:b/>
        </w:rPr>
        <w:t xml:space="preserve">Dayanak:</w:t>
      </w:r>
      <w:r>
        <w:t xml:space="preserve"> </w:t>
      </w:r>
      <w:r>
        <w:t xml:space="preserve">GYKK 1: Fasıl 88 Not 1; 88.01 pozisyon metni ve açıklaması (I)(1) sinyal balonları; 88.06 pozisyon metni, alt pozisyonları ve açıklama notu. Doğru eşleşmeler: yolcu taşıyan İHA → 8806.10; yalnız uzaktan kumandalı tarımsal ilaçlama İHA’sı → 8806.2x; programlanmış uçuşlu kameralı İHA → 8806.9x; 7-25 kg kurtarma İHA’sı → 8806.23/8806.93; sinyal balonu → 88.01.</w:t>
      </w:r>
    </w:p>
    <w:bookmarkEnd w:id="94"/>
    <w:bookmarkStart w:id="95" w:name="soru-cevap-e-17"/>
    <w:p>
      <w:pPr>
        <w:pStyle w:val="Heading4"/>
      </w:pPr>
      <w:r>
        <w:t xml:space="preserve">74. soru — Cevap: E</w:t>
      </w:r>
    </w:p>
    <w:p>
      <w:pPr>
        <w:pStyle w:val="FirstParagraph"/>
      </w:pPr>
      <w:r>
        <w:rPr>
          <w:iCs/>
          <w:i/>
        </w:rPr>
        <w:t xml:space="preserve">TARİFE · Tarife – GTİP yapısı, HS, 474 · D5</w:t>
      </w:r>
    </w:p>
    <w:p>
      <w:pPr>
        <w:pStyle w:val="BodyText"/>
      </w:pPr>
      <w:r>
        <w:rPr>
          <w:bCs/>
          <w:b/>
        </w:rPr>
        <w:t xml:space="preserve">Doğru şık:</w:t>
      </w:r>
      <w:r>
        <w:t xml:space="preserve"> </w:t>
      </w:r>
      <w:r>
        <w:t xml:space="preserve">E) 85.49</w:t>
      </w:r>
    </w:p>
    <w:p>
      <w:pPr>
        <w:pStyle w:val="BodyText"/>
      </w:pPr>
      <w:r>
        <w:t xml:space="preserve">85.49 pozisyonu elektrikli ve elektronik hurda ve atıkları kapsar; XVI. Bölümün 6 nolu notu bu kavramı, kırılma veya kesilme gibi işlemlerle orijinal amaçları için kullanılamaz hale getirilmiş ve taşınma sırasında korunmak amacıyla paketlenmemiş elektrikli ve elektronik montajlar ile baskılı devre kartları olarak tanımlar; 85.49’un alt pozisyonlarında esas olarak değerli metallerin geri kazanımı için kullanılanlar ayrıca sayılmıştır. 71.12 pozisyon metni 85.49’daki eşyayı açıkça hariç tutar ve açıklama notlarına göre değerli metal içeren elektronik devre kartları 71.12’de değil 85.49’da yer alır. 85.34 kullanılabilir baskılı devreleri, 85.48 başka yerde belirtilmeyen elektrikli aksamı, 38.25 belediye atıkları ve kimya sanayii artıklarını kapsar.</w:t>
      </w:r>
    </w:p>
    <w:p>
      <w:pPr>
        <w:pStyle w:val="BodyText"/>
      </w:pPr>
      <w:r>
        <w:rPr>
          <w:bCs/>
          <w:b/>
        </w:rPr>
        <w:t xml:space="preserve">Tuzak:</w:t>
      </w:r>
      <w:r>
        <w:t xml:space="preserve"> </w:t>
      </w:r>
      <w:r>
        <w:t xml:space="preserve">İçerdiği altın ve gümüş adayı kıymetli metal döküntülerine (71.12),</w:t>
      </w:r>
      <w:r>
        <w:t xml:space="preserve"> </w:t>
      </w:r>
      <w:r>
        <w:t xml:space="preserve">‘</w:t>
      </w:r>
      <w:r>
        <w:t xml:space="preserve">baskılı devre</w:t>
      </w:r>
      <w:r>
        <w:t xml:space="preserve">’</w:t>
      </w:r>
      <w:r>
        <w:t xml:space="preserve"> </w:t>
      </w:r>
      <w:r>
        <w:t xml:space="preserve">ibaresi 85.34’e,</w:t>
      </w:r>
      <w:r>
        <w:t xml:space="preserve"> </w:t>
      </w:r>
      <w:r>
        <w:t xml:space="preserve">‘</w:t>
      </w:r>
      <w:r>
        <w:t xml:space="preserve">elektrikli aksam</w:t>
      </w:r>
      <w:r>
        <w:t xml:space="preserve">’</w:t>
      </w:r>
      <w:r>
        <w:t xml:space="preserve"> </w:t>
      </w:r>
      <w:r>
        <w:t xml:space="preserve">çağrışımı ise b.y.b. elektrikli aksamın yer aldığı 85.48’e çeker.</w:t>
      </w:r>
    </w:p>
    <w:p>
      <w:pPr>
        <w:pStyle w:val="BodyText"/>
      </w:pPr>
      <w:r>
        <w:rPr>
          <w:bCs/>
          <w:b/>
        </w:rPr>
        <w:t xml:space="preserve">Dayanak:</w:t>
      </w:r>
      <w:r>
        <w:t xml:space="preserve"> </w:t>
      </w:r>
      <w:r>
        <w:t xml:space="preserve">GYKK 1: 85.49 pozisyon metni ve 8549.2x/8549.3x alt pozisyonları; XVI. Bölüm Not 6(A)-(C); 71.12 pozisyon metni (</w:t>
      </w:r>
      <w:r>
        <w:t xml:space="preserve">‘</w:t>
      </w:r>
      <w:r>
        <w:t xml:space="preserve">85.49 pozisyonundaki eşya hariç</w:t>
      </w:r>
      <w:r>
        <w:t xml:space="preserve">’</w:t>
      </w:r>
      <w:r>
        <w:t xml:space="preserve">) ve açıklaması. Çeldiriciler: 71.12 (kıymetli metal döküntüleri - malzeme), 85.34 (baskılı devreler - ad çağrışımı), 85.48 (b.y.b. elektrikli aksam - sayı komşusu), 38.25 (belediye atıkları/kimya artıkları; XVI Not 6(C)).</w:t>
      </w:r>
    </w:p>
    <w:bookmarkEnd w:id="95"/>
    <w:bookmarkStart w:id="96" w:name="soru-cevap-c-13"/>
    <w:p>
      <w:pPr>
        <w:pStyle w:val="Heading4"/>
      </w:pPr>
      <w:r>
        <w:t xml:space="preserve">75. soru — Cevap: C</w:t>
      </w:r>
    </w:p>
    <w:p>
      <w:pPr>
        <w:pStyle w:val="FirstParagraph"/>
      </w:pPr>
      <w:r>
        <w:rPr>
          <w:iCs/>
          <w:i/>
        </w:rPr>
        <w:t xml:space="preserve">TARİFE · Tarife – GTİP yapısı, HS, 474 · B2</w:t>
      </w:r>
    </w:p>
    <w:p>
      <w:pPr>
        <w:pStyle w:val="BodyText"/>
      </w:pPr>
      <w:r>
        <w:rPr>
          <w:bCs/>
          <w:b/>
        </w:rPr>
        <w:t xml:space="preserve">Doğru şık:</w:t>
      </w:r>
      <w:r>
        <w:t xml:space="preserve"> </w:t>
      </w:r>
      <w:r>
        <w:t xml:space="preserve">C) 03.09 – 23.01 – 16.04 – 05.11</w:t>
      </w:r>
    </w:p>
    <w:p>
      <w:pPr>
        <w:pStyle w:val="BodyText"/>
      </w:pPr>
      <w:r>
        <w:t xml:space="preserve">3 üncü Faslın 3 nolu notuna göre 03.05 ila 03.08 pozisyonları insanların yemesine elverişli un, kaba un ve pelletleri kapsamaz; bunlar 03.09 pozisyonunda yer alır ve Fasıl genel açıklamalarına göre pişirilmiş balıktan elde edilen unlar da 03.09’da kalır. Faslın 1(c) notu insanlar tarafından yenilmeye elverişli olmayan balık unlarını 23.01, 1(d) notu balık yumurtalarından hazırlanan havyarı 16.04 pozisyonuna gönderir; genel açıklamalara göre balık tutmada yem olarak kullanılan tuzlanmış morina yumurtaları yenilmeyen nefis olarak 05.11 pozisyonunda sınıflandırılır. İlk boşluğa 03.05 yazılması Not 3’e, ikinci ve dördüncü boşlukların yer değiştirmesi yenilebilirlik ölçütüne, havyar veya yem amaçlı tuzlanmış yumurta için 03.05 yazılması ise Not 1(d) ve genel açıklamalardaki istisnaya aykırıdır.</w:t>
      </w:r>
    </w:p>
    <w:p>
      <w:pPr>
        <w:pStyle w:val="BodyText"/>
      </w:pPr>
      <w:r>
        <w:rPr>
          <w:bCs/>
          <w:b/>
        </w:rPr>
        <w:t xml:space="preserve">Tuzak:</w:t>
      </w:r>
      <w:r>
        <w:t xml:space="preserve"> </w:t>
      </w:r>
      <w:r>
        <w:t xml:space="preserve">Balık ununu kurutulmuş/tuzlanmış balık pozisyonunda (03.05) sanan aday ilk boşluğu,</w:t>
      </w:r>
      <w:r>
        <w:t xml:space="preserve"> </w:t>
      </w:r>
      <w:r>
        <w:t xml:space="preserve">‘</w:t>
      </w:r>
      <w:r>
        <w:t xml:space="preserve">tuzlanmış</w:t>
      </w:r>
      <w:r>
        <w:t xml:space="preserve">’</w:t>
      </w:r>
      <w:r>
        <w:t xml:space="preserve"> </w:t>
      </w:r>
      <w:r>
        <w:t xml:space="preserve">ifadesine aldanan aday son boşluğu 03.05 ile doldurur; yenilebilirlik ölçütünü karıştıran aday 23.01 ile 05.11’in yerini değiştirir.</w:t>
      </w:r>
    </w:p>
    <w:p>
      <w:pPr>
        <w:pStyle w:val="BodyText"/>
      </w:pPr>
      <w:r>
        <w:rPr>
          <w:bCs/>
          <w:b/>
        </w:rPr>
        <w:t xml:space="preserve">Dayanak:</w:t>
      </w:r>
      <w:r>
        <w:t xml:space="preserve"> </w:t>
      </w:r>
      <w:r>
        <w:t xml:space="preserve">GYKK 1: Fasıl 3 Not 1(c), 1(d) ve Not 3; Fasıl 3 Genel Açıklamalar (pişirilmiş balıktan elde edilen unlar 03.09’da kalır; hariçler (c) yem olarak kullanılan tuzlanmış morina yumurtaları 05.11, (d)); 03.09 pozisyon metni. Boşluklar: 03.09 / 23.01 / 16.04 / 05.11. Çeldiriciler: ilk boşlukta 03.05 (Not 3 ile hariç), 23.01↔05.11 yer değişimi, havyar için 03.05 (Not 1(d)), yem amaçlı yumurta için 03.05 (genel açıklama hariçler (c)).</w:t>
      </w:r>
    </w:p>
    <w:bookmarkEnd w:id="96"/>
    <w:bookmarkStart w:id="97" w:name="soru-cevap-b-15"/>
    <w:p>
      <w:pPr>
        <w:pStyle w:val="Heading4"/>
      </w:pPr>
      <w:r>
        <w:t xml:space="preserve">76. soru — Cevap: B</w:t>
      </w:r>
    </w:p>
    <w:p>
      <w:pPr>
        <w:pStyle w:val="FirstParagraph"/>
      </w:pPr>
      <w:r>
        <w:rPr>
          <w:iCs/>
          <w:i/>
        </w:rPr>
        <w:t xml:space="preserve">TARİFE · Tarife – GYKK · E1</w:t>
      </w:r>
    </w:p>
    <w:p>
      <w:pPr>
        <w:pStyle w:val="BodyText"/>
      </w:pPr>
      <w:r>
        <w:rPr>
          <w:bCs/>
          <w:b/>
        </w:rPr>
        <w:t xml:space="preserve">Doğru şık:</w:t>
      </w:r>
      <w:r>
        <w:t xml:space="preserve"> </w:t>
      </w:r>
      <w:r>
        <w:t xml:space="preserve">B) Plastik gözlük çerçevesi ile bu çerçeveye mıknatısla tutturulan uyumlu güneş gözlüğünden oluşan ve esas niteliğini gözlük çerçevesinin verdiği set – 90.03 – GYK 1 ve 3(c)</w:t>
      </w:r>
    </w:p>
    <w:p>
      <w:pPr>
        <w:pStyle w:val="BodyText"/>
      </w:pPr>
      <w:r>
        <w:t xml:space="preserve">2021/6 sayılı Genelgeye göre gözlük çerçevesi ile mıknatıslı güneş gözlüğünden oluşan setin esas niteliğini gözlük çerçevesi verdiğinden set GYK 1, 3(b) ve 6 uyarınca 9003.11 alt pozisyonunda, yani 90.03 pozisyonunda sınıflandırılır; 3(c) kuralı ancak 3(a) ve 3(b) ile yer tespit edilemediğinde uygulanır ve uygulansaydı numara sırasına göre sonuncu pozisyon olan 90.04’e götürürdü. Havuz temizlik robotunun 84.21’de GYK 1 ile (2021/25 sayılı Genelge), dövülmüş tamamlanmamış krank milinin 84.83’te GYK 2(a) ve XV. Bölüm 1(f) notu ile (sınıflandırma görüşü 8483.10/1), solar şarj kontrol cihazının 85.04’te GYK 1 ve 3(b) ile (2021/25 sayılı Genelge; 8504.40.55.90.00), yüz siperliğinin 39.26’da GYK 1 ile (2020/19 sayılı Genelge; 3926.90.97.90.18, GYK 1 ve 6) sınıflandırıldığı doğru gösterilmiştir.</w:t>
      </w:r>
    </w:p>
    <w:p>
      <w:pPr>
        <w:pStyle w:val="BodyText"/>
      </w:pPr>
      <w:r>
        <w:rPr>
          <w:bCs/>
          <w:b/>
        </w:rPr>
        <w:t xml:space="preserve">Tuzak:</w:t>
      </w:r>
      <w:r>
        <w:t xml:space="preserve"> </w:t>
      </w:r>
      <w:r>
        <w:t xml:space="preserve">Setlerde</w:t>
      </w:r>
      <w:r>
        <w:t xml:space="preserve"> </w:t>
      </w:r>
      <w:r>
        <w:t xml:space="preserve">‘</w:t>
      </w:r>
      <w:r>
        <w:t xml:space="preserve">son pozisyon</w:t>
      </w:r>
      <w:r>
        <w:t xml:space="preserve">’</w:t>
      </w:r>
      <w:r>
        <w:t xml:space="preserve"> </w:t>
      </w:r>
      <w:r>
        <w:t xml:space="preserve">kuralını (3(c)) esas nitelik kuralı (3(b)) ile karıştıran aday hatalı eşleşmeyi doğru sanar; tamamlanmamış eşyada 2(a) bilinmezse krank mili şüpheli görünür.</w:t>
      </w:r>
    </w:p>
    <w:p>
      <w:pPr>
        <w:pStyle w:val="BodyText"/>
      </w:pPr>
      <w:r>
        <w:rPr>
          <w:bCs/>
          <w:b/>
        </w:rPr>
        <w:t xml:space="preserve">Dayanak:</w:t>
      </w:r>
      <w:r>
        <w:t xml:space="preserve"> </w:t>
      </w:r>
      <w:r>
        <w:t xml:space="preserve">GYKK 3(b) ve 3(c) uygulama sırası (Kural 3 açıklama notu I); 2021/6 sayılı Genelge (gözlük çerçevesi + güneş gözlüğü seti 9003.11, GYK 1, 3(b), 6; esas nitelik gözlük çerçevesi). Doğru eşleşmeler: 2021/25 sayılı Genelge (havuz temizlik robotu 84.21 GYK 1; solar şarj kontrol cihazı 8504.40.55.90.00, GYK 1, 3(b), 6); 2020/19 sayılı Genelge (yüz siperliği 3926.90.97.90.18 GYK 1 ve 6); sınıflandırma görüşü 8483.10/1 (GYK 2(a) ve XV. Bölüm 1(f) notu). Şıklarda yalnız 4 haneli pozisyon gösterildiğinden GYK 6 yazılmamıştır.</w:t>
      </w:r>
    </w:p>
    <w:bookmarkEnd w:id="97"/>
    <w:bookmarkStart w:id="98" w:name="soru-cevap-d-13"/>
    <w:p>
      <w:pPr>
        <w:pStyle w:val="Heading4"/>
      </w:pPr>
      <w:r>
        <w:t xml:space="preserve">77. soru — Cevap: D</w:t>
      </w:r>
    </w:p>
    <w:p>
      <w:pPr>
        <w:pStyle w:val="FirstParagraph"/>
      </w:pPr>
      <w:r>
        <w:rPr>
          <w:iCs/>
          <w:i/>
        </w:rPr>
        <w:t xml:space="preserve">TARİFE · Tarife – GYKK · O4</w:t>
      </w:r>
    </w:p>
    <w:p>
      <w:pPr>
        <w:pStyle w:val="BodyText"/>
      </w:pPr>
      <w:r>
        <w:rPr>
          <w:bCs/>
          <w:b/>
        </w:rPr>
        <w:t xml:space="preserve">Doğru şık:</w:t>
      </w:r>
      <w:r>
        <w:t xml:space="preserve"> </w:t>
      </w:r>
      <w:r>
        <w:t xml:space="preserve">D) Gümüşten mamul olup içine çay konulmuş olarak sunulan kupa</w:t>
      </w:r>
    </w:p>
    <w:p>
      <w:pPr>
        <w:pStyle w:val="BodyText"/>
      </w:pPr>
      <w:r>
        <w:t xml:space="preserve">GYKK 5(a) açıklama notlarında çay konulan gümüş kupaların ve tatlı yiyecekler için süslü seramik kaselerin bu kural kapsamında yer almadığı belirtilmiştir; kural, bir bütün olarak esas niteliği mahfaza olan eşyaya uygulanmaz. Bu nedenle kupa içindeki çaydan ayrı sınıflandırılır. Mücevherat kapları (71.13), dürbün mahfazaları (90.05) ve silah mahfazaları (93.03) 5(a) kuralı uyarınca ait oldukları eşya ile birlikte sınıflandırılır. Banyo setinin sunulduğu fermuarlı plastik çanta da 2016/6 sayılı Genelge eki Rehberde belirtildiği üzere 5(b) kuralı uyarınca içindeki eşya ile birlikte sınıflandırılır.</w:t>
      </w:r>
    </w:p>
    <w:p>
      <w:pPr>
        <w:pStyle w:val="BodyText"/>
      </w:pPr>
      <w:r>
        <w:rPr>
          <w:bCs/>
          <w:b/>
        </w:rPr>
        <w:t xml:space="preserve">Tuzak:</w:t>
      </w:r>
      <w:r>
        <w:t xml:space="preserve"> </w:t>
      </w:r>
      <w:r>
        <w:t xml:space="preserve">Kabın değerli maddeden (gümüş) yapılmasını önemsemeyen ve</w:t>
      </w:r>
      <w:r>
        <w:t xml:space="preserve"> </w:t>
      </w:r>
      <w:r>
        <w:t xml:space="preserve">‘</w:t>
      </w:r>
      <w:r>
        <w:t xml:space="preserve">içindekiyle birlikte sunulan her kap eşyayı izler</w:t>
      </w:r>
      <w:r>
        <w:t xml:space="preserve">’</w:t>
      </w:r>
      <w:r>
        <w:t xml:space="preserve"> </w:t>
      </w:r>
      <w:r>
        <w:t xml:space="preserve">diye düşünen aday kupayı da 5(a) kapsamında sanar.</w:t>
      </w:r>
    </w:p>
    <w:p>
      <w:pPr>
        <w:pStyle w:val="BodyText"/>
      </w:pPr>
      <w:r>
        <w:rPr>
          <w:bCs/>
          <w:b/>
        </w:rPr>
        <w:t xml:space="preserve">Dayanak:</w:t>
      </w:r>
      <w:r>
        <w:t xml:space="preserve"> </w:t>
      </w:r>
      <w:r>
        <w:t xml:space="preserve">GYKK 5(a) ve açıklama notu (I), (II)(1),(3),(5) ve (III) (gümüş kupa, süslü seramik kase hariç); GYKK 5(b) ve açıklama (IV); 2016/6 sayılı Genelge eki Rehber Örnek 9 (fermuarlı plastik çanta 5(b)).</w:t>
      </w:r>
    </w:p>
    <w:bookmarkEnd w:id="98"/>
    <w:bookmarkStart w:id="99" w:name="soru-cevap-a-15"/>
    <w:p>
      <w:pPr>
        <w:pStyle w:val="Heading4"/>
      </w:pPr>
      <w:r>
        <w:t xml:space="preserve">78. soru — Cevap: A</w:t>
      </w:r>
    </w:p>
    <w:p>
      <w:pPr>
        <w:pStyle w:val="FirstParagraph"/>
      </w:pPr>
      <w:r>
        <w:rPr>
          <w:iCs/>
          <w:i/>
        </w:rPr>
        <w:t xml:space="preserve">TARİFE · Tarife – fasıl/pozisyon kapsamı · D4</w:t>
      </w:r>
    </w:p>
    <w:p>
      <w:pPr>
        <w:pStyle w:val="BodyText"/>
      </w:pPr>
      <w:r>
        <w:rPr>
          <w:bCs/>
          <w:b/>
        </w:rPr>
        <w:t xml:space="preserve">Doğru şık:</w:t>
      </w:r>
      <w:r>
        <w:t xml:space="preserve"> </w:t>
      </w:r>
      <w:r>
        <w:t xml:space="preserve">A) Tabii bal</w:t>
      </w:r>
    </w:p>
    <w:p>
      <w:pPr>
        <w:pStyle w:val="BodyText"/>
      </w:pPr>
      <w:r>
        <w:t xml:space="preserve">Tabii bal 04.09 pozisyonunda (4. fasıl) yer alır; 04.09 açıklama notu suni bal ile tabii ve suni bal karışımlarını 17.02’ye gönderir. Suni bal ve karamel 17.02, şeker kamışı melası 17.03 (1703.10), kakao yağı dışında kakao içermeyen beyaz çikolata ise kakao içermeyen şeker mamulleri olarak 17.04 pozisyonunda, yani 17. fasılda sınıflandırılır.</w:t>
      </w:r>
    </w:p>
    <w:p>
      <w:pPr>
        <w:pStyle w:val="BodyText"/>
      </w:pPr>
      <w:r>
        <w:rPr>
          <w:bCs/>
          <w:b/>
        </w:rPr>
        <w:t xml:space="preserve">Tuzak:</w:t>
      </w:r>
      <w:r>
        <w:t xml:space="preserve"> </w:t>
      </w:r>
      <w:r>
        <w:t xml:space="preserve">Beyaz çikolatayı</w:t>
      </w:r>
      <w:r>
        <w:t xml:space="preserve"> </w:t>
      </w:r>
      <w:r>
        <w:t xml:space="preserve">‘</w:t>
      </w:r>
      <w:r>
        <w:t xml:space="preserve">çikolata</w:t>
      </w:r>
      <w:r>
        <w:t xml:space="preserve">’</w:t>
      </w:r>
      <w:r>
        <w:t xml:space="preserve"> </w:t>
      </w:r>
      <w:r>
        <w:t xml:space="preserve">adı nedeniyle 18. fasılda, suni balı ise tabii balla aynı fasılda sanan aday ad tuzağına düşer.</w:t>
      </w:r>
    </w:p>
    <w:p>
      <w:pPr>
        <w:pStyle w:val="BodyText"/>
      </w:pPr>
      <w:r>
        <w:rPr>
          <w:bCs/>
          <w:b/>
        </w:rPr>
        <w:t xml:space="preserve">Dayanak:</w:t>
      </w:r>
      <w:r>
        <w:t xml:space="preserve"> </w:t>
      </w:r>
      <w:r>
        <w:t xml:space="preserve">04.09 pozisyon metni ve Açıklama Notu; 17.02, 17.03, 17.04 pozisyon metinleri; 17.04 Açıklama Notu (6). Suni bal → 17.02; karamel → 17.02; beyaz çikolata → 17.04; tabii bal → 04.09; şeker kamışı melası → 17.03.</w:t>
      </w:r>
    </w:p>
    <w:bookmarkEnd w:id="99"/>
    <w:bookmarkStart w:id="100" w:name="soru-cevap-e-18"/>
    <w:p>
      <w:pPr>
        <w:pStyle w:val="Heading4"/>
      </w:pPr>
      <w:r>
        <w:t xml:space="preserve">79. soru — Cevap: E</w:t>
      </w:r>
    </w:p>
    <w:p>
      <w:pPr>
        <w:pStyle w:val="FirstParagraph"/>
      </w:pPr>
      <w:r>
        <w:rPr>
          <w:iCs/>
          <w:i/>
        </w:rPr>
        <w:t xml:space="preserve">TARİFE · Tarife – notlar, izahname · D5</w:t>
      </w:r>
    </w:p>
    <w:p>
      <w:pPr>
        <w:pStyle w:val="BodyText"/>
      </w:pPr>
      <w:r>
        <w:rPr>
          <w:bCs/>
          <w:b/>
        </w:rPr>
        <w:t xml:space="preserve">Doğru şık:</w:t>
      </w:r>
      <w:r>
        <w:t xml:space="preserve"> </w:t>
      </w:r>
      <w:r>
        <w:t xml:space="preserve">E) Kavuzu çıkarılmış, parlatılmış ve kırık pirinç</w:t>
      </w:r>
    </w:p>
    <w:p>
      <w:pPr>
        <w:numPr>
          <w:ilvl w:val="0"/>
          <w:numId w:val="1002"/>
        </w:numPr>
        <w:pStyle w:val="Compact"/>
      </w:pPr>
      <w:r>
        <w:t xml:space="preserve">Fasıl 1(B) notuna göre kavuzundan çıkarılmış veya başka şekilde işlenmiş hububat taneleri bu fasla dahil değildir; ancak kavuzu çıkarılmış, değirmenden geçirilmiş, parlatılmış, yarım kaynatılmış veya kırık pirinç istisna olarak 10.06 pozisyonunda kalır. Kavuzu çıkarılmış yulaf 11.04, malt 11.07, pirinç unu 11.02 pozisyonunda yer alır; 2 numaralı not da tatlı mısırı 10.05 dışında bırakarak 7. fasla gönderir.</w:t>
      </w:r>
    </w:p>
    <w:p>
      <w:pPr>
        <w:pStyle w:val="FirstParagraph"/>
      </w:pPr>
      <w:r>
        <w:rPr>
          <w:bCs/>
          <w:b/>
        </w:rPr>
        <w:t xml:space="preserve">Tuzak:</w:t>
      </w:r>
      <w:r>
        <w:t xml:space="preserve"> </w:t>
      </w:r>
      <w:r>
        <w:t xml:space="preserve">İşlenmiş tanenin hububat faslından çıktığı kuralını pirince de uygulayan ya da tatlı mısırı mısır olduğu için 10.05’te sanan aday notlardaki istisnaları kaçırır.</w:t>
      </w:r>
    </w:p>
    <w:p>
      <w:pPr>
        <w:pStyle w:val="BodyText"/>
      </w:pPr>
      <w:r>
        <w:rPr>
          <w:bCs/>
          <w:b/>
        </w:rPr>
        <w:t xml:space="preserve">Dayanak:</w:t>
      </w:r>
      <w:r>
        <w:t xml:space="preserve"> </w:t>
      </w:r>
      <w:r>
        <w:t xml:space="preserve">10. Fasıl Not 1(B) ve Not 2; 10.06 pozisyonu; 11.02, 11.04 (Açıklama Notu (2)), 11.07 pozisyonları; 7. Fasıl Not 2. Kırık pirinç → 10.06; kavuzu çıkarılmış yulaf → 11.04; arpa maltı → 11.07; taze tatlı mısır → 07.09; pirinç unu → 11.02.</w:t>
      </w:r>
    </w:p>
    <w:bookmarkEnd w:id="100"/>
    <w:bookmarkStart w:id="101" w:name="soru-cevap-b-16"/>
    <w:p>
      <w:pPr>
        <w:pStyle w:val="Heading4"/>
      </w:pPr>
      <w:r>
        <w:t xml:space="preserve">80. soru — Cevap: B</w:t>
      </w:r>
    </w:p>
    <w:p>
      <w:pPr>
        <w:pStyle w:val="FirstParagraph"/>
      </w:pPr>
      <w:r>
        <w:rPr>
          <w:iCs/>
          <w:i/>
        </w:rPr>
        <w:t xml:space="preserve">TARİFE · Tarife – tanımı verilen eşya · V4</w:t>
      </w:r>
    </w:p>
    <w:p>
      <w:pPr>
        <w:pStyle w:val="BodyText"/>
      </w:pPr>
      <w:r>
        <w:rPr>
          <w:bCs/>
          <w:b/>
        </w:rPr>
        <w:t xml:space="preserve">Doğru şık:</w:t>
      </w:r>
      <w:r>
        <w:t xml:space="preserve"> </w:t>
      </w:r>
      <w:r>
        <w:t xml:space="preserve">B) 14.04</w:t>
      </w:r>
    </w:p>
    <w:p>
      <w:pPr>
        <w:pStyle w:val="BodyText"/>
      </w:pPr>
      <w:r>
        <w:t xml:space="preserve">Armonize Sistem sınıflandırma görüşüne (1404.90/1) göre kokopit tuğlası, 1 ve 6 nolu GYK ile ’Tarifenin başka yerinde belirtilmeyen veya yer almayan bitkisel ürünler’i kapsayan 14.04 pozisyonunda sınıflandırılır; ürün, tarifenin başka bir pozisyonunda belirtilmeyen bitkisel bir yan üründür. 08.01 hindistan cevizinin kendisini (meyve), 53.05 dokumaya elverişli hindistan cevizi liflerini kapsar. 27.03 kısmen karbonize olmuş bitkisel maddelerden oluşan turbu kapsar; 31.01 bitkisel veya hayvansal gübrelere ayrılmıştır, oysa ürün besin maddesi içermemektedir.</w:t>
      </w:r>
    </w:p>
    <w:p>
      <w:pPr>
        <w:pStyle w:val="BodyText"/>
      </w:pPr>
      <w:r>
        <w:rPr>
          <w:bCs/>
          <w:b/>
        </w:rPr>
        <w:t xml:space="preserve">Tuzak:</w:t>
      </w:r>
      <w:r>
        <w:t xml:space="preserve"> </w:t>
      </w:r>
      <w:r>
        <w:t xml:space="preserve">‘</w:t>
      </w:r>
      <w:r>
        <w:t xml:space="preserve">Torf</w:t>
      </w:r>
      <w:r>
        <w:t xml:space="preserve">’</w:t>
      </w:r>
      <w:r>
        <w:t xml:space="preserve"> </w:t>
      </w:r>
      <w:r>
        <w:t xml:space="preserve">kelimesi turbun yer aldığı 27.03’e,</w:t>
      </w:r>
      <w:r>
        <w:t xml:space="preserve"> </w:t>
      </w:r>
      <w:r>
        <w:t xml:space="preserve">‘</w:t>
      </w:r>
      <w:r>
        <w:t xml:space="preserve">yetiştirme ortamı</w:t>
      </w:r>
      <w:r>
        <w:t xml:space="preserve">’</w:t>
      </w:r>
      <w:r>
        <w:t xml:space="preserve"> </w:t>
      </w:r>
      <w:r>
        <w:t xml:space="preserve">gübre pozisyonu 31.01’e,</w:t>
      </w:r>
      <w:r>
        <w:t xml:space="preserve"> </w:t>
      </w:r>
      <w:r>
        <w:t xml:space="preserve">‘</w:t>
      </w:r>
      <w:r>
        <w:t xml:space="preserve">hindistan cevizi</w:t>
      </w:r>
      <w:r>
        <w:t xml:space="preserve">’</w:t>
      </w:r>
      <w:r>
        <w:t xml:space="preserve"> </w:t>
      </w:r>
      <w:r>
        <w:t xml:space="preserve">ise 08.01 veya 53.05’e çeker.</w:t>
      </w:r>
    </w:p>
    <w:p>
      <w:pPr>
        <w:pStyle w:val="BodyText"/>
      </w:pPr>
      <w:r>
        <w:rPr>
          <w:bCs/>
          <w:b/>
        </w:rPr>
        <w:t xml:space="preserve">Dayanak:</w:t>
      </w:r>
      <w:r>
        <w:t xml:space="preserve"> </w:t>
      </w:r>
      <w:r>
        <w:t xml:space="preserve">GYKK 1 ve 6: 14.04 pozisyon metni (b.y.b. bitkisel ürünler); sınıflandırma görüşü 1404.90/1. Çeldiriciler: 08.01 (hindistan cevizi - malzeme), 53.05 (hindistan cevizi lifleri - malzeme), 27.03 (turb - çağrışım), 31.01 (bitkisel gübreler - çağrışım).</w:t>
      </w:r>
    </w:p>
    <w:bookmarkEnd w:id="101"/>
    <w:bookmarkStart w:id="102" w:name="soru-cevap-c-14"/>
    <w:p>
      <w:pPr>
        <w:pStyle w:val="Heading4"/>
      </w:pPr>
      <w:r>
        <w:t xml:space="preserve">81. soru — Cevap: C</w:t>
      </w:r>
    </w:p>
    <w:p>
      <w:pPr>
        <w:pStyle w:val="FirstParagraph"/>
      </w:pPr>
      <w:r>
        <w:rPr>
          <w:iCs/>
          <w:i/>
        </w:rPr>
        <w:t xml:space="preserve">TARİFE · Tarife – fasıl/pozisyon kapsamı · D5</w:t>
      </w:r>
    </w:p>
    <w:p>
      <w:pPr>
        <w:pStyle w:val="BodyText"/>
      </w:pPr>
      <w:r>
        <w:rPr>
          <w:bCs/>
          <w:b/>
        </w:rPr>
        <w:t xml:space="preserve">Doğru şık:</w:t>
      </w:r>
      <w:r>
        <w:t xml:space="preserve"> </w:t>
      </w:r>
      <w:r>
        <w:t xml:space="preserve">C) 23.06</w:t>
      </w:r>
    </w:p>
    <w:p>
      <w:pPr>
        <w:pStyle w:val="BodyText"/>
      </w:pPr>
      <w:r>
        <w:t xml:space="preserve">23.06 pozisyonu soya (23.04) ve yer fıstığı (23.05) dışındaki bitkisel yağların ekstraksiyonundan arta kalan küspe ve diğer katı artıkları, öğütülmüş veya pellet halinde olsun olmasın kapsar; ayçiçeği küspesi 2306.30 alt pozisyonundadır. 12.08 yağlı tohum unlarını kapsar, ancak 12. Fasıl 2 numaralı notu 23.04 ila 23.06’daki artıkları açıkça dışarıda bırakır; 15.12 ayçiçeği yağının kendisini, 23.08 başka yerde belirtilmeyen bitkisel artıkları, 23.09 ise hayvan gıdası olarak kullanılan müstahzarları kapsar.</w:t>
      </w:r>
    </w:p>
    <w:p>
      <w:pPr>
        <w:pStyle w:val="BodyText"/>
      </w:pPr>
      <w:r>
        <w:rPr>
          <w:bCs/>
          <w:b/>
        </w:rPr>
        <w:t xml:space="preserve">Tuzak:</w:t>
      </w:r>
      <w:r>
        <w:t xml:space="preserve"> </w:t>
      </w:r>
      <w:r>
        <w:t xml:space="preserve">Küspenin hayvan yemi olarak kullanılmasından hareketle 23.09’u ya da yağlı tohum unu çağrışımıyla 12.08’i seçen aday artığın kendine özgü pozisyonunu kaçırır.</w:t>
      </w:r>
    </w:p>
    <w:p>
      <w:pPr>
        <w:pStyle w:val="BodyText"/>
      </w:pPr>
      <w:r>
        <w:rPr>
          <w:bCs/>
          <w:b/>
        </w:rPr>
        <w:t xml:space="preserve">Dayanak:</w:t>
      </w:r>
      <w:r>
        <w:t xml:space="preserve"> </w:t>
      </w:r>
      <w:r>
        <w:t xml:space="preserve">23.06 pozisyon metni ve 2306.30 alt pozisyonu; 12. Fasıl Not 2. 12.08 → yağlı tohum unları; 15.12 → ayçiçeği yağı; ayçiçeği küspesi → 23.06; 23.08 → b.y.b. bitkisel maddeler ve artıklar; 23.09 → hayvan gıdası olarak kullanılan müstahzarlar.</w:t>
      </w:r>
    </w:p>
    <w:bookmarkEnd w:id="102"/>
    <w:bookmarkStart w:id="103" w:name="soru-cevap-c-15"/>
    <w:p>
      <w:pPr>
        <w:pStyle w:val="Heading4"/>
      </w:pPr>
      <w:r>
        <w:t xml:space="preserve">82. soru — Cevap: C</w:t>
      </w:r>
    </w:p>
    <w:p>
      <w:pPr>
        <w:pStyle w:val="FirstParagraph"/>
      </w:pPr>
      <w:r>
        <w:rPr>
          <w:iCs/>
          <w:i/>
        </w:rPr>
        <w:t xml:space="preserve">TARİFE · Tarife – notlar, izahname · O4</w:t>
      </w:r>
    </w:p>
    <w:p>
      <w:pPr>
        <w:pStyle w:val="BodyText"/>
      </w:pPr>
      <w:r>
        <w:rPr>
          <w:bCs/>
          <w:b/>
        </w:rPr>
        <w:t xml:space="preserve">Doğru şık:</w:t>
      </w:r>
      <w:r>
        <w:t xml:space="preserve"> </w:t>
      </w:r>
      <w:r>
        <w:t xml:space="preserve">C) Kol saati kayışı</w:t>
      </w:r>
    </w:p>
    <w:p>
      <w:pPr>
        <w:numPr>
          <w:ilvl w:val="0"/>
          <w:numId w:val="1003"/>
        </w:numPr>
        <w:pStyle w:val="Compact"/>
      </w:pPr>
      <w:r>
        <w:t xml:space="preserve">Fasıl 4 numaralı notu 42.03 pozisyonundaki</w:t>
      </w:r>
      <w:r>
        <w:t xml:space="preserve"> </w:t>
      </w:r>
      <w:r>
        <w:t xml:space="preserve">‘</w:t>
      </w:r>
      <w:r>
        <w:t xml:space="preserve">giyim eşyası ve aksesuarları</w:t>
      </w:r>
      <w:r>
        <w:t xml:space="preserve">’</w:t>
      </w:r>
      <w:r>
        <w:t xml:space="preserve"> </w:t>
      </w:r>
      <w:r>
        <w:t xml:space="preserve">kapsamına eldivenleri, bel kemerlerini ve bilek kayışlarını almakla birlikte 91.13 pozisyonundaki saat kayışlarını açıkça hariç tutar; deriden kol saati kayışı 91.13’te sınıflandırılır. Deriden iş eldiveni ve kemer 42.03, köpek tasması 42.01, evrak çantası 42.02 pozisyonunda yer alır.</w:t>
      </w:r>
    </w:p>
    <w:p>
      <w:pPr>
        <w:pStyle w:val="FirstParagraph"/>
      </w:pPr>
      <w:r>
        <w:rPr>
          <w:bCs/>
          <w:b/>
        </w:rPr>
        <w:t xml:space="preserve">Tuzak:</w:t>
      </w:r>
      <w:r>
        <w:t xml:space="preserve"> </w:t>
      </w:r>
      <w:r>
        <w:t xml:space="preserve">Bilek kayışı ile saat kayışını aynı aksesuar sayan aday, malzemesine bakarak saat kayışını da 42.03’e yerleştirir.</w:t>
      </w:r>
    </w:p>
    <w:p>
      <w:pPr>
        <w:pStyle w:val="BodyText"/>
      </w:pPr>
      <w:r>
        <w:rPr>
          <w:bCs/>
          <w:b/>
        </w:rPr>
        <w:t xml:space="preserve">Dayanak:</w:t>
      </w:r>
      <w:r>
        <w:t xml:space="preserve"> </w:t>
      </w:r>
      <w:r>
        <w:t xml:space="preserve">42. Fasıl Not 4; 42.01, 42.02, 42.03 pozisyon metinleri; 91.13 pozisyonu. İş eldiveni → 42.03; bel kemeri → 42.03; kol saati kayışı → 91.13; köpek tasması → 42.01; evrak çantası → 42.02.</w:t>
      </w:r>
    </w:p>
    <w:bookmarkEnd w:id="103"/>
    <w:bookmarkStart w:id="104" w:name="soru-cevap-c-16"/>
    <w:p>
      <w:pPr>
        <w:pStyle w:val="Heading4"/>
      </w:pPr>
      <w:r>
        <w:t xml:space="preserve">83. soru — Cevap: C</w:t>
      </w:r>
    </w:p>
    <w:p>
      <w:pPr>
        <w:pStyle w:val="FirstParagraph"/>
      </w:pPr>
      <w:r>
        <w:rPr>
          <w:iCs/>
          <w:i/>
        </w:rPr>
        <w:t xml:space="preserve">TARİFE · Tarife – fasıl/pozisyon kapsamı · O4</w:t>
      </w:r>
    </w:p>
    <w:p>
      <w:pPr>
        <w:pStyle w:val="BodyText"/>
      </w:pPr>
      <w:r>
        <w:rPr>
          <w:bCs/>
          <w:b/>
        </w:rPr>
        <w:t xml:space="preserve">Doğru şık:</w:t>
      </w:r>
      <w:r>
        <w:t xml:space="preserve"> </w:t>
      </w:r>
      <w:r>
        <w:t xml:space="preserve">C) Sütyen</w:t>
      </w:r>
    </w:p>
    <w:p>
      <w:pPr>
        <w:numPr>
          <w:ilvl w:val="0"/>
          <w:numId w:val="1004"/>
        </w:numPr>
        <w:pStyle w:val="Compact"/>
      </w:pPr>
      <w:r>
        <w:t xml:space="preserve">Fasıl 2(a) notu 62.12 pozisyonundaki eşyayı bu fasıl dışında bırakır; 62.12 pozisyonu sütyen, korse, pantolon askısı, jartiyer ve benzerlerini örülmüş olsun olmasın kapsadığından örme sütyen 62.12’de (6212.10) sınıflandırılır. Örme kazak 61.10, külotlu çorap 61.15, eldiven 61.16, bebek tulumu ise 61.11 pozisyonunda yer alır.</w:t>
      </w:r>
    </w:p>
    <w:p>
      <w:pPr>
        <w:pStyle w:val="FirstParagraph"/>
      </w:pPr>
      <w:r>
        <w:rPr>
          <w:bCs/>
          <w:b/>
        </w:rPr>
        <w:t xml:space="preserve">Tuzak:</w:t>
      </w:r>
      <w:r>
        <w:t xml:space="preserve"> </w:t>
      </w:r>
      <w:r>
        <w:t xml:space="preserve">‘</w:t>
      </w:r>
      <w:r>
        <w:t xml:space="preserve">Örme ise 61, dokuma ise 62</w:t>
      </w:r>
      <w:r>
        <w:t xml:space="preserve">’</w:t>
      </w:r>
      <w:r>
        <w:t xml:space="preserve"> </w:t>
      </w:r>
      <w:r>
        <w:t xml:space="preserve">ayrımını istisnasız uygulayan aday, 62.12’nin örme eşyayı da kapsadığını bilmediği için sütyeni 61. fasılda sanır.</w:t>
      </w:r>
    </w:p>
    <w:p>
      <w:pPr>
        <w:pStyle w:val="BodyText"/>
      </w:pPr>
      <w:r>
        <w:rPr>
          <w:bCs/>
          <w:b/>
        </w:rPr>
        <w:t xml:space="preserve">Dayanak:</w:t>
      </w:r>
      <w:r>
        <w:t xml:space="preserve"> </w:t>
      </w:r>
      <w:r>
        <w:t xml:space="preserve">61. Fasıl Not 2(a) ve Not 6(a); 62.12 pozisyon metni. Sütyen → 62.12; kazak → 61.10; külotlu çorap → 61.15; eldiven → 61.16; bebek tulumu → 61.11.</w:t>
      </w:r>
    </w:p>
    <w:bookmarkEnd w:id="104"/>
    <w:bookmarkStart w:id="105" w:name="soru-cevap-b-17"/>
    <w:p>
      <w:pPr>
        <w:pStyle w:val="Heading4"/>
      </w:pPr>
      <w:r>
        <w:t xml:space="preserve">84. soru — Cevap: B</w:t>
      </w:r>
    </w:p>
    <w:p>
      <w:pPr>
        <w:pStyle w:val="FirstParagraph"/>
      </w:pPr>
      <w:r>
        <w:rPr>
          <w:iCs/>
          <w:i/>
        </w:rPr>
        <w:t xml:space="preserve">TARİFE · Tarife – fasıl/pozisyon kapsamı · D4</w:t>
      </w:r>
    </w:p>
    <w:p>
      <w:pPr>
        <w:pStyle w:val="BodyText"/>
      </w:pPr>
      <w:r>
        <w:rPr>
          <w:bCs/>
          <w:b/>
        </w:rPr>
        <w:t xml:space="preserve">Doğru şık:</w:t>
      </w:r>
      <w:r>
        <w:t xml:space="preserve"> </w:t>
      </w:r>
      <w:r>
        <w:t xml:space="preserve">B) Sofra tabağı</w:t>
      </w:r>
    </w:p>
    <w:p>
      <w:pPr>
        <w:numPr>
          <w:ilvl w:val="0"/>
          <w:numId w:val="1005"/>
        </w:numPr>
        <w:pStyle w:val="Compact"/>
      </w:pPr>
      <w:r>
        <w:t xml:space="preserve">Fasıl 9 numaralı notuna göre 71.13 pozisyonundaki</w:t>
      </w:r>
      <w:r>
        <w:t xml:space="preserve"> </w:t>
      </w:r>
      <w:r>
        <w:t xml:space="preserve">‘</w:t>
      </w:r>
      <w:r>
        <w:t xml:space="preserve">mücevherci eşyası</w:t>
      </w:r>
      <w:r>
        <w:t xml:space="preserve">’</w:t>
      </w:r>
      <w:r>
        <w:t xml:space="preserve">; yüzük, kol düğmesi gibi kişisel küçük süs eşyası ile cepte, el çantasında veya üzerde taşınan pudra kutusu, tesbih gibi kişisel eşyayı kapsar. 10 numaralı nota göre ise süs eşyası, sofra eşyası ve evlerde kullanılan diğer eşya 71.14 pozisyonundaki ’kuyumcu eşyası’dır; bu nedenle altından sofra tabağı 71.14’te, diğerleri 71.13’te yer alır.</w:t>
      </w:r>
    </w:p>
    <w:p>
      <w:pPr>
        <w:pStyle w:val="FirstParagraph"/>
      </w:pPr>
      <w:r>
        <w:rPr>
          <w:bCs/>
          <w:b/>
        </w:rPr>
        <w:t xml:space="preserve">Tuzak:</w:t>
      </w:r>
      <w:r>
        <w:t xml:space="preserve"> </w:t>
      </w:r>
      <w:r>
        <w:t xml:space="preserve">Altından her eşyayı</w:t>
      </w:r>
      <w:r>
        <w:t xml:space="preserve"> </w:t>
      </w:r>
      <w:r>
        <w:t xml:space="preserve">‘</w:t>
      </w:r>
      <w:r>
        <w:t xml:space="preserve">mücevher</w:t>
      </w:r>
      <w:r>
        <w:t xml:space="preserve">’</w:t>
      </w:r>
      <w:r>
        <w:t xml:space="preserve"> </w:t>
      </w:r>
      <w:r>
        <w:t xml:space="preserve">sayan ya da pudra kutusu ve tesbihi kişisel eşya değil ev eşyası sanan aday 71.13 ile 71.14 ayrımını karıştırır.</w:t>
      </w:r>
    </w:p>
    <w:p>
      <w:pPr>
        <w:pStyle w:val="BodyText"/>
      </w:pPr>
      <w:r>
        <w:rPr>
          <w:bCs/>
          <w:b/>
        </w:rPr>
        <w:t xml:space="preserve">Dayanak:</w:t>
      </w:r>
      <w:r>
        <w:t xml:space="preserve"> </w:t>
      </w:r>
      <w:r>
        <w:t xml:space="preserve">71. Fasıl Not 9(a)-(b) ve Not 10; 71.13 ve 71.14 pozisyon metinleri. Yüzük → 71.13; kol düğmesi → 71.13; pudra kutusu → 71.13; tesbih → 71.13; sofra tabağı → 71.14.</w:t>
      </w:r>
    </w:p>
    <w:bookmarkEnd w:id="105"/>
    <w:bookmarkStart w:id="106" w:name="soru-cevap-a-16"/>
    <w:p>
      <w:pPr>
        <w:pStyle w:val="Heading4"/>
      </w:pPr>
      <w:r>
        <w:t xml:space="preserve">85. soru — Cevap: A</w:t>
      </w:r>
    </w:p>
    <w:p>
      <w:pPr>
        <w:pStyle w:val="FirstParagraph"/>
      </w:pPr>
      <w:r>
        <w:rPr>
          <w:iCs/>
          <w:i/>
        </w:rPr>
        <w:t xml:space="preserve">TARİFE · Tarife – tanımı verilen eşya · V4</w:t>
      </w:r>
    </w:p>
    <w:p>
      <w:pPr>
        <w:pStyle w:val="BodyText"/>
      </w:pPr>
      <w:r>
        <w:rPr>
          <w:bCs/>
          <w:b/>
        </w:rPr>
        <w:t xml:space="preserve">Doğru şık:</w:t>
      </w:r>
      <w:r>
        <w:t xml:space="preserve"> </w:t>
      </w:r>
      <w:r>
        <w:t xml:space="preserve">A) 73.21</w:t>
      </w:r>
    </w:p>
    <w:p>
      <w:pPr>
        <w:pStyle w:val="BodyText"/>
      </w:pPr>
      <w:r>
        <w:t xml:space="preserve">73.21 pozisyonu demir veya çelikten barbeküleri, mangalları ve ev işlerinde kullanılan elektrikli olmayan benzeri her türlü cihazı kapsar; açıklama notlarına göre bu cihazlar ısıtma veya pişirme amacıyla katı, sıvı, gaz yakıt veya diğer enerji kaynaklarını (örneğin güneş enerjisi) kullanır ve normal olarak evde veya kampta kullanılır (sınıflandırma görüşü 7321.19/1). 73.23 ısıtıcı elemanla ilişkisi olmayan çelik ev eşyasını, 83.06 adi metallerden aynaları kapsar; aynalar cihazın yalnızca bir unsurudur. 84.19 pozisyon metni ev işlerinde kullanılmaya mahsus makine ve cihazları hariç tutar; 85.16 ise elektrikli pişirme cihazlarına ayrılmıştır.</w:t>
      </w:r>
    </w:p>
    <w:p>
      <w:pPr>
        <w:pStyle w:val="BodyText"/>
      </w:pPr>
      <w:r>
        <w:rPr>
          <w:bCs/>
          <w:b/>
        </w:rPr>
        <w:t xml:space="preserve">Tuzak:</w:t>
      </w:r>
      <w:r>
        <w:t xml:space="preserve"> </w:t>
      </w:r>
      <w:r>
        <w:t xml:space="preserve">‘</w:t>
      </w:r>
      <w:r>
        <w:t xml:space="preserve">Güneş enerjisi</w:t>
      </w:r>
      <w:r>
        <w:t xml:space="preserve">’</w:t>
      </w:r>
      <w:r>
        <w:t xml:space="preserve"> </w:t>
      </w:r>
      <w:r>
        <w:t xml:space="preserve">çağrışımı güneş enerjili ısıtıcıların yer aldığı 84.19’a,</w:t>
      </w:r>
      <w:r>
        <w:t xml:space="preserve"> </w:t>
      </w:r>
      <w:r>
        <w:t xml:space="preserve">‘</w:t>
      </w:r>
      <w:r>
        <w:t xml:space="preserve">pişirme</w:t>
      </w:r>
      <w:r>
        <w:t xml:space="preserve">’</w:t>
      </w:r>
      <w:r>
        <w:t xml:space="preserve"> </w:t>
      </w:r>
      <w:r>
        <w:t xml:space="preserve">85.16’ya,</w:t>
      </w:r>
      <w:r>
        <w:t xml:space="preserve"> </w:t>
      </w:r>
      <w:r>
        <w:t xml:space="preserve">‘</w:t>
      </w:r>
      <w:r>
        <w:t xml:space="preserve">paslanmaz çelik</w:t>
      </w:r>
      <w:r>
        <w:t xml:space="preserve">’</w:t>
      </w:r>
      <w:r>
        <w:t xml:space="preserve"> </w:t>
      </w:r>
      <w:r>
        <w:t xml:space="preserve">ve</w:t>
      </w:r>
      <w:r>
        <w:t xml:space="preserve"> </w:t>
      </w:r>
      <w:r>
        <w:t xml:space="preserve">‘</w:t>
      </w:r>
      <w:r>
        <w:t xml:space="preserve">çelik ayna</w:t>
      </w:r>
      <w:r>
        <w:t xml:space="preserve">’</w:t>
      </w:r>
      <w:r>
        <w:t xml:space="preserve"> </w:t>
      </w:r>
      <w:r>
        <w:t xml:space="preserve">ifadeleri malzeme pozisyonlarına (73.23, 83.06) çeker.</w:t>
      </w:r>
    </w:p>
    <w:p>
      <w:pPr>
        <w:pStyle w:val="BodyText"/>
      </w:pPr>
      <w:r>
        <w:rPr>
          <w:bCs/>
          <w:b/>
        </w:rPr>
        <w:t xml:space="preserve">Dayanak:</w:t>
      </w:r>
      <w:r>
        <w:t xml:space="preserve"> </w:t>
      </w:r>
      <w:r>
        <w:t xml:space="preserve">GYKK 1 ve 6: 73.21 pozisyon metni ve açıklaması (güneş enerjisi örneği; 7321.19). Çeldiriciler: 73.23 (çelik ev eşyası - malzeme), 83.06 (adi metal aynalar - malzeme), 84.19 (ısı değişikliği yoluyla işleme cihazları; ev tipi hariç - çağrışım), 85.16 (elektrikli pişirme cihazları - çağrışım).</w:t>
      </w:r>
    </w:p>
    <w:bookmarkEnd w:id="106"/>
    <w:bookmarkStart w:id="107" w:name="soru-cevap-d-14"/>
    <w:p>
      <w:pPr>
        <w:pStyle w:val="Heading4"/>
      </w:pPr>
      <w:r>
        <w:t xml:space="preserve">86. soru — Cevap: D</w:t>
      </w:r>
    </w:p>
    <w:p>
      <w:pPr>
        <w:pStyle w:val="FirstParagraph"/>
      </w:pPr>
      <w:r>
        <w:rPr>
          <w:iCs/>
          <w:i/>
        </w:rPr>
        <w:t xml:space="preserve">TARİFE · Tarife – fasıl/pozisyon kapsamı · D5</w:t>
      </w:r>
    </w:p>
    <w:p>
      <w:pPr>
        <w:pStyle w:val="BodyText"/>
      </w:pPr>
      <w:r>
        <w:rPr>
          <w:bCs/>
          <w:b/>
        </w:rPr>
        <w:t xml:space="preserve">Doğru şık:</w:t>
      </w:r>
      <w:r>
        <w:t xml:space="preserve"> </w:t>
      </w:r>
      <w:r>
        <w:t xml:space="preserve">D) 84.85</w:t>
      </w:r>
    </w:p>
    <w:p>
      <w:pPr>
        <w:pStyle w:val="BodyText"/>
      </w:pPr>
      <w:r>
        <w:t xml:space="preserve">HS 2022 değişiklikleriyle ihdas edilen 84.85 pozisyonu katmanlı üretim (3 boyutlu baskı) makinelerini kapsar; plastik katmanlı makineler 8485.20 alt pozisyonundadır. 84. Fasıl 10 numaralı notu bu tanıma uyan makinelerin tarifenin başka bir pozisyonunda değil 84.85’te sınıflandırılacağını hükme bağlar.</w:t>
      </w:r>
      <w:r>
        <w:t xml:space="preserve"> </w:t>
      </w:r>
      <w:r>
        <w:t xml:space="preserve">‘</w:t>
      </w:r>
      <w:r>
        <w:t xml:space="preserve">Yazıcı</w:t>
      </w:r>
      <w:r>
        <w:t xml:space="preserve">’</w:t>
      </w:r>
      <w:r>
        <w:t xml:space="preserve"> </w:t>
      </w:r>
      <w:r>
        <w:t xml:space="preserve">adı 84.43’ü (baskı makineleri), plastik işleme 84.77’yi, kendine özgü fonksiyon 84.79’u, elektrikli cihaz çağrışımı ise 85.43’ü akla getirir; ancak bunlar 84.85’in öncelik hükmü karşısında uygulanmaz.</w:t>
      </w:r>
    </w:p>
    <w:p>
      <w:pPr>
        <w:pStyle w:val="BodyText"/>
      </w:pPr>
      <w:r>
        <w:rPr>
          <w:bCs/>
          <w:b/>
        </w:rPr>
        <w:t xml:space="preserve">Tuzak:</w:t>
      </w:r>
      <w:r>
        <w:t xml:space="preserve"> </w:t>
      </w:r>
      <w:r>
        <w:t xml:space="preserve">HS 2022 öncesi uygulamaya göre plastik işleme makinesi (84.77) ya da</w:t>
      </w:r>
      <w:r>
        <w:t xml:space="preserve"> </w:t>
      </w:r>
      <w:r>
        <w:t xml:space="preserve">‘</w:t>
      </w:r>
      <w:r>
        <w:t xml:space="preserve">yazıcı</w:t>
      </w:r>
      <w:r>
        <w:t xml:space="preserve">’</w:t>
      </w:r>
      <w:r>
        <w:t xml:space="preserve"> </w:t>
      </w:r>
      <w:r>
        <w:t xml:space="preserve">adı nedeniyle 84.43 diyen aday güncel pozisyonu kaçırır.</w:t>
      </w:r>
    </w:p>
    <w:p>
      <w:pPr>
        <w:pStyle w:val="BodyText"/>
      </w:pPr>
      <w:r>
        <w:rPr>
          <w:bCs/>
          <w:b/>
        </w:rPr>
        <w:t xml:space="preserve">Dayanak:</w:t>
      </w:r>
      <w:r>
        <w:t xml:space="preserve"> </w:t>
      </w:r>
      <w:r>
        <w:t xml:space="preserve">84.85 pozisyon metni ve 8485.20 alt pozisyonu; 84. Fasıl Not 10; 84.85 Açıklama Notu (4). 84.43 → baskı, kopyalama ve faks makineleri; 84.77 → kauçuk veya plastik işleme makineleri; 84.79 → kendine özgü fonksiyonu olan b.y.b. makineler; 85.43 → kendine has fonksiyonu olan b.y.b. elektrikli cihazlar; 3 boyutlu yazıcı → 84.85.</w:t>
      </w:r>
    </w:p>
    <w:bookmarkEnd w:id="107"/>
    <w:bookmarkStart w:id="108" w:name="soru-cevap-d-15"/>
    <w:p>
      <w:pPr>
        <w:pStyle w:val="Heading4"/>
      </w:pPr>
      <w:r>
        <w:t xml:space="preserve">87. soru — Cevap: D</w:t>
      </w:r>
    </w:p>
    <w:p>
      <w:pPr>
        <w:pStyle w:val="FirstParagraph"/>
      </w:pPr>
      <w:r>
        <w:rPr>
          <w:iCs/>
          <w:i/>
        </w:rPr>
        <w:t xml:space="preserve">TARİFE · Tarife – notlar, izahname · O4</w:t>
      </w:r>
    </w:p>
    <w:p>
      <w:pPr>
        <w:pStyle w:val="BodyText"/>
      </w:pPr>
      <w:r>
        <w:rPr>
          <w:bCs/>
          <w:b/>
        </w:rPr>
        <w:t xml:space="preserve">Doğru şık:</w:t>
      </w:r>
      <w:r>
        <w:t xml:space="preserve"> </w:t>
      </w:r>
      <w:r>
        <w:t xml:space="preserve">D) Aspiratörlü ev tipi mutfak davlumbazı</w:t>
      </w:r>
    </w:p>
    <w:p>
      <w:pPr>
        <w:numPr>
          <w:ilvl w:val="0"/>
          <w:numId w:val="1006"/>
        </w:numPr>
        <w:pStyle w:val="Compact"/>
      </w:pPr>
      <w:r>
        <w:t xml:space="preserve">Fasıl 4 numaralı notuna göre 85.09 pozisyonu yer cilalama makinelerini, gıda öğütücü ve karıştırıcılarını, meyve ve sebze preslerini ağırlıkları ne olursa olsun; diğer ev tipi elektromekanik cihazları ise ağırlıkları 20 kg’ı geçmemek şartıyla kapsar; elektrikli diş fırçası ve hava nemlendiricisi bu ikinci gruptadır. Aynı not, bir aspiratörü olan havalandırmaya mahsus davlumbazları açıkça 85.09 dışında bırakır ve 84.14 pozisyonuna verir.</w:t>
      </w:r>
    </w:p>
    <w:p>
      <w:pPr>
        <w:pStyle w:val="FirstParagraph"/>
      </w:pPr>
      <w:r>
        <w:rPr>
          <w:bCs/>
          <w:b/>
        </w:rPr>
        <w:t xml:space="preserve">Tuzak:</w:t>
      </w:r>
      <w:r>
        <w:t xml:space="preserve"> </w:t>
      </w:r>
      <w:r>
        <w:t xml:space="preserve">20 kg sınırını bütün cihazlara uygulayan aday 25 kg’lık cilalama makinesini dışarıda sanır; mutfak cihazı olduğu için davlumbazı da 85.09’da zanneder.</w:t>
      </w:r>
    </w:p>
    <w:p>
      <w:pPr>
        <w:pStyle w:val="BodyText"/>
      </w:pPr>
      <w:r>
        <w:rPr>
          <w:bCs/>
          <w:b/>
        </w:rPr>
        <w:t xml:space="preserve">Dayanak:</w:t>
      </w:r>
      <w:r>
        <w:t xml:space="preserve"> </w:t>
      </w:r>
      <w:r>
        <w:t xml:space="preserve">85. Fasıl Not 4 (a), (b) ve istisnalar; 85.09 Açıklama Notu (A)(1), (A)(3), (B)(7), (B)(8). Yer cilalama makinesi (25 kg) → 85.09; aspiratörlü davlumbaz → 84.14; meyve ve sebze presi → 85.09; elektrikli diş fırçası → 85.09; hava nemlendiricisi (20 kg’ı geçmeyen) → 85.09.</w:t>
      </w:r>
    </w:p>
    <w:bookmarkEnd w:id="108"/>
    <w:bookmarkStart w:id="109" w:name="soru-cevap-a-17"/>
    <w:p>
      <w:pPr>
        <w:pStyle w:val="Heading4"/>
      </w:pPr>
      <w:r>
        <w:t xml:space="preserve">88. soru — Cevap: A</w:t>
      </w:r>
    </w:p>
    <w:p>
      <w:pPr>
        <w:pStyle w:val="FirstParagraph"/>
      </w:pPr>
      <w:r>
        <w:rPr>
          <w:iCs/>
          <w:i/>
        </w:rPr>
        <w:t xml:space="preserve">TARİFE · Tarife – fasıl/pozisyon kapsamı · O4</w:t>
      </w:r>
    </w:p>
    <w:p>
      <w:pPr>
        <w:pStyle w:val="BodyText"/>
      </w:pPr>
      <w:r>
        <w:rPr>
          <w:bCs/>
          <w:b/>
        </w:rPr>
        <w:t xml:space="preserve">Doğru şık:</w:t>
      </w:r>
      <w:r>
        <w:t xml:space="preserve"> </w:t>
      </w:r>
      <w:r>
        <w:t xml:space="preserve">A) Zemine yerleştirilmek üzere tasarlanmış boy aynası</w:t>
      </w:r>
    </w:p>
    <w:p>
      <w:pPr>
        <w:numPr>
          <w:ilvl w:val="0"/>
          <w:numId w:val="1007"/>
        </w:numPr>
        <w:pStyle w:val="Compact"/>
      </w:pPr>
      <w:r>
        <w:t xml:space="preserve">Fasıl 1(b) notu zemin veya döşeme üzerine yerleştirilmek üzere tasarlanmış aynaları (boy aynası gibi) bu fasıl dışında bırakır; bunlar 70.09 pozisyonunda cam ayna olarak sınıflandırılır. Mekanik tertibatlı hasta karyolası 94.02, yaylı şilte 94.04, prefabrik yapı 94.06 pozisyonundadır; kitap dolapları ise 2(a) notu gereği duvara tutturularak kullanılsalar dahi 94.03’te kalır.</w:t>
      </w:r>
    </w:p>
    <w:p>
      <w:pPr>
        <w:pStyle w:val="FirstParagraph"/>
      </w:pPr>
      <w:r>
        <w:rPr>
          <w:bCs/>
          <w:b/>
        </w:rPr>
        <w:t xml:space="preserve">Tuzak:</w:t>
      </w:r>
      <w:r>
        <w:t xml:space="preserve"> </w:t>
      </w:r>
      <w:r>
        <w:t xml:space="preserve">Boy aynasını mobilya, duvara asılan kitap dolabını ise mobilya dışı sayan aday 94. Fasıl 1 ve 2 numaralı notlarını tersine uygular.</w:t>
      </w:r>
    </w:p>
    <w:p>
      <w:pPr>
        <w:pStyle w:val="BodyText"/>
      </w:pPr>
      <w:r>
        <w:rPr>
          <w:bCs/>
          <w:b/>
        </w:rPr>
        <w:t xml:space="preserve">Dayanak:</w:t>
      </w:r>
      <w:r>
        <w:t xml:space="preserve"> </w:t>
      </w:r>
      <w:r>
        <w:t xml:space="preserve">94. Fasıl Not 1(b), Not 2(a), Not 4; 94.02, 94.03, 94.04, 94.06 pozisyon metinleri; 70.09 pozisyon metni. Hasta karyolası → 94.02; duvar tipi kitap dolabı → 94.03; yaylı şilte → 94.04; prefabrik bina → 94.06; boy aynası → 70.09.</w:t>
      </w:r>
    </w:p>
    <w:bookmarkEnd w:id="109"/>
    <w:bookmarkStart w:id="110" w:name="soru-cevap-e-19"/>
    <w:p>
      <w:pPr>
        <w:pStyle w:val="Heading4"/>
      </w:pPr>
      <w:r>
        <w:t xml:space="preserve">89. soru — Cevap: E</w:t>
      </w:r>
    </w:p>
    <w:p>
      <w:pPr>
        <w:pStyle w:val="FirstParagraph"/>
      </w:pPr>
      <w:r>
        <w:rPr>
          <w:iCs/>
          <w:i/>
        </w:rPr>
        <w:t xml:space="preserve">TARİFE · Tarife – fasıl/pozisyon kapsamı · O4</w:t>
      </w:r>
    </w:p>
    <w:p>
      <w:pPr>
        <w:pStyle w:val="BodyText"/>
      </w:pPr>
      <w:r>
        <w:rPr>
          <w:bCs/>
          <w:b/>
        </w:rPr>
        <w:t xml:space="preserve">Doğru şık:</w:t>
      </w:r>
      <w:r>
        <w:t xml:space="preserve"> </w:t>
      </w:r>
      <w:r>
        <w:t xml:space="preserve">E) İtibari kıymetinin tanınacağı ülkede tedavüle çıkacak olan kullanılmamış posta pulu</w:t>
      </w:r>
    </w:p>
    <w:p>
      <w:pPr>
        <w:numPr>
          <w:ilvl w:val="0"/>
          <w:numId w:val="1008"/>
        </w:numPr>
        <w:pStyle w:val="Compact"/>
      </w:pPr>
      <w:r>
        <w:t xml:space="preserve">Fasıl 1(a) notuna göre 49.07 pozisyonundaki kullanılmamış posta, damga ve harç pulları bu fasla dahil değildir; itibari kıymetinin tanındığı veya tanınacağı ülkede tedavülde bulunan ya da tedavüle çıkacak kullanılmamış pullar 49.07’de sınıflandırılır. Pullu ve ilk gün damgalı zarflar 97.04, orijinal litograflar 97.02, paleontolojik koleksiyonlar 97.05, eskiliği 100 yılı aşan antika saatler ise 97.06 pozisyonunda yer alır.</w:t>
      </w:r>
    </w:p>
    <w:p>
      <w:pPr>
        <w:pStyle w:val="FirstParagraph"/>
      </w:pPr>
      <w:r>
        <w:rPr>
          <w:bCs/>
          <w:b/>
        </w:rPr>
        <w:t xml:space="preserve">Tuzak:</w:t>
      </w:r>
      <w:r>
        <w:t xml:space="preserve"> </w:t>
      </w:r>
      <w:r>
        <w:t xml:space="preserve">Her türlü posta pulunu koleksiyon eşyası sayan aday, tedavüldeki kullanılmamış pulların kıymetli evrak olarak 49.07’ye ayrıldığını gözden kaçırır.</w:t>
      </w:r>
    </w:p>
    <w:p>
      <w:pPr>
        <w:pStyle w:val="BodyText"/>
      </w:pPr>
      <w:r>
        <w:rPr>
          <w:bCs/>
          <w:b/>
        </w:rPr>
        <w:t xml:space="preserve">Dayanak:</w:t>
      </w:r>
      <w:r>
        <w:t xml:space="preserve"> </w:t>
      </w:r>
      <w:r>
        <w:t xml:space="preserve">97. Fasıl Not 1(a) ve Not 3; 97.04 pozisyon metni, Açıklama Notu (D) ve hariçler (b); 97.05 pozisyonu; 97.06 Açıklama Notu (12); 49.07 pozisyon metni. Fosil koleksiyonu → 97.05; tedavüle çıkacak kullanılmamış pul → 49.07; ilk gün zarfı → 97.04; antika duvar saati → 97.06; orijinal litograf → 97.02.</w:t>
      </w:r>
    </w:p>
    <w:bookmarkEnd w:id="110"/>
    <w:bookmarkStart w:id="111" w:name="soru-cevap-d-16"/>
    <w:p>
      <w:pPr>
        <w:pStyle w:val="Heading4"/>
      </w:pPr>
      <w:r>
        <w:t xml:space="preserve">90. soru — Cevap: D</w:t>
      </w:r>
    </w:p>
    <w:p>
      <w:pPr>
        <w:pStyle w:val="FirstParagraph"/>
      </w:pPr>
      <w:r>
        <w:rPr>
          <w:iCs/>
          <w:i/>
        </w:rPr>
        <w:t xml:space="preserve">HESAP · Hesap · H3</w:t>
      </w:r>
    </w:p>
    <w:p>
      <w:pPr>
        <w:pStyle w:val="BodyText"/>
      </w:pPr>
      <w:r>
        <w:rPr>
          <w:bCs/>
          <w:b/>
        </w:rPr>
        <w:t xml:space="preserve">Doğru şık:</w:t>
      </w:r>
      <w:r>
        <w:t xml:space="preserve"> </w:t>
      </w:r>
      <w:r>
        <w:t xml:space="preserve">D) 840.000</w:t>
      </w:r>
    </w:p>
    <w:p>
      <w:pPr>
        <w:pStyle w:val="BodyText"/>
      </w:pPr>
      <w:r>
        <w:t xml:space="preserve">Çözüm: (III) sayılı listenin (A) cetvelindeki mallarda, asgari maktu vergi tutarına göre hesaplanacak vergiden az olmamak üzere yalnızca nispi vergi uygulanır; 2203.00 G.T.İ.P. numaralı birada asgari maktu vergi bir litredeki her bir alkol derecesi itibarıyla uygulanır. GV = 100.000 | ÖTV matrahı = 500.000 + 100.000 = 600.000 | Nispi vergi = 600.000 × %60 = 360.000 | Asgari maktu = 20.000 lt × 5 derece × 6 TL = 600.000 → ÖTV = 600.000 (büyük olan) | KDV matrahı = 600.000 + 600.000 = 1.200.000 → KDV = 240.000 | ÖTV + KDV = 840.000. Şık türetimleri: 840.000 → doğru tutar. 552.000 → asgari maktu ile karşılaştırma yapılmadan nispi vergi alınmış (360.000 + 192.000); asgari maktunun yalnız litre başına (120.000) ya da saf alkol litresi başına (6.000) hesaplanması da aynı sonuca götürür. 720.000 → ÖTV, KDV matrahına eklenmemiş (600.000 + 120.000). 820.000 → GV, KDV matrahına eklenmemiş (600.000 + 1.100.000 × %20). 1.272.000 → nispi vergi ile asgari maktu vergi toplanmış (ÖTV 960.000 + KDV 312.000).</w:t>
      </w:r>
    </w:p>
    <w:p>
      <w:pPr>
        <w:pStyle w:val="BodyText"/>
      </w:pPr>
      <w:r>
        <w:rPr>
          <w:bCs/>
          <w:b/>
        </w:rPr>
        <w:t xml:space="preserve">Tuzak:</w:t>
      </w:r>
      <w:r>
        <w:t xml:space="preserve"> </w:t>
      </w:r>
      <w:r>
        <w:t xml:space="preserve">Biranın asgari maktu vergisini alkol derecesiyle çarpmayan aday nispi vergiyi seçip 552.000’e, iki vergiyi toplayan aday 1.272.000’e kayar.</w:t>
      </w:r>
    </w:p>
    <w:p>
      <w:pPr>
        <w:pStyle w:val="BodyText"/>
      </w:pPr>
      <w:r>
        <w:rPr>
          <w:bCs/>
          <w:b/>
        </w:rPr>
        <w:t xml:space="preserve">Dayanak:</w:t>
      </w:r>
      <w:r>
        <w:t xml:space="preserve"> </w:t>
      </w:r>
      <w:r>
        <w:t xml:space="preserve">4760 sayılı ÖTV Kanunu md. 11/2-(a), 11/3, 11/5 ve md. 12; 3065 sayılı KDV Kanunu md. 21</w:t>
      </w:r>
    </w:p>
    <w:bookmarkEnd w:id="111"/>
    <w:bookmarkStart w:id="112" w:name="soru-cevap-c-17"/>
    <w:p>
      <w:pPr>
        <w:pStyle w:val="Heading4"/>
      </w:pPr>
      <w:r>
        <w:t xml:space="preserve">91. soru — Cevap: C</w:t>
      </w:r>
    </w:p>
    <w:p>
      <w:pPr>
        <w:pStyle w:val="FirstParagraph"/>
      </w:pPr>
      <w:r>
        <w:rPr>
          <w:iCs/>
          <w:i/>
        </w:rPr>
        <w:t xml:space="preserve">HESAP · Hesap · H3</w:t>
      </w:r>
    </w:p>
    <w:p>
      <w:pPr>
        <w:pStyle w:val="BodyText"/>
      </w:pPr>
      <w:r>
        <w:rPr>
          <w:bCs/>
          <w:b/>
        </w:rPr>
        <w:t xml:space="preserve">Doğru şık:</w:t>
      </w:r>
      <w:r>
        <w:t xml:space="preserve"> </w:t>
      </w:r>
      <w:r>
        <w:t xml:space="preserve">C) 2.256.000</w:t>
      </w:r>
    </w:p>
    <w:p>
      <w:pPr>
        <w:pStyle w:val="BodyText"/>
      </w:pPr>
      <w:r>
        <w:t xml:space="preserve">Çözüm: Kıymet, beyannamenin tescil tarihindeki kurla TL’ye çevrilir: 50.000 × 40 = 2.000.000 TL (peşin ödeme günündeki 38 TL kuru kullanılmaz) | GV = 2.000.000 × %8 = 160.000 | KKDF peşin ödemeden alınmaz; mal mukabili kısım üzerinden: 40.000 × 40 × %6 = 96.000 | KDV matrahı = 2.000.000 + 160.000 + 96.000 = 2.256.000 (KKDF ithalat sırasında ödenen mali yük olarak matraha girer). Tescilden sonraki döneme ait ardiye KDV matrahına girmez. Mevzuatta fon kesintisi, kesintinin yatırıldığı tarihteki gösterge niteliğindeki TCMB döviz alış kuru esas alınarak hesaplanır; bu soruda kökteki varsayım gereği tescil tarihindeki kur kullanılmıştır. Şık türetimleri: 2.256.000 → doğru tutar. 2.160.000 → KKDF matraha eklenmemiş. 2.234.400 → peşin kısım ödeme günündeki kurla çevrilmiş (kıymet 1.980.000, GV 158.400). 2.276.000 → tescil sonrası ardiye (20.000) eklenmiş. 2.280.000 → KKDF bedelin tamamı üzerinden hesaplanmış (50.000 × 40 × %6 = 120.000).</w:t>
      </w:r>
    </w:p>
    <w:p>
      <w:pPr>
        <w:pStyle w:val="BodyText"/>
      </w:pPr>
      <w:r>
        <w:rPr>
          <w:bCs/>
          <w:b/>
        </w:rPr>
        <w:t xml:space="preserve">Tuzak:</w:t>
      </w:r>
      <w:r>
        <w:t xml:space="preserve"> </w:t>
      </w:r>
      <w:r>
        <w:t xml:space="preserve">KKDF’yi peşin ödenen kısım dahil bütün bedelden hesaplayan aday 2.280.000’e, peşin kısmı ödeme günü kuruyla çeviren aday 2.234.400’e kayar.</w:t>
      </w:r>
    </w:p>
    <w:p>
      <w:pPr>
        <w:pStyle w:val="BodyText"/>
      </w:pPr>
      <w:r>
        <w:rPr>
          <w:bCs/>
          <w:b/>
        </w:rPr>
        <w:t xml:space="preserve">Dayanak:</w:t>
      </w:r>
      <w:r>
        <w:t xml:space="preserve"> </w:t>
      </w:r>
      <w:r>
        <w:t xml:space="preserve">88/12944 sayılı Karara ilişkin KKDF 6 sayılı Tebliğ (kabul kredili, vadeli akreditif ve mal mukabili ithalatta %6); 3065 sayılı KDV Kanunu md. 21</w:t>
      </w:r>
    </w:p>
    <w:bookmarkEnd w:id="112"/>
    <w:bookmarkStart w:id="113" w:name="soru-cevap-d-17"/>
    <w:p>
      <w:pPr>
        <w:pStyle w:val="Heading4"/>
      </w:pPr>
      <w:r>
        <w:t xml:space="preserve">92. soru — Cevap: D</w:t>
      </w:r>
    </w:p>
    <w:p>
      <w:pPr>
        <w:pStyle w:val="FirstParagraph"/>
      </w:pPr>
      <w:r>
        <w:rPr>
          <w:iCs/>
          <w:i/>
        </w:rPr>
        <w:t xml:space="preserve">HESAP · Hesap · H3</w:t>
      </w:r>
    </w:p>
    <w:p>
      <w:pPr>
        <w:pStyle w:val="BodyText"/>
      </w:pPr>
      <w:r>
        <w:rPr>
          <w:bCs/>
          <w:b/>
        </w:rPr>
        <w:t xml:space="preserve">Doğru şık:</w:t>
      </w:r>
      <w:r>
        <w:t xml:space="preserve"> </w:t>
      </w:r>
      <w:r>
        <w:t xml:space="preserve">D) 1.940.000</w:t>
      </w:r>
    </w:p>
    <w:p>
      <w:pPr>
        <w:pStyle w:val="BodyText"/>
      </w:pPr>
      <w:r>
        <w:t xml:space="preserve">Çözüm: (II) sayılı listedeki kayıt ve tescile tabi araçlarda vergiyi doğuran olay ilk iktisaptır. Motorlu araç ticareti yapan distribütörün satmak üzere ithali ilk iktisap değildir; ÖTV aracın motorlu araç ticareti yapandan iktisabında doğar. (Z)’nin ithalatı ise Türkiye’de kayıt ve tescil edilmemiş aracın kullanılmak üzere ithali olduğundan ilk iktisaptır ve ÖTV ithalatta alınır. (X): GV 300.000 + KDV (3.300.000 × %20) 660.000 = 960.000 | (Z): GV 100.000 + ÖTV (1.100.000 × %50) 550.000 + KDV (1.650.000 × %20) 330.000 = 980.000 | Toplam = 1.940.000. Şık türetimleri: 1.940.000 → doğru tutar. 1.280.000 → her iki ithalatta da ÖTV doğmadığı sanılmış (960.000 + 320.000). 1.830.000 → (Z)’nin ÖTV’si KDV matrahına eklenmemiş ((Z): 100.000 + 550.000 + 220.000). 1.880.000 → (Z)’nin ÖTV’si yalnız gümrük kıymeti üzerinden hesaplanmış (ÖTV 500.000, KDV 320.000). 3.920.000 → distribütörün ithalatında da ÖTV hesaplanmış (4 × 980.000).</w:t>
      </w:r>
    </w:p>
    <w:p>
      <w:pPr>
        <w:pStyle w:val="BodyText"/>
      </w:pPr>
      <w:r>
        <w:rPr>
          <w:bCs/>
          <w:b/>
        </w:rPr>
        <w:t xml:space="preserve">Tuzak:</w:t>
      </w:r>
      <w:r>
        <w:t xml:space="preserve"> </w:t>
      </w:r>
      <w:r>
        <w:t xml:space="preserve">ÖTV’nin her binek otomobil ithalinde gümrükte alındığını düşünen aday 3.920.000’e, kimin ithal ettiğine bakmadan hiçbirinde ÖTV hesaplamayan aday 1.280.000’e kayar.</w:t>
      </w:r>
    </w:p>
    <w:p>
      <w:pPr>
        <w:pStyle w:val="BodyText"/>
      </w:pPr>
      <w:r>
        <w:rPr>
          <w:bCs/>
          <w:b/>
        </w:rPr>
        <w:t xml:space="preserve">Dayanak:</w:t>
      </w:r>
      <w:r>
        <w:t xml:space="preserve"> </w:t>
      </w:r>
      <w:r>
        <w:t xml:space="preserve">4760 sayılı ÖTV Kanunu md. 1 ve md. 2 (</w:t>
      </w:r>
      <w:r>
        <w:t xml:space="preserve">‘</w:t>
      </w:r>
      <w:r>
        <w:t xml:space="preserve">ilk iktisap</w:t>
      </w:r>
      <w:r>
        <w:t xml:space="preserve">’</w:t>
      </w:r>
      <w:r>
        <w:t xml:space="preserve"> </w:t>
      </w:r>
      <w:r>
        <w:t xml:space="preserve">ve</w:t>
      </w:r>
      <w:r>
        <w:t xml:space="preserve"> </w:t>
      </w:r>
      <w:r>
        <w:t xml:space="preserve">‘</w:t>
      </w:r>
      <w:r>
        <w:t xml:space="preserve">motorlu araç ticareti yapanlar</w:t>
      </w:r>
      <w:r>
        <w:t xml:space="preserve">’</w:t>
      </w:r>
      <w:r>
        <w:t xml:space="preserve"> </w:t>
      </w:r>
      <w:r>
        <w:t xml:space="preserve">tanımları), md. 11/3; 3065 sayılı KDV Kanunu md. 21</w:t>
      </w:r>
    </w:p>
    <w:bookmarkEnd w:id="113"/>
    <w:bookmarkStart w:id="114" w:name="soru-cevap-a-18"/>
    <w:p>
      <w:pPr>
        <w:pStyle w:val="Heading4"/>
      </w:pPr>
      <w:r>
        <w:t xml:space="preserve">93. soru — Cevap: A</w:t>
      </w:r>
    </w:p>
    <w:p>
      <w:pPr>
        <w:pStyle w:val="FirstParagraph"/>
      </w:pPr>
      <w:r>
        <w:rPr>
          <w:iCs/>
          <w:i/>
        </w:rPr>
        <w:t xml:space="preserve">HESAP · Hesap · H4</w:t>
      </w:r>
    </w:p>
    <w:p>
      <w:pPr>
        <w:pStyle w:val="BodyText"/>
      </w:pPr>
      <w:r>
        <w:rPr>
          <w:bCs/>
          <w:b/>
        </w:rPr>
        <w:t xml:space="preserve">Doğru şık:</w:t>
      </w:r>
      <w:r>
        <w:t xml:space="preserve"> </w:t>
      </w:r>
      <w:r>
        <w:t xml:space="preserve">A) 676.000</w:t>
      </w:r>
    </w:p>
    <w:p>
      <w:pPr>
        <w:pStyle w:val="BodyText"/>
      </w:pPr>
      <w:r>
        <w:t xml:space="preserve">Çözüm: Satış şartı olan know-how bedeli gümrük kıymetine eklenir. GK 197/2 uyarınca noksan alınan vergilere ilişkin tebligat, gümrük yükümlülüğünün doğduğu (tescil) tarihten itibaren üç yıl içinde yapılır; 08/04/2026 tarihli tebliğde 14/03/2023 tarihli beyanname zamanaşımına uğramıştır, buna bağlı ceza da vergi zamanaşımına tabidir (GK 231/2). Kalan yıllar: 8.000 × 30 + 6.000 × 35 + 5.000 × 40 = 240.000 + 210.000 + 200.000 = 650.000 TL | GV = 65.000 | KDV = 715.000 × %20 = 143.000 | Vergiler = 208.000 | Ceza = 208.000 × 3 = 624.000; peşin ödemede 1/4 indirim → 468.000 | Toplam tahsilat = 208.000 + 468.000 = 676.000. Şık türetimleri: 676.000 → doğru tutar. 780.000 → indirim ceza yerine vergilere uygulanmış (156.000 + 624.000). 832.000 → peşin ödeme indirimi uygulanmamış (208.000 × 4). 884.000 → zamanaşımına uğrayan 2023 beyannamesi dahil edilmiş, indirim uygulanmış (vergiler 272.000 + ceza 612.000). 1.088.000 → 2023 dahil, indirimsiz (272.000 × 4).</w:t>
      </w:r>
    </w:p>
    <w:p>
      <w:pPr>
        <w:pStyle w:val="BodyText"/>
      </w:pPr>
      <w:r>
        <w:rPr>
          <w:bCs/>
          <w:b/>
        </w:rPr>
        <w:t xml:space="preserve">Tuzak:</w:t>
      </w:r>
      <w:r>
        <w:t xml:space="preserve"> </w:t>
      </w:r>
      <w:r>
        <w:t xml:space="preserve">Zamanaşımını kontrol tarihine değil yalnız yıl farkına göre değerlendirip 14/03/2023 beyannamesini de tahakkuka katan aday 884.000’e kayar.</w:t>
      </w:r>
    </w:p>
    <w:p>
      <w:pPr>
        <w:pStyle w:val="BodyText"/>
      </w:pPr>
      <w:r>
        <w:rPr>
          <w:bCs/>
          <w:b/>
        </w:rPr>
        <w:t xml:space="preserve">Dayanak:</w:t>
      </w:r>
      <w:r>
        <w:t xml:space="preserve"> </w:t>
      </w:r>
      <w:r>
        <w:t xml:space="preserve">4458 sayılı Gümrük Kanunu md. 197/2, 231/2, 234/1-(b); 5326 sayılı Kabahatler Kanunu md. 17/6 (peşin ödeme indirimi; oran soruda verildi)</w:t>
      </w:r>
    </w:p>
    <w:bookmarkEnd w:id="114"/>
    <w:bookmarkStart w:id="115" w:name="soru-cevap-b-18"/>
    <w:p>
      <w:pPr>
        <w:pStyle w:val="Heading4"/>
      </w:pPr>
      <w:r>
        <w:t xml:space="preserve">94. soru — Cevap: B</w:t>
      </w:r>
    </w:p>
    <w:p>
      <w:pPr>
        <w:pStyle w:val="FirstParagraph"/>
      </w:pPr>
      <w:r>
        <w:rPr>
          <w:iCs/>
          <w:i/>
        </w:rPr>
        <w:t xml:space="preserve">HESAP · Hesap · H5</w:t>
      </w:r>
    </w:p>
    <w:p>
      <w:pPr>
        <w:pStyle w:val="BodyText"/>
      </w:pPr>
      <w:r>
        <w:rPr>
          <w:bCs/>
          <w:b/>
        </w:rPr>
        <w:t xml:space="preserve">Doğru şık:</w:t>
      </w:r>
      <w:r>
        <w:t xml:space="preserve"> </w:t>
      </w:r>
      <w:r>
        <w:t xml:space="preserve">B) 36.000</w:t>
      </w:r>
    </w:p>
    <w:p>
      <w:pPr>
        <w:pStyle w:val="BodyText"/>
      </w:pPr>
      <w:r>
        <w:t xml:space="preserve">Çözüm: İşlem bedeli (35 ABD Doları) ilişki fiyatı etkilediği için reddedilmiştir. Emsal ithalat aynı ticari düzeyde (toptan) ama farklı miktarda (300 adet) yapılmıştır; miktar farkı satıcının geçerli fiyat listesi ile düzeltilir. 900 adetlik ithalat, toptan satış listesinin</w:t>
      </w:r>
      <w:r>
        <w:t xml:space="preserve"> </w:t>
      </w:r>
      <w:r>
        <w:t xml:space="preserve">‘</w:t>
      </w:r>
      <w:r>
        <w:t xml:space="preserve">801 adet ve üzeri</w:t>
      </w:r>
      <w:r>
        <w:t xml:space="preserve">’</w:t>
      </w:r>
      <w:r>
        <w:t xml:space="preserve"> </w:t>
      </w:r>
      <w:r>
        <w:t xml:space="preserve">kademesine girer: 40 ABD Doları. Perakende düzeyindeki fiyat ticari düzey farklı olduğu için kullanılmaz. Kıymet = 900 × 40 = 36.000 ABD Doları.</w:t>
      </w:r>
      <w:r>
        <w:t xml:space="preserve"> </w:t>
      </w:r>
      <w:r>
        <w:t xml:space="preserve">Şık türetimleri: 31.500 → reddedilen işlem bedeli kullanılmış (900 × 35) · 36.000 → doğru · 40.500 → miktar düzeltmesinde komşu kademe (401-800 adet) uygulanmış (900 × 45) · 45.000 → emsal birim kıymet düzeltme yapılmadan uygulanmış (900 × 50) · 49.500 → perakende düzeyindeki fiyat esas alınmış (900 × 55).</w:t>
      </w:r>
    </w:p>
    <w:p>
      <w:pPr>
        <w:pStyle w:val="BodyText"/>
      </w:pPr>
      <w:r>
        <w:rPr>
          <w:bCs/>
          <w:b/>
        </w:rPr>
        <w:t xml:space="preserve">Tuzak:</w:t>
      </w:r>
      <w:r>
        <w:t xml:space="preserve"> </w:t>
      </w:r>
      <w:r>
        <w:t xml:space="preserve">Emsal ithalatın kabul edilmiş birim kıymetini miktar düzeltmesi yapmadan uygulayan aday 45.000’e kayar.</w:t>
      </w:r>
    </w:p>
    <w:p>
      <w:pPr>
        <w:pStyle w:val="BodyText"/>
      </w:pPr>
      <w:r>
        <w:rPr>
          <w:bCs/>
          <w:b/>
        </w:rPr>
        <w:t xml:space="preserve">Dayanak:</w:t>
      </w:r>
      <w:r>
        <w:t xml:space="preserve"> </w:t>
      </w:r>
      <w:r>
        <w:t xml:space="preserve">4458 sayılı Gümrük Kanunu md. 25 (aynı eşyanın satış bedeli; aynı ticari düzey ve miktar, fiyat listesine dayalı düzeltme)</w:t>
      </w:r>
    </w:p>
    <w:bookmarkEnd w:id="115"/>
    <w:bookmarkStart w:id="116" w:name="soru-cevap-d-18"/>
    <w:p>
      <w:pPr>
        <w:pStyle w:val="Heading4"/>
      </w:pPr>
      <w:r>
        <w:t xml:space="preserve">95. soru — Cevap: D</w:t>
      </w:r>
    </w:p>
    <w:p>
      <w:pPr>
        <w:pStyle w:val="FirstParagraph"/>
      </w:pPr>
      <w:r>
        <w:rPr>
          <w:iCs/>
          <w:i/>
        </w:rPr>
        <w:t xml:space="preserve">HESAP · Hesap · H6</w:t>
      </w:r>
    </w:p>
    <w:p>
      <w:pPr>
        <w:pStyle w:val="BodyText"/>
      </w:pPr>
      <w:r>
        <w:rPr>
          <w:bCs/>
          <w:b/>
        </w:rPr>
        <w:t xml:space="preserve">Doğru şık:</w:t>
      </w:r>
      <w:r>
        <w:t xml:space="preserve"> </w:t>
      </w:r>
      <w:r>
        <w:t xml:space="preserve">D) 145.000</w:t>
      </w:r>
    </w:p>
    <w:p>
      <w:pPr>
        <w:pStyle w:val="BodyText"/>
      </w:pPr>
      <w:r>
        <w:t xml:space="preserve">Çözüm: Satıcıya fiilen ödenen 500 × 18 = 9.000 ABD Doları ve taşıyıcıya ödenen 1.500 ABD Doları → 105.000 TL (fiili CIF birim kıymet 21 ABD Doları olduğundan eşya gözetime tabidir). Vergiler, firmanın gözetim değerinden beyan ettiği ve kabul edilen 12.500 ABD Doları (125.000 TL) üzerinden hesaplanır: GV = 125.000 × %10 = 12.500; KDV matrahı = 125.000 + 12.500 = 137.500, KDV = 27.500. Toplam ödeme = 105.000 + 12.500 + 27.500 = 145.000 TL.</w:t>
      </w:r>
      <w:r>
        <w:t xml:space="preserve"> </w:t>
      </w:r>
      <w:r>
        <w:t xml:space="preserve">Şık türetimleri: 130.000 → taşıyıcıya ödenen navlun ve sigorta (15.000) toplama katılmamış · 138.600 → vergiler gözetim değeri yerine fiili CIF değer (105.000) üzerinden hesaplanmış (GV 10.500, KDV 23.100) · 142.500 → GV, KDV matrahına eklenmemiş (KDV 25.000) · 145.000 → doğru · 165.000 → satıcı ve taşıyıcıya beyan edilen 125.000 TL ödendiği sanılmış.</w:t>
      </w:r>
    </w:p>
    <w:p>
      <w:pPr>
        <w:pStyle w:val="BodyText"/>
      </w:pPr>
      <w:r>
        <w:rPr>
          <w:bCs/>
          <w:b/>
        </w:rPr>
        <w:t xml:space="preserve">Tuzak:</w:t>
      </w:r>
      <w:r>
        <w:t xml:space="preserve"> </w:t>
      </w:r>
      <w:r>
        <w:t xml:space="preserve">Beyan edilen gözetim değerini satıcıya ödenen bedel sanan aday 165.000’e, vergileri fiili CIF değer üzerinden hesaplayan aday 138.600’e, GV’yi KDV matrahına katmayan aday 142.500’e kayar.</w:t>
      </w:r>
    </w:p>
    <w:p>
      <w:pPr>
        <w:pStyle w:val="BodyText"/>
      </w:pPr>
      <w:r>
        <w:rPr>
          <w:bCs/>
          <w:b/>
        </w:rPr>
        <w:t xml:space="preserve">Dayanak:</w:t>
      </w:r>
      <w:r>
        <w:t xml:space="preserve"> </w:t>
      </w:r>
      <w:r>
        <w:t xml:space="preserve">İthalatta Gözetim Uygulaması Hakkında Karar (2004/7304) ve gözetim tebliğleri; 3065 sayılı KDV Kanunu md. 21; 4458 sayılı Gümrük Kanunu md. 24</w:t>
      </w:r>
    </w:p>
    <w:bookmarkEnd w:id="116"/>
    <w:bookmarkStart w:id="117" w:name="soru-cevap-b-19"/>
    <w:p>
      <w:pPr>
        <w:pStyle w:val="Heading4"/>
      </w:pPr>
      <w:r>
        <w:t xml:space="preserve">96. soru — Cevap: B</w:t>
      </w:r>
    </w:p>
    <w:p>
      <w:pPr>
        <w:pStyle w:val="FirstParagraph"/>
      </w:pPr>
      <w:r>
        <w:rPr>
          <w:iCs/>
          <w:i/>
        </w:rPr>
        <w:t xml:space="preserve">HESAP · Hesap · H6</w:t>
      </w:r>
    </w:p>
    <w:p>
      <w:pPr>
        <w:pStyle w:val="BodyText"/>
      </w:pPr>
      <w:r>
        <w:rPr>
          <w:bCs/>
          <w:b/>
        </w:rPr>
        <w:t xml:space="preserve">Doğru şık:</w:t>
      </w:r>
      <w:r>
        <w:t xml:space="preserve"> </w:t>
      </w:r>
      <w:r>
        <w:t xml:space="preserve">B) 123.400</w:t>
      </w:r>
    </w:p>
    <w:p>
      <w:pPr>
        <w:pStyle w:val="BodyText"/>
      </w:pPr>
      <w:r>
        <w:t xml:space="preserve">Çözüm: CIF fiyat 10.000 × 12 = 120.000 (dahil) · alıcıyı temsil eden satın alma acentesinin komisyonu 3.600 (hariç; satın alma komisyonu) · satıcı adına çalışan acenteye alıcının ödediği komisyon 2.400 (dahil; satış komisyonu) · simsarlık ücreti 1.000 (dahil; satın alma komisyonu dışındaki komisyon ve simsarlık ücretleri eklenir) · satıcının kendi personeline ödediği ve fiyata dahil prim (fiyatta zaten var; ayrıca eklenmez) · alıcının Türkiye’deki bayilerine ödediği prim 2.500 (hariç; ithal eşyasının satın alınmasıyla ilgili değil). Kıymet = 123.400 Avro.</w:t>
      </w:r>
      <w:r>
        <w:t xml:space="preserve"> </w:t>
      </w:r>
      <w:r>
        <w:t xml:space="preserve">Şık türetimleri: 122.400 → simsarlık ücreti eklenmemiş · 123.400 → doğru · 125.200 → fiyata dahil olan satıcı primi yeniden eklenmiş · 125.900 → Türkiye’deki bayi primi eklenmiş · 127.000 → satın alma acentesi komisyonu eklenmiş.</w:t>
      </w:r>
    </w:p>
    <w:p>
      <w:pPr>
        <w:pStyle w:val="BodyText"/>
      </w:pPr>
      <w:r>
        <w:rPr>
          <w:bCs/>
          <w:b/>
        </w:rPr>
        <w:t xml:space="preserve">Tuzak:</w:t>
      </w:r>
      <w:r>
        <w:t xml:space="preserve"> </w:t>
      </w:r>
      <w:r>
        <w:t xml:space="preserve">Komisyoncunun kimi temsil ettiğine bakmadan bütün komisyonları ekleyen aday 127.000’e, simsarlık ücretini alım komisyonu gibi dışarıda bırakan aday 122.400’e kayar.</w:t>
      </w:r>
    </w:p>
    <w:p>
      <w:pPr>
        <w:pStyle w:val="BodyText"/>
      </w:pPr>
      <w:r>
        <w:rPr>
          <w:bCs/>
          <w:b/>
        </w:rPr>
        <w:t xml:space="preserve">Dayanak:</w:t>
      </w:r>
      <w:r>
        <w:t xml:space="preserve"> </w:t>
      </w:r>
      <w:r>
        <w:t xml:space="preserve">4458 sayılı Gümrük Kanunu md. 27/1-a-1 (satın alma komisyonu hariç komisyon ve simsarlık ücretleri), md. 28 (satın alma komisyonu)</w:t>
      </w:r>
    </w:p>
    <w:bookmarkEnd w:id="117"/>
    <w:bookmarkStart w:id="118" w:name="soru-cevap-c-18"/>
    <w:p>
      <w:pPr>
        <w:pStyle w:val="Heading4"/>
      </w:pPr>
      <w:r>
        <w:t xml:space="preserve">97. soru — Cevap: C</w:t>
      </w:r>
    </w:p>
    <w:p>
      <w:pPr>
        <w:pStyle w:val="FirstParagraph"/>
      </w:pPr>
      <w:r>
        <w:rPr>
          <w:iCs/>
          <w:i/>
        </w:rPr>
        <w:t xml:space="preserve">HESAP · Hesap · H1</w:t>
      </w:r>
    </w:p>
    <w:p>
      <w:pPr>
        <w:pStyle w:val="BodyText"/>
      </w:pPr>
      <w:r>
        <w:rPr>
          <w:bCs/>
          <w:b/>
        </w:rPr>
        <w:t xml:space="preserve">Doğru şık:</w:t>
      </w:r>
      <w:r>
        <w:t xml:space="preserve"> </w:t>
      </w:r>
      <w:r>
        <w:t xml:space="preserve">C) 1.985.000</w:t>
      </w:r>
    </w:p>
    <w:p>
      <w:pPr>
        <w:pStyle w:val="BodyText"/>
      </w:pPr>
      <w:r>
        <w:t xml:space="preserve">Çözüm (ABD Doları): FCA fiyatı 2.000 × 90 = 180.000 (dahil) · Ambarlı’ya kadar navlun ve sigorta 7.000 (dahil) · Almanya’da hazırlatılıp bedelsiz verilen tasarım 9.000 (dahil; Türkiye dışında yapılan mühendislik, tasarım, plan ve kroki) · üretimde tüketilen ve bedelsiz sağlanan vernikler 2.500 (dahil; üretimde tüketilen malzeme) · Türkiye’de geliştirilen yazılım 6.000 (hariç; Türkiye’de yapılan geliştirme eklenmez) · yazılı anlaşmaya dayanan, piyasa oranında ve ayrıca gösterilen finansman faizi 3.000 (hariç) · akreditif teyit komisyonu 1.200 (hariç; alıcının bankasına ödediği finansman/transfer gideri) · ithalat sonrası teknik yardım 4.000 (hariç; ayrıca gösterilmiş) · Bursa nakliyesi (hariç). Kıymet = 198.500 ABD Doları × 10 = 1.985.000 TL.</w:t>
      </w:r>
      <w:r>
        <w:t xml:space="preserve"> </w:t>
      </w:r>
      <w:r>
        <w:t xml:space="preserve">Şık türetimleri: 1.895.000 → Almanya’da hazırlatılıp bedelsiz verilen tasarım eklenmemiş (189.500 × 10) · 1.960.000 → üretimde tüketilen ve bedelsiz sağlanan vernikler, eşyanın bünyesine girmediği düşünülerek eklenmemiş (196.000 × 10) · 1.985.000 → doğru · 2.015.000 → finansman faizi eklenmiş · 2.045.000 → Türkiye’de geliştirilip bedelsiz verilen yazılım assist sayılarak eklenmiş.</w:t>
      </w:r>
    </w:p>
    <w:p>
      <w:pPr>
        <w:pStyle w:val="BodyText"/>
      </w:pPr>
      <w:r>
        <w:rPr>
          <w:bCs/>
          <w:b/>
        </w:rPr>
        <w:t xml:space="preserve">Tuzak:</w:t>
      </w:r>
      <w:r>
        <w:t xml:space="preserve"> </w:t>
      </w:r>
      <w:r>
        <w:t xml:space="preserve">Üretimde tüketilen malzemeyi eşyanın bünyesine girmediği için assist saymayan aday 1.960.000’e, bedelsiz sağlanan her unsuru assist sayıp Türkiye’de geliştirilen yazılımı da ekleyen aday 2.045.000’e, alıcının bankasına ödediği finansman faizini fiyatın parçası sanan aday 2.015.000’e kayar.</w:t>
      </w:r>
    </w:p>
    <w:p>
      <w:pPr>
        <w:pStyle w:val="BodyText"/>
      </w:pPr>
      <w:r>
        <w:rPr>
          <w:bCs/>
          <w:b/>
        </w:rPr>
        <w:t xml:space="preserve">Dayanak:</w:t>
      </w:r>
      <w:r>
        <w:t xml:space="preserve"> </w:t>
      </w:r>
      <w:r>
        <w:t xml:space="preserve">4458 sayılı Gümrük Kanunu md. 27/1-b (bünyeye giren malzeme, üretimde tüketilen malzeme, Türkiye dışında yapılan tasarım), md. 27/1-e, md. 28 (faiz, ithalat sonrası teknik yardım)</w:t>
      </w:r>
    </w:p>
    <w:bookmarkEnd w:id="118"/>
    <w:bookmarkStart w:id="119" w:name="soru-cevap-c-19"/>
    <w:p>
      <w:pPr>
        <w:pStyle w:val="Heading4"/>
      </w:pPr>
      <w:r>
        <w:t xml:space="preserve">98. soru — Cevap: C</w:t>
      </w:r>
    </w:p>
    <w:p>
      <w:pPr>
        <w:pStyle w:val="FirstParagraph"/>
      </w:pPr>
      <w:r>
        <w:rPr>
          <w:iCs/>
          <w:i/>
        </w:rPr>
        <w:t xml:space="preserve">HESAP · Hesap · H1</w:t>
      </w:r>
    </w:p>
    <w:p>
      <w:pPr>
        <w:pStyle w:val="BodyText"/>
      </w:pPr>
      <w:r>
        <w:rPr>
          <w:bCs/>
          <w:b/>
        </w:rPr>
        <w:t xml:space="preserve">Doğru şık:</w:t>
      </w:r>
      <w:r>
        <w:t xml:space="preserve"> </w:t>
      </w:r>
      <w:r>
        <w:t xml:space="preserve">C) 12.380.000</w:t>
      </w:r>
    </w:p>
    <w:p>
      <w:pPr>
        <w:pStyle w:val="BodyText"/>
      </w:pPr>
      <w:r>
        <w:t xml:space="preserve">Çözüm: CIF Mersin fiyatı 50 × 6.000 = 300.000 Avro (dahil) · satış sözleşmesine göre satıcının sağladığı garanti için satıcıya ödenen 6.000 Avro (dahil; fiilen ödenen fiyatın parçası) → 306.000 Avro × 40 = 12.240.000 TL · satış şartı olarak ödenen patent ücreti 4.000 ABD Doları × 35 = 140.000 TL (dahil; royalti ve lisans ücreti; her döviz kendi tescil tarihi kuruyla çevrilir) · ithalat sonrası bakım (hariç; ayrıca gösterilmiş) · tahliye, memur yolluğu, ardiye, tahlil ve Kayseri nakliyesi (hariç; giriş yerinden sonraki giderler). Kıymet = 12.380.000 TL.</w:t>
      </w:r>
      <w:r>
        <w:t xml:space="preserve"> </w:t>
      </w:r>
      <w:r>
        <w:t xml:space="preserve">Şık türetimleri: 12.140.000 → satıcının sağladığı garanti için satıcıya ödenen 6.000 Avro, ithalat sonrası hizmet sanılarak eklenmemiş (300.000 × 40 + 140.000) · 12.240.000 → satış şartı olarak ödenen patent ücreti eklenmemiş (306.000 × 40) · 12.380.000 → doğru · 12.400.000 → ABD Doları cinsinden patent ücreti Avro kuruyla çevrilmiş (4.000 × 40) · 12.436.000 → tescil öncesi tahliye ücreti kıymete eklenmiş.</w:t>
      </w:r>
    </w:p>
    <w:p>
      <w:pPr>
        <w:pStyle w:val="BodyText"/>
      </w:pPr>
      <w:r>
        <w:rPr>
          <w:bCs/>
          <w:b/>
        </w:rPr>
        <w:t xml:space="preserve">Tuzak:</w:t>
      </w:r>
      <w:r>
        <w:t xml:space="preserve"> </w:t>
      </w:r>
      <w:r>
        <w:t xml:space="preserve">Satıcıya ödenen garanti bedelini ithalat sonrası hizmet sanıp dışarıda bırakan aday 12.140.000’e, tescilden önce Türkiye’de yapılan tahliye giderini kıymete katan aday 12.436.000’e, dövizleri tek kurla çeviren aday 12.400.000’e kayar.</w:t>
      </w:r>
    </w:p>
    <w:p>
      <w:pPr>
        <w:pStyle w:val="BodyText"/>
      </w:pPr>
      <w:r>
        <w:rPr>
          <w:bCs/>
          <w:b/>
        </w:rPr>
        <w:t xml:space="preserve">Dayanak:</w:t>
      </w:r>
      <w:r>
        <w:t xml:space="preserve"> </w:t>
      </w:r>
      <w:r>
        <w:t xml:space="preserve">4458 sayılı Gümrük Kanunu md. 24, 27/1-c, 28; dövizin beyannamenin tescil tarihindeki kurla çevrilmesi kuralı</w:t>
      </w:r>
    </w:p>
    <w:bookmarkEnd w:id="119"/>
    <w:bookmarkStart w:id="120" w:name="soru-cevap-d-19"/>
    <w:p>
      <w:pPr>
        <w:pStyle w:val="Heading4"/>
      </w:pPr>
      <w:r>
        <w:t xml:space="preserve">99. soru — Cevap: D</w:t>
      </w:r>
    </w:p>
    <w:p>
      <w:pPr>
        <w:pStyle w:val="FirstParagraph"/>
      </w:pPr>
      <w:r>
        <w:rPr>
          <w:iCs/>
          <w:i/>
        </w:rPr>
        <w:t xml:space="preserve">HESAP · Hesap · H2</w:t>
      </w:r>
    </w:p>
    <w:p>
      <w:pPr>
        <w:pStyle w:val="BodyText"/>
      </w:pPr>
      <w:r>
        <w:rPr>
          <w:bCs/>
          <w:b/>
        </w:rPr>
        <w:t xml:space="preserve">Doğru şık:</w:t>
      </w:r>
      <w:r>
        <w:t xml:space="preserve"> </w:t>
      </w:r>
      <w:r>
        <w:t xml:space="preserve">D) 12.494.000</w:t>
      </w:r>
    </w:p>
    <w:p>
      <w:pPr>
        <w:pStyle w:val="BodyText"/>
      </w:pPr>
      <w:r>
        <w:t xml:space="preserve">KDV matrahı = gümrük kıymeti 12.380.000 + tescilden önce ödenen tahliye 56.000 + tescilden önce ödenen memur yolluğu 8.000 + tescil öncesine ait ardiye 50.000 = 12.494.000 TL (KDVK md. 21: gümrük beyannamesinin tescil tarihine kadar yapılan diğer giderler). Tescil sonrasına ait ardiye (40.000), tescilden sonra muayene aşamasında ödenen tahlil ücreti (6.000), tescilden sonraki Kayseri nakliyesi (70.000) ve ithalat sonrası bakım matraha girmez.</w:t>
      </w:r>
      <w:r>
        <w:t xml:space="preserve"> </w:t>
      </w:r>
      <w:r>
        <w:t xml:space="preserve">Şık türetimleri: 12.354.000 → birinci sorudaki hata taşınmış: patent ücreti eklenmeden bulunan 12.240.000 TL’lik kıymete (birinci sorunun çeldiricisi) doğru giderler (114.000) eklenmiş · 12.438.000 → tahliye ücreti eklenmemiş · 12.486.000 → memur yolluğu eklenmemiş · 12.494.000 → doğru · 12.534.000 → ardiyenin tescil sonrasına ait 40.000 TL’lik kısmı da eklenmiş.</w:t>
      </w:r>
    </w:p>
    <w:p>
      <w:pPr>
        <w:pStyle w:val="BodyText"/>
      </w:pPr>
      <w:r>
        <w:rPr>
          <w:bCs/>
          <w:b/>
        </w:rPr>
        <w:t xml:space="preserve">Tuzak:</w:t>
      </w:r>
      <w:r>
        <w:t xml:space="preserve"> </w:t>
      </w:r>
      <w:r>
        <w:t xml:space="preserve">Ardiyenin tamamını tescil öncesi gider sayan aday 12.534.000’e, memur yolluğunu kamuya ödenen bir ücret diye matrah dışında bırakan aday 12.486.000’e kayar.</w:t>
      </w:r>
    </w:p>
    <w:p>
      <w:pPr>
        <w:pStyle w:val="BodyText"/>
      </w:pPr>
      <w:r>
        <w:rPr>
          <w:bCs/>
          <w:b/>
        </w:rPr>
        <w:t xml:space="preserve">Dayanak:</w:t>
      </w:r>
      <w:r>
        <w:t xml:space="preserve"> </w:t>
      </w:r>
      <w:r>
        <w:t xml:space="preserve">3065 sayılı KDV Kanunu md. 21</w:t>
      </w:r>
    </w:p>
    <w:bookmarkEnd w:id="120"/>
    <w:bookmarkStart w:id="121" w:name="soru-cevap-a-19"/>
    <w:p>
      <w:pPr>
        <w:pStyle w:val="Heading4"/>
      </w:pPr>
      <w:r>
        <w:t xml:space="preserve">100. soru — Cevap: A</w:t>
      </w:r>
    </w:p>
    <w:p>
      <w:pPr>
        <w:pStyle w:val="FirstParagraph"/>
      </w:pPr>
      <w:r>
        <w:rPr>
          <w:iCs/>
          <w:i/>
        </w:rPr>
        <w:t xml:space="preserve">HESAP · Hesap · H8</w:t>
      </w:r>
    </w:p>
    <w:p>
      <w:pPr>
        <w:pStyle w:val="BodyText"/>
      </w:pPr>
      <w:r>
        <w:rPr>
          <w:bCs/>
          <w:b/>
        </w:rPr>
        <w:t xml:space="preserve">Doğru şık:</w:t>
      </w:r>
      <w:r>
        <w:t xml:space="preserve"> </w:t>
      </w:r>
      <w:r>
        <w:t xml:space="preserve">A) 8.000.000</w:t>
      </w:r>
    </w:p>
    <w:p>
      <w:pPr>
        <w:pStyle w:val="BodyText"/>
      </w:pPr>
      <w:r>
        <w:t xml:space="preserve">Çözüm: Tanklardan oluşan antrepoda götürü teminat, tankların içinde bulunduğu saha alanına (m²) göre değil toplam tank hacmine (m³) göre ve antrepo bazında hesaplanır. Toplam hacim = 2.500 + 3.000 + 1.800 + 4.200 = 11.500 m³ | İlk 2.000 m³ için 3.000.000 TL | Kalan 9.500 m³: 2.000 m³’ün altındaki artışlar 2.000 m³’e tamamlandığından 5 dilim × 1.000.000 = 5.000.000 TL | Toplam 8.000.000 TL (40.000.000 TL üst sınırın altında). Soruda varsayılan tutarlar, kaynakta yer alan güncel GY 527/2 tutarlarıyla aynıdır. 2023/99’un resmî anahtarı (4.000.000 TL) o tarihteki daha düşük tutarlarla hesaplanmıştır; tank antreposunda saha alanı yerine toplam tank hacminin esas alınması ilkesi değişmemiş, 2024/83’te de doğru ifade olarak yer almıştır. Şık türetimleri: 8.000.000 → doğru tutar. 9.000.000 → ilk 2.000 m³ düşülmeden 11.500 m³ için 6 dilim sayılmış. 13.000.000 → hacme alan kademesindeki 1.000’lik dilim uygulanmış (3.000.000 + 10 × 1.000.000). 14.000.000 → saha alanı (12.000 m²) esas alınmış (3.000.000 + 11 × 1.000.000). 16.000.000 → her tank için ayrı teminat hesaplanıp toplanmış (4 + 4 + 3 + 5 milyon TL).</w:t>
      </w:r>
    </w:p>
    <w:p>
      <w:pPr>
        <w:pStyle w:val="BodyText"/>
      </w:pPr>
      <w:r>
        <w:rPr>
          <w:bCs/>
          <w:b/>
        </w:rPr>
        <w:t xml:space="preserve">Tuzak:</w:t>
      </w:r>
      <w:r>
        <w:t xml:space="preserve"> </w:t>
      </w:r>
      <w:r>
        <w:t xml:space="preserve">Soruda verilen saha alanını (12.000 m²) esas alan aday 14.000.000’e, her tank için ayrı teminat hesaplayan aday 16.000.000’e kayar.</w:t>
      </w:r>
    </w:p>
    <w:p>
      <w:pPr>
        <w:pStyle w:val="BodyText"/>
      </w:pPr>
      <w:r>
        <w:rPr>
          <w:bCs/>
          <w:b/>
        </w:rPr>
        <w:t xml:space="preserve">Dayanak:</w:t>
      </w:r>
      <w:r>
        <w:t xml:space="preserve"> </w:t>
      </w:r>
      <w:r>
        <w:t xml:space="preserve">Gümrük Yönetmeliği md. 527/2 (a), (c), (ç) ve 527/8</w:t>
      </w:r>
    </w:p>
    <w:bookmarkEnd w:id="121"/>
    <w:bookmarkEnd w:id="122"/>
    <w:bookmarkEnd w:id="123"/>
    <w:bookmarkEnd w:id="1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88">
    <w:nsid w:val="A994188"/>
    <w:multiLevelType w:val="multilevel"/>
    <w:lvl w:ilvl="0">
      <w:start w:val="88"/>
      <w:numFmt w:val="decimal"/>
      <w:lvlText w:val="%1."/>
      <w:lvlJc w:val="left"/>
      <w:pPr>
        <w:ind w:left="720" w:hanging="480"/>
      </w:pPr>
    </w:lvl>
    <w:lvl w:ilvl="1">
      <w:start w:val="88"/>
      <w:numFmt w:val="decimal"/>
      <w:lvlText w:val="%2."/>
      <w:lvlJc w:val="left"/>
      <w:pPr>
        <w:ind w:left="1440" w:hanging="480"/>
      </w:pPr>
    </w:lvl>
    <w:lvl w:ilvl="2">
      <w:start w:val="88"/>
      <w:numFmt w:val="decimal"/>
      <w:lvlText w:val="%3."/>
      <w:lvlJc w:val="left"/>
      <w:pPr>
        <w:ind w:left="2160" w:hanging="480"/>
      </w:pPr>
    </w:lvl>
    <w:lvl w:ilvl="3">
      <w:start w:val="88"/>
      <w:numFmt w:val="decimal"/>
      <w:lvlText w:val="%4."/>
      <w:lvlJc w:val="left"/>
      <w:pPr>
        <w:ind w:left="2880" w:hanging="480"/>
      </w:pPr>
    </w:lvl>
    <w:lvl w:ilvl="4">
      <w:start w:val="88"/>
      <w:numFmt w:val="decimal"/>
      <w:lvlText w:val="%5."/>
      <w:lvlJc w:val="left"/>
      <w:pPr>
        <w:ind w:left="3600" w:hanging="480"/>
      </w:pPr>
    </w:lvl>
    <w:lvl w:ilvl="5">
      <w:start w:val="88"/>
      <w:numFmt w:val="decimal"/>
      <w:lvlText w:val="%6."/>
      <w:lvlJc w:val="left"/>
      <w:pPr>
        <w:ind w:left="4320" w:hanging="480"/>
      </w:pPr>
    </w:lvl>
    <w:lvl w:ilvl="6">
      <w:start w:val="88"/>
      <w:numFmt w:val="decimal"/>
      <w:lvlText w:val="%7."/>
      <w:lvlJc w:val="left"/>
      <w:pPr>
        <w:ind w:left="5040" w:hanging="480"/>
      </w:pPr>
    </w:lvl>
    <w:lvl w:ilvl="7">
      <w:start w:val="88"/>
      <w:numFmt w:val="decimal"/>
      <w:lvlText w:val="%8."/>
      <w:lvlJc w:val="left"/>
      <w:pPr>
        <w:ind w:left="5760" w:hanging="480"/>
      </w:pPr>
    </w:lvl>
    <w:lvl w:ilvl="8">
      <w:start w:val="88"/>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42">
    <w:nsid w:val="A994142"/>
    <w:multiLevelType w:val="multilevel"/>
    <w:lvl w:ilvl="0">
      <w:start w:val="42"/>
      <w:numFmt w:val="decimal"/>
      <w:lvlText w:val="%1."/>
      <w:lvlJc w:val="left"/>
      <w:pPr>
        <w:ind w:left="720" w:hanging="480"/>
      </w:pPr>
    </w:lvl>
    <w:lvl w:ilvl="1">
      <w:start w:val="42"/>
      <w:numFmt w:val="decimal"/>
      <w:lvlText w:val="%2."/>
      <w:lvlJc w:val="left"/>
      <w:pPr>
        <w:ind w:left="1440" w:hanging="480"/>
      </w:pPr>
    </w:lvl>
    <w:lvl w:ilvl="2">
      <w:start w:val="42"/>
      <w:numFmt w:val="decimal"/>
      <w:lvlText w:val="%3."/>
      <w:lvlJc w:val="left"/>
      <w:pPr>
        <w:ind w:left="2160" w:hanging="480"/>
      </w:pPr>
    </w:lvl>
    <w:lvl w:ilvl="3">
      <w:start w:val="42"/>
      <w:numFmt w:val="decimal"/>
      <w:lvlText w:val="%4."/>
      <w:lvlJc w:val="left"/>
      <w:pPr>
        <w:ind w:left="2880" w:hanging="480"/>
      </w:pPr>
    </w:lvl>
    <w:lvl w:ilvl="4">
      <w:start w:val="42"/>
      <w:numFmt w:val="decimal"/>
      <w:lvlText w:val="%5."/>
      <w:lvlJc w:val="left"/>
      <w:pPr>
        <w:ind w:left="3600" w:hanging="480"/>
      </w:pPr>
    </w:lvl>
    <w:lvl w:ilvl="5">
      <w:start w:val="42"/>
      <w:numFmt w:val="decimal"/>
      <w:lvlText w:val="%6."/>
      <w:lvlJc w:val="left"/>
      <w:pPr>
        <w:ind w:left="4320" w:hanging="480"/>
      </w:pPr>
    </w:lvl>
    <w:lvl w:ilvl="6">
      <w:start w:val="42"/>
      <w:numFmt w:val="decimal"/>
      <w:lvlText w:val="%7."/>
      <w:lvlJc w:val="left"/>
      <w:pPr>
        <w:ind w:left="5040" w:hanging="480"/>
      </w:pPr>
    </w:lvl>
    <w:lvl w:ilvl="7">
      <w:start w:val="42"/>
      <w:numFmt w:val="decimal"/>
      <w:lvlText w:val="%8."/>
      <w:lvlJc w:val="left"/>
      <w:pPr>
        <w:ind w:left="5760" w:hanging="480"/>
      </w:pPr>
    </w:lvl>
    <w:lvl w:ilvl="8">
      <w:start w:val="42"/>
      <w:numFmt w:val="decimal"/>
      <w:lvlText w:val="%9."/>
      <w:lvlJc w:val="left"/>
      <w:pPr>
        <w:ind w:left="6480" w:hanging="480"/>
      </w:pPr>
    </w:lvl>
  </w:abstractNum>
  <w:abstractNum w:abstractNumId="994161">
    <w:nsid w:val="A994161"/>
    <w:multiLevelType w:val="multilevel"/>
    <w:lvl w:ilvl="0">
      <w:start w:val="61"/>
      <w:numFmt w:val="decimal"/>
      <w:lvlText w:val="%1."/>
      <w:lvlJc w:val="left"/>
      <w:pPr>
        <w:ind w:left="720" w:hanging="480"/>
      </w:pPr>
    </w:lvl>
    <w:lvl w:ilvl="1">
      <w:start w:val="61"/>
      <w:numFmt w:val="decimal"/>
      <w:lvlText w:val="%2."/>
      <w:lvlJc w:val="left"/>
      <w:pPr>
        <w:ind w:left="1440" w:hanging="480"/>
      </w:pPr>
    </w:lvl>
    <w:lvl w:ilvl="2">
      <w:start w:val="61"/>
      <w:numFmt w:val="decimal"/>
      <w:lvlText w:val="%3."/>
      <w:lvlJc w:val="left"/>
      <w:pPr>
        <w:ind w:left="2160" w:hanging="480"/>
      </w:pPr>
    </w:lvl>
    <w:lvl w:ilvl="3">
      <w:start w:val="61"/>
      <w:numFmt w:val="decimal"/>
      <w:lvlText w:val="%4."/>
      <w:lvlJc w:val="left"/>
      <w:pPr>
        <w:ind w:left="2880" w:hanging="480"/>
      </w:pPr>
    </w:lvl>
    <w:lvl w:ilvl="4">
      <w:start w:val="61"/>
      <w:numFmt w:val="decimal"/>
      <w:lvlText w:val="%5."/>
      <w:lvlJc w:val="left"/>
      <w:pPr>
        <w:ind w:left="3600" w:hanging="480"/>
      </w:pPr>
    </w:lvl>
    <w:lvl w:ilvl="5">
      <w:start w:val="61"/>
      <w:numFmt w:val="decimal"/>
      <w:lvlText w:val="%6."/>
      <w:lvlJc w:val="left"/>
      <w:pPr>
        <w:ind w:left="4320" w:hanging="480"/>
      </w:pPr>
    </w:lvl>
    <w:lvl w:ilvl="6">
      <w:start w:val="61"/>
      <w:numFmt w:val="decimal"/>
      <w:lvlText w:val="%7."/>
      <w:lvlJc w:val="left"/>
      <w:pPr>
        <w:ind w:left="5040" w:hanging="480"/>
      </w:pPr>
    </w:lvl>
    <w:lvl w:ilvl="7">
      <w:start w:val="61"/>
      <w:numFmt w:val="decimal"/>
      <w:lvlText w:val="%8."/>
      <w:lvlJc w:val="left"/>
      <w:pPr>
        <w:ind w:left="5760" w:hanging="480"/>
      </w:pPr>
    </w:lvl>
    <w:lvl w:ilvl="8">
      <w:start w:val="61"/>
      <w:numFmt w:val="decimal"/>
      <w:lvlText w:val="%9."/>
      <w:lvlJc w:val="left"/>
      <w:pPr>
        <w:ind w:left="6480" w:hanging="480"/>
      </w:pPr>
    </w:lvl>
  </w:abstractNum>
  <w:abstractNum w:abstractNumId="994171">
    <w:nsid w:val="A994171"/>
    <w:multiLevelType w:val="multilevel"/>
    <w:lvl w:ilvl="0">
      <w:start w:val="71"/>
      <w:numFmt w:val="decimal"/>
      <w:lvlText w:val="%1."/>
      <w:lvlJc w:val="left"/>
      <w:pPr>
        <w:ind w:left="720" w:hanging="480"/>
      </w:pPr>
    </w:lvl>
    <w:lvl w:ilvl="1">
      <w:start w:val="71"/>
      <w:numFmt w:val="decimal"/>
      <w:lvlText w:val="%2."/>
      <w:lvlJc w:val="left"/>
      <w:pPr>
        <w:ind w:left="1440" w:hanging="480"/>
      </w:pPr>
    </w:lvl>
    <w:lvl w:ilvl="2">
      <w:start w:val="71"/>
      <w:numFmt w:val="decimal"/>
      <w:lvlText w:val="%3."/>
      <w:lvlJc w:val="left"/>
      <w:pPr>
        <w:ind w:left="2160" w:hanging="480"/>
      </w:pPr>
    </w:lvl>
    <w:lvl w:ilvl="3">
      <w:start w:val="71"/>
      <w:numFmt w:val="decimal"/>
      <w:lvlText w:val="%4."/>
      <w:lvlJc w:val="left"/>
      <w:pPr>
        <w:ind w:left="2880" w:hanging="480"/>
      </w:pPr>
    </w:lvl>
    <w:lvl w:ilvl="4">
      <w:start w:val="71"/>
      <w:numFmt w:val="decimal"/>
      <w:lvlText w:val="%5."/>
      <w:lvlJc w:val="left"/>
      <w:pPr>
        <w:ind w:left="3600" w:hanging="480"/>
      </w:pPr>
    </w:lvl>
    <w:lvl w:ilvl="5">
      <w:start w:val="71"/>
      <w:numFmt w:val="decimal"/>
      <w:lvlText w:val="%6."/>
      <w:lvlJc w:val="left"/>
      <w:pPr>
        <w:ind w:left="4320" w:hanging="480"/>
      </w:pPr>
    </w:lvl>
    <w:lvl w:ilvl="6">
      <w:start w:val="71"/>
      <w:numFmt w:val="decimal"/>
      <w:lvlText w:val="%7."/>
      <w:lvlJc w:val="left"/>
      <w:pPr>
        <w:ind w:left="5040" w:hanging="480"/>
      </w:pPr>
    </w:lvl>
    <w:lvl w:ilvl="7">
      <w:start w:val="71"/>
      <w:numFmt w:val="decimal"/>
      <w:lvlText w:val="%8."/>
      <w:lvlJc w:val="left"/>
      <w:pPr>
        <w:ind w:left="5760" w:hanging="480"/>
      </w:pPr>
    </w:lvl>
    <w:lvl w:ilvl="8">
      <w:start w:val="71"/>
      <w:numFmt w:val="decimal"/>
      <w:lvlText w:val="%9."/>
      <w:lvlJc w:val="left"/>
      <w:pPr>
        <w:ind w:left="6480" w:hanging="480"/>
      </w:pPr>
    </w:lvl>
  </w:abstractNum>
  <w:abstractNum w:abstractNumId="994185">
    <w:nsid w:val="A994185"/>
    <w:multiLevelType w:val="multilevel"/>
    <w:lvl w:ilvl="0">
      <w:start w:val="85"/>
      <w:numFmt w:val="decimal"/>
      <w:lvlText w:val="%1."/>
      <w:lvlJc w:val="left"/>
      <w:pPr>
        <w:ind w:left="720" w:hanging="480"/>
      </w:pPr>
    </w:lvl>
    <w:lvl w:ilvl="1">
      <w:start w:val="85"/>
      <w:numFmt w:val="decimal"/>
      <w:lvlText w:val="%2."/>
      <w:lvlJc w:val="left"/>
      <w:pPr>
        <w:ind w:left="1440" w:hanging="480"/>
      </w:pPr>
    </w:lvl>
    <w:lvl w:ilvl="2">
      <w:start w:val="85"/>
      <w:numFmt w:val="decimal"/>
      <w:lvlText w:val="%3."/>
      <w:lvlJc w:val="left"/>
      <w:pPr>
        <w:ind w:left="2160" w:hanging="480"/>
      </w:pPr>
    </w:lvl>
    <w:lvl w:ilvl="3">
      <w:start w:val="85"/>
      <w:numFmt w:val="decimal"/>
      <w:lvlText w:val="%4."/>
      <w:lvlJc w:val="left"/>
      <w:pPr>
        <w:ind w:left="2880" w:hanging="480"/>
      </w:pPr>
    </w:lvl>
    <w:lvl w:ilvl="4">
      <w:start w:val="85"/>
      <w:numFmt w:val="decimal"/>
      <w:lvlText w:val="%5."/>
      <w:lvlJc w:val="left"/>
      <w:pPr>
        <w:ind w:left="3600" w:hanging="480"/>
      </w:pPr>
    </w:lvl>
    <w:lvl w:ilvl="5">
      <w:start w:val="85"/>
      <w:numFmt w:val="decimal"/>
      <w:lvlText w:val="%6."/>
      <w:lvlJc w:val="left"/>
      <w:pPr>
        <w:ind w:left="4320" w:hanging="480"/>
      </w:pPr>
    </w:lvl>
    <w:lvl w:ilvl="6">
      <w:start w:val="85"/>
      <w:numFmt w:val="decimal"/>
      <w:lvlText w:val="%7."/>
      <w:lvlJc w:val="left"/>
      <w:pPr>
        <w:ind w:left="5040" w:hanging="480"/>
      </w:pPr>
    </w:lvl>
    <w:lvl w:ilvl="7">
      <w:start w:val="85"/>
      <w:numFmt w:val="decimal"/>
      <w:lvlText w:val="%8."/>
      <w:lvlJc w:val="left"/>
      <w:pPr>
        <w:ind w:left="5760" w:hanging="480"/>
      </w:pPr>
    </w:lvl>
    <w:lvl w:ilvl="8">
      <w:start w:val="85"/>
      <w:numFmt w:val="decimal"/>
      <w:lvlText w:val="%9."/>
      <w:lvlJc w:val="left"/>
      <w:pPr>
        <w:ind w:left="6480" w:hanging="480"/>
      </w:pPr>
    </w:lvl>
  </w:abstractNum>
  <w:abstractNum w:abstractNumId="994194">
    <w:nsid w:val="A994194"/>
    <w:multiLevelType w:val="multilevel"/>
    <w:lvl w:ilvl="0">
      <w:start w:val="94"/>
      <w:numFmt w:val="decimal"/>
      <w:lvlText w:val="%1."/>
      <w:lvlJc w:val="left"/>
      <w:pPr>
        <w:ind w:left="720" w:hanging="480"/>
      </w:pPr>
    </w:lvl>
    <w:lvl w:ilvl="1">
      <w:start w:val="94"/>
      <w:numFmt w:val="decimal"/>
      <w:lvlText w:val="%2."/>
      <w:lvlJc w:val="left"/>
      <w:pPr>
        <w:ind w:left="1440" w:hanging="480"/>
      </w:pPr>
    </w:lvl>
    <w:lvl w:ilvl="2">
      <w:start w:val="94"/>
      <w:numFmt w:val="decimal"/>
      <w:lvlText w:val="%3."/>
      <w:lvlJc w:val="left"/>
      <w:pPr>
        <w:ind w:left="2160" w:hanging="480"/>
      </w:pPr>
    </w:lvl>
    <w:lvl w:ilvl="3">
      <w:start w:val="94"/>
      <w:numFmt w:val="decimal"/>
      <w:lvlText w:val="%4."/>
      <w:lvlJc w:val="left"/>
      <w:pPr>
        <w:ind w:left="2880" w:hanging="480"/>
      </w:pPr>
    </w:lvl>
    <w:lvl w:ilvl="4">
      <w:start w:val="94"/>
      <w:numFmt w:val="decimal"/>
      <w:lvlText w:val="%5."/>
      <w:lvlJc w:val="left"/>
      <w:pPr>
        <w:ind w:left="3600" w:hanging="480"/>
      </w:pPr>
    </w:lvl>
    <w:lvl w:ilvl="5">
      <w:start w:val="94"/>
      <w:numFmt w:val="decimal"/>
      <w:lvlText w:val="%6."/>
      <w:lvlJc w:val="left"/>
      <w:pPr>
        <w:ind w:left="4320" w:hanging="480"/>
      </w:pPr>
    </w:lvl>
    <w:lvl w:ilvl="6">
      <w:start w:val="94"/>
      <w:numFmt w:val="decimal"/>
      <w:lvlText w:val="%7."/>
      <w:lvlJc w:val="left"/>
      <w:pPr>
        <w:ind w:left="5040" w:hanging="480"/>
      </w:pPr>
    </w:lvl>
    <w:lvl w:ilvl="7">
      <w:start w:val="94"/>
      <w:numFmt w:val="decimal"/>
      <w:lvlText w:val="%8."/>
      <w:lvlJc w:val="left"/>
      <w:pPr>
        <w:ind w:left="5760" w:hanging="480"/>
      </w:pPr>
    </w:lvl>
    <w:lvl w:ilvl="8">
      <w:start w:val="94"/>
      <w:numFmt w:val="decimal"/>
      <w:lvlText w:val="%9."/>
      <w:lvlJc w:val="left"/>
      <w:pPr>
        <w:ind w:left="6480" w:hanging="480"/>
      </w:pPr>
    </w:lvl>
  </w:abstractNum>
  <w:abstractNum w:abstractNumId="994197">
    <w:nsid w:val="A994197"/>
    <w:multiLevelType w:val="multilevel"/>
    <w:lvl w:ilvl="0">
      <w:start w:val="97"/>
      <w:numFmt w:val="decimal"/>
      <w:lvlText w:val="%1."/>
      <w:lvlJc w:val="left"/>
      <w:pPr>
        <w:ind w:left="720" w:hanging="480"/>
      </w:pPr>
    </w:lvl>
    <w:lvl w:ilvl="1">
      <w:start w:val="97"/>
      <w:numFmt w:val="decimal"/>
      <w:lvlText w:val="%2."/>
      <w:lvlJc w:val="left"/>
      <w:pPr>
        <w:ind w:left="1440" w:hanging="480"/>
      </w:pPr>
    </w:lvl>
    <w:lvl w:ilvl="2">
      <w:start w:val="97"/>
      <w:numFmt w:val="decimal"/>
      <w:lvlText w:val="%3."/>
      <w:lvlJc w:val="left"/>
      <w:pPr>
        <w:ind w:left="2160" w:hanging="480"/>
      </w:pPr>
    </w:lvl>
    <w:lvl w:ilvl="3">
      <w:start w:val="97"/>
      <w:numFmt w:val="decimal"/>
      <w:lvlText w:val="%4."/>
      <w:lvlJc w:val="left"/>
      <w:pPr>
        <w:ind w:left="2880" w:hanging="480"/>
      </w:pPr>
    </w:lvl>
    <w:lvl w:ilvl="4">
      <w:start w:val="97"/>
      <w:numFmt w:val="decimal"/>
      <w:lvlText w:val="%5."/>
      <w:lvlJc w:val="left"/>
      <w:pPr>
        <w:ind w:left="3600" w:hanging="480"/>
      </w:pPr>
    </w:lvl>
    <w:lvl w:ilvl="5">
      <w:start w:val="97"/>
      <w:numFmt w:val="decimal"/>
      <w:lvlText w:val="%6."/>
      <w:lvlJc w:val="left"/>
      <w:pPr>
        <w:ind w:left="4320" w:hanging="480"/>
      </w:pPr>
    </w:lvl>
    <w:lvl w:ilvl="6">
      <w:start w:val="97"/>
      <w:numFmt w:val="decimal"/>
      <w:lvlText w:val="%7."/>
      <w:lvlJc w:val="left"/>
      <w:pPr>
        <w:ind w:left="5040" w:hanging="480"/>
      </w:pPr>
    </w:lvl>
    <w:lvl w:ilvl="7">
      <w:start w:val="97"/>
      <w:numFmt w:val="decimal"/>
      <w:lvlText w:val="%8."/>
      <w:lvlJc w:val="left"/>
      <w:pPr>
        <w:ind w:left="5760" w:hanging="480"/>
      </w:pPr>
    </w:lvl>
    <w:lvl w:ilvl="8">
      <w:start w:val="97"/>
      <w:numFmt w:val="decimal"/>
      <w:lvlText w:val="%9."/>
      <w:lvlJc w:val="left"/>
      <w:pPr>
        <w:ind w:left="6480" w:hanging="480"/>
      </w:pPr>
    </w:lvl>
  </w:abstractNum>
  <w:num w:numId="1000">
    <w:abstractNumId w:val="990"/>
  </w:num>
  <w:num w:numId="1001">
    <w:abstractNumId w:val="994188"/>
    <w:lvlOverride w:ilvl="0">
      <w:startOverride w:val="88"/>
    </w:lvlOverride>
    <w:lvlOverride w:ilvl="1">
      <w:startOverride w:val="88"/>
    </w:lvlOverride>
    <w:lvlOverride w:ilvl="2">
      <w:startOverride w:val="88"/>
    </w:lvlOverride>
    <w:lvlOverride w:ilvl="3">
      <w:startOverride w:val="88"/>
    </w:lvlOverride>
    <w:lvlOverride w:ilvl="4">
      <w:startOverride w:val="88"/>
    </w:lvlOverride>
    <w:lvlOverride w:ilvl="5">
      <w:startOverride w:val="88"/>
    </w:lvlOverride>
    <w:lvlOverride w:ilvl="6">
      <w:startOverride w:val="88"/>
    </w:lvlOverride>
    <w:lvlOverride w:ilvl="7">
      <w:startOverride w:val="88"/>
    </w:lvlOverride>
    <w:lvlOverride w:ilvl="8">
      <w:startOverride w:val="88"/>
    </w:lvlOverride>
  </w:num>
  <w:num w:numId="100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3">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04">
    <w:abstractNumId w:val="994161"/>
    <w:lvlOverride w:ilvl="0">
      <w:startOverride w:val="61"/>
    </w:lvlOverride>
    <w:lvlOverride w:ilvl="1">
      <w:startOverride w:val="61"/>
    </w:lvlOverride>
    <w:lvlOverride w:ilvl="2">
      <w:startOverride w:val="61"/>
    </w:lvlOverride>
    <w:lvlOverride w:ilvl="3">
      <w:startOverride w:val="61"/>
    </w:lvlOverride>
    <w:lvlOverride w:ilvl="4">
      <w:startOverride w:val="61"/>
    </w:lvlOverride>
    <w:lvlOverride w:ilvl="5">
      <w:startOverride w:val="61"/>
    </w:lvlOverride>
    <w:lvlOverride w:ilvl="6">
      <w:startOverride w:val="61"/>
    </w:lvlOverride>
    <w:lvlOverride w:ilvl="7">
      <w:startOverride w:val="61"/>
    </w:lvlOverride>
    <w:lvlOverride w:ilvl="8">
      <w:startOverride w:val="61"/>
    </w:lvlOverride>
  </w:num>
  <w:num w:numId="1005">
    <w:abstractNumId w:val="994171"/>
    <w:lvlOverride w:ilvl="0">
      <w:startOverride w:val="71"/>
    </w:lvlOverride>
    <w:lvlOverride w:ilvl="1">
      <w:startOverride w:val="71"/>
    </w:lvlOverride>
    <w:lvlOverride w:ilvl="2">
      <w:startOverride w:val="71"/>
    </w:lvlOverride>
    <w:lvlOverride w:ilvl="3">
      <w:startOverride w:val="71"/>
    </w:lvlOverride>
    <w:lvlOverride w:ilvl="4">
      <w:startOverride w:val="71"/>
    </w:lvlOverride>
    <w:lvlOverride w:ilvl="5">
      <w:startOverride w:val="71"/>
    </w:lvlOverride>
    <w:lvlOverride w:ilvl="6">
      <w:startOverride w:val="71"/>
    </w:lvlOverride>
    <w:lvlOverride w:ilvl="7">
      <w:startOverride w:val="71"/>
    </w:lvlOverride>
    <w:lvlOverride w:ilvl="8">
      <w:startOverride w:val="71"/>
    </w:lvlOverride>
  </w:num>
  <w:num w:numId="1006">
    <w:abstractNumId w:val="994185"/>
    <w:lvlOverride w:ilvl="0">
      <w:startOverride w:val="85"/>
    </w:lvlOverride>
    <w:lvlOverride w:ilvl="1">
      <w:startOverride w:val="85"/>
    </w:lvlOverride>
    <w:lvlOverride w:ilvl="2">
      <w:startOverride w:val="85"/>
    </w:lvlOverride>
    <w:lvlOverride w:ilvl="3">
      <w:startOverride w:val="85"/>
    </w:lvlOverride>
    <w:lvlOverride w:ilvl="4">
      <w:startOverride w:val="85"/>
    </w:lvlOverride>
    <w:lvlOverride w:ilvl="5">
      <w:startOverride w:val="85"/>
    </w:lvlOverride>
    <w:lvlOverride w:ilvl="6">
      <w:startOverride w:val="85"/>
    </w:lvlOverride>
    <w:lvlOverride w:ilvl="7">
      <w:startOverride w:val="85"/>
    </w:lvlOverride>
    <w:lvlOverride w:ilvl="8">
      <w:startOverride w:val="85"/>
    </w:lvlOverride>
  </w:num>
  <w:num w:numId="1007">
    <w:abstractNumId w:val="994194"/>
    <w:lvlOverride w:ilvl="0">
      <w:startOverride w:val="94"/>
    </w:lvlOverride>
    <w:lvlOverride w:ilvl="1">
      <w:startOverride w:val="94"/>
    </w:lvlOverride>
    <w:lvlOverride w:ilvl="2">
      <w:startOverride w:val="94"/>
    </w:lvlOverride>
    <w:lvlOverride w:ilvl="3">
      <w:startOverride w:val="94"/>
    </w:lvlOverride>
    <w:lvlOverride w:ilvl="4">
      <w:startOverride w:val="94"/>
    </w:lvlOverride>
    <w:lvlOverride w:ilvl="5">
      <w:startOverride w:val="94"/>
    </w:lvlOverride>
    <w:lvlOverride w:ilvl="6">
      <w:startOverride w:val="94"/>
    </w:lvlOverride>
    <w:lvlOverride w:ilvl="7">
      <w:startOverride w:val="94"/>
    </w:lvlOverride>
    <w:lvlOverride w:ilvl="8">
      <w:startOverride w:val="94"/>
    </w:lvlOverride>
  </w:num>
  <w:num w:numId="1008">
    <w:abstractNumId w:val="994197"/>
    <w:lvlOverride w:ilvl="0">
      <w:startOverride w:val="97"/>
    </w:lvlOverride>
    <w:lvlOverride w:ilvl="1">
      <w:startOverride w:val="97"/>
    </w:lvlOverride>
    <w:lvlOverride w:ilvl="2">
      <w:startOverride w:val="97"/>
    </w:lvlOverride>
    <w:lvlOverride w:ilvl="3">
      <w:startOverride w:val="97"/>
    </w:lvlOverride>
    <w:lvlOverride w:ilvl="4">
      <w:startOverride w:val="97"/>
    </w:lvlOverride>
    <w:lvlOverride w:ilvl="5">
      <w:startOverride w:val="97"/>
    </w:lvlOverride>
    <w:lvlOverride w:ilvl="6">
      <w:startOverride w:val="97"/>
    </w:lvlOverride>
    <w:lvlOverride w:ilvl="7">
      <w:startOverride w:val="97"/>
    </w:lvlOverride>
    <w:lvlOverride w:ilvl="8">
      <w:startOverride w:val="9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1"/>
    </w:rPr>
  </w:style>
  <w:style w:styleId="BodyText" w:type="paragraph">
    <w:name w:val="Body Text"/>
    <w:basedOn w:val="Normal"/>
    <w:link w:val="BodyTextChar"/>
    <w:pPr>
      <w:spacing w:after="180" w:before="180"/>
    </w:pPr>
    <w:qFormat/>
    <w:rPr>
      <w:rFonts w:ascii="Arial" w:cs="Arial" w:eastAsia="Arial" w:hAnsi="Arial"/>
      <w:sz w:val="21"/>
    </w:rPr>
  </w:style>
  <w:style w:customStyle="1" w:styleId="FirstParagraph" w:type="paragraph">
    <w:name w:val="First Paragraph"/>
    <w:basedOn w:val="BodyText"/>
    <w:next w:val="BodyText"/>
    <w:qFormat/>
    <w:rPr>
      <w:rFonts w:ascii="Arial" w:cs="Arial" w:eastAsia="Arial" w:hAnsi="Arial"/>
      <w:sz w:val="21"/>
    </w:rPr>
  </w:style>
  <w:style w:customStyle="1" w:styleId="Compact" w:type="paragraph">
    <w:name w:val="Compact"/>
    <w:basedOn w:val="BodyText"/>
    <w:qFormat/>
    <w:pPr>
      <w:spacing w:after="36" w:before="36"/>
    </w:pPr>
    <w:rPr>
      <w:rFonts w:ascii="Arial" w:cs="Arial" w:eastAsia="Arial" w:hAnsi="Arial"/>
      <w:sz w:val="21"/>
    </w:rPr>
  </w:style>
  <w:style w:styleId="Title" w:type="paragraph">
    <w:name w:val="Title"/>
    <w:basedOn w:val="Normal"/>
    <w:next w:val="BodyText"/>
    <w:qFormat/>
    <w:pPr>
      <w:keepNext/>
      <w:keepLines/>
      <w:spacing w:after="240" w:before="480"/>
      <w:jc w:val="center"/>
    </w:pPr>
    <w:rPr>
      <w:rFonts w:ascii="Arial" w:asciiTheme="majorHAnsi" w:cs="Arial" w:cstheme="majorBidi" w:eastAsia="Arial" w:eastAsiaTheme="majorEastAsia" w:hAnsi="Arial" w:hAnsiTheme="majorHAnsi"/>
      <w:b/>
      <w:bCs/>
      <w:color w:val="1B3A5C"/>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cs="Arial" w:eastAsia="Arial" w:hAnsi="Arial"/>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Arial" w:cs="Arial" w:eastAsia="Arial" w:hAnsi="Arial"/>
      <w:sz w:val="21"/>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2026-10-10T00:33:04Z</dcterms:created>
  <dcterms:modified xsi:type="dcterms:W3CDTF">2026-10-10T00:33:04Z</dcterms:modified>
</cp:coreProperties>
</file>

<file path=docProps/custom.xml><?xml version="1.0" encoding="utf-8"?>
<Properties xmlns="http://schemas.openxmlformats.org/officeDocument/2006/custom-properties" xmlns:vt="http://schemas.openxmlformats.org/officeDocument/2006/docPropsVTypes"/>
</file>