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gümrük-müşavirliği-sinavi-deneme-3"/>
    <w:p>
      <w:pPr>
        <w:pStyle w:val="Heading1"/>
      </w:pPr>
      <w:r>
        <w:t xml:space="preserve">GÜMRÜK MÜŞAVİRLİĞİ SINAVI — DENEME 3</w:t>
      </w:r>
    </w:p>
    <w:bookmarkStart w:id="123" w:name="cevap-anahtari-ve-açiklamali-çözümler"/>
    <w:p>
      <w:pPr>
        <w:pStyle w:val="Heading2"/>
      </w:pPr>
      <w:r>
        <w:t xml:space="preserve">CEVAP ANAHTARI VE AÇIKLAMALI ÇÖZÜMLER</w:t>
      </w:r>
    </w:p>
    <w:bookmarkStart w:id="20" w:name="cevap-anahtarı"/>
    <w:p>
      <w:pPr>
        <w:pStyle w:val="Heading3"/>
      </w:pPr>
      <w:r>
        <w:t xml:space="preserve">1. Cevap anahtarı</w:t>
      </w:r>
    </w:p>
    <w:tbl>
      <w:tblPr>
        <w:tblStyle w:val="Table"/>
        <w:tblW w:type="pct" w:w="5000"/>
        <w:tblLook w:firstRow="1" w:lastRow="0" w:firstColumn="0" w:lastColumn="0" w:noHBand="0" w:noVBand="0" w:val="0020"/>
        <w:jc w:val="start"/>
      </w:tblPr>
      <w:tblGrid>
        <w:gridCol w:w="739"/>
        <w:gridCol w:w="844"/>
        <w:gridCol w:w="739"/>
        <w:gridCol w:w="844"/>
        <w:gridCol w:w="739"/>
        <w:gridCol w:w="844"/>
        <w:gridCol w:w="739"/>
        <w:gridCol w:w="844"/>
        <w:gridCol w:w="739"/>
        <w:gridCol w:w="844"/>
      </w:tblGrid>
      <w:tr>
        <w:trPr>
          <w:tblHeader w:val="true"/>
        </w:trPr>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21</w:t>
            </w:r>
          </w:p>
        </w:tc>
        <w:tc>
          <w:tcPr/>
          <w:p>
            <w:pPr>
              <w:pStyle w:val="Compact"/>
              <w:jc w:val="left"/>
            </w:pPr>
            <w:r>
              <w:t xml:space="preserve">A</w:t>
            </w:r>
          </w:p>
        </w:tc>
        <w:tc>
          <w:tcPr/>
          <w:p>
            <w:pPr>
              <w:pStyle w:val="Compact"/>
              <w:jc w:val="left"/>
            </w:pPr>
            <w:r>
              <w:t xml:space="preserve">41</w:t>
            </w:r>
          </w:p>
        </w:tc>
        <w:tc>
          <w:tcPr/>
          <w:p>
            <w:pPr>
              <w:pStyle w:val="Compact"/>
              <w:jc w:val="left"/>
            </w:pPr>
            <w:r>
              <w:t xml:space="preserve">E</w:t>
            </w:r>
          </w:p>
        </w:tc>
        <w:tc>
          <w:tcPr/>
          <w:p>
            <w:pPr>
              <w:pStyle w:val="Compact"/>
              <w:jc w:val="left"/>
            </w:pPr>
            <w:r>
              <w:t xml:space="preserve">61</w:t>
            </w:r>
          </w:p>
        </w:tc>
        <w:tc>
          <w:tcPr/>
          <w:p>
            <w:pPr>
              <w:pStyle w:val="Compact"/>
              <w:jc w:val="left"/>
            </w:pPr>
            <w:r>
              <w:t xml:space="preserve">D</w:t>
            </w:r>
          </w:p>
        </w:tc>
        <w:tc>
          <w:tcPr/>
          <w:p>
            <w:pPr>
              <w:pStyle w:val="Compact"/>
              <w:jc w:val="left"/>
            </w:pPr>
            <w:r>
              <w:t xml:space="preserve">81</w:t>
            </w:r>
          </w:p>
        </w:tc>
        <w:tc>
          <w:tcPr/>
          <w:p>
            <w:pPr>
              <w:pStyle w:val="Compact"/>
              <w:jc w:val="left"/>
            </w:pPr>
            <w:r>
              <w:t xml:space="preserve">B</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22</w:t>
            </w:r>
          </w:p>
        </w:tc>
        <w:tc>
          <w:tcPr/>
          <w:p>
            <w:pPr>
              <w:pStyle w:val="Compact"/>
              <w:jc w:val="left"/>
            </w:pPr>
            <w:r>
              <w:t xml:space="preserve">D</w:t>
            </w:r>
          </w:p>
        </w:tc>
        <w:tc>
          <w:tcPr/>
          <w:p>
            <w:pPr>
              <w:pStyle w:val="Compact"/>
              <w:jc w:val="left"/>
            </w:pPr>
            <w:r>
              <w:t xml:space="preserve">42</w:t>
            </w:r>
          </w:p>
        </w:tc>
        <w:tc>
          <w:tcPr/>
          <w:p>
            <w:pPr>
              <w:pStyle w:val="Compact"/>
              <w:jc w:val="left"/>
            </w:pPr>
            <w:r>
              <w:t xml:space="preserve">D</w:t>
            </w:r>
          </w:p>
        </w:tc>
        <w:tc>
          <w:tcPr/>
          <w:p>
            <w:pPr>
              <w:pStyle w:val="Compact"/>
              <w:jc w:val="left"/>
            </w:pPr>
            <w:r>
              <w:t xml:space="preserve">62</w:t>
            </w:r>
          </w:p>
        </w:tc>
        <w:tc>
          <w:tcPr/>
          <w:p>
            <w:pPr>
              <w:pStyle w:val="Compact"/>
              <w:jc w:val="left"/>
            </w:pPr>
            <w:r>
              <w:t xml:space="preserve">B</w:t>
            </w:r>
          </w:p>
        </w:tc>
        <w:tc>
          <w:tcPr/>
          <w:p>
            <w:pPr>
              <w:pStyle w:val="Compact"/>
              <w:jc w:val="left"/>
            </w:pPr>
            <w:r>
              <w:t xml:space="preserve">82</w:t>
            </w:r>
          </w:p>
        </w:tc>
        <w:tc>
          <w:tcPr/>
          <w:p>
            <w:pPr>
              <w:pStyle w:val="Compact"/>
              <w:jc w:val="left"/>
            </w:pPr>
            <w:r>
              <w:t xml:space="preserve">E</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23</w:t>
            </w:r>
          </w:p>
        </w:tc>
        <w:tc>
          <w:tcPr/>
          <w:p>
            <w:pPr>
              <w:pStyle w:val="Compact"/>
              <w:jc w:val="left"/>
            </w:pPr>
            <w:r>
              <w:t xml:space="preserve">B</w:t>
            </w:r>
          </w:p>
        </w:tc>
        <w:tc>
          <w:tcPr/>
          <w:p>
            <w:pPr>
              <w:pStyle w:val="Compact"/>
              <w:jc w:val="left"/>
            </w:pPr>
            <w:r>
              <w:t xml:space="preserve">43</w:t>
            </w:r>
          </w:p>
        </w:tc>
        <w:tc>
          <w:tcPr/>
          <w:p>
            <w:pPr>
              <w:pStyle w:val="Compact"/>
              <w:jc w:val="left"/>
            </w:pPr>
            <w:r>
              <w:t xml:space="preserve">B</w:t>
            </w:r>
          </w:p>
        </w:tc>
        <w:tc>
          <w:tcPr/>
          <w:p>
            <w:pPr>
              <w:pStyle w:val="Compact"/>
              <w:jc w:val="left"/>
            </w:pPr>
            <w:r>
              <w:t xml:space="preserve">63</w:t>
            </w:r>
          </w:p>
        </w:tc>
        <w:tc>
          <w:tcPr/>
          <w:p>
            <w:pPr>
              <w:pStyle w:val="Compact"/>
              <w:jc w:val="left"/>
            </w:pPr>
            <w:r>
              <w:t xml:space="preserve">C</w:t>
            </w:r>
          </w:p>
        </w:tc>
        <w:tc>
          <w:tcPr/>
          <w:p>
            <w:pPr>
              <w:pStyle w:val="Compact"/>
              <w:jc w:val="left"/>
            </w:pPr>
            <w:r>
              <w:t xml:space="preserve">83</w:t>
            </w:r>
          </w:p>
        </w:tc>
        <w:tc>
          <w:tcPr/>
          <w:p>
            <w:pPr>
              <w:pStyle w:val="Compact"/>
              <w:jc w:val="left"/>
            </w:pPr>
            <w:r>
              <w:t xml:space="preserve">A</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24</w:t>
            </w:r>
          </w:p>
        </w:tc>
        <w:tc>
          <w:tcPr/>
          <w:p>
            <w:pPr>
              <w:pStyle w:val="Compact"/>
              <w:jc w:val="left"/>
            </w:pPr>
            <w:r>
              <w:t xml:space="preserve">E</w:t>
            </w:r>
          </w:p>
        </w:tc>
        <w:tc>
          <w:tcPr/>
          <w:p>
            <w:pPr>
              <w:pStyle w:val="Compact"/>
              <w:jc w:val="left"/>
            </w:pPr>
            <w:r>
              <w:t xml:space="preserve">44</w:t>
            </w:r>
          </w:p>
        </w:tc>
        <w:tc>
          <w:tcPr/>
          <w:p>
            <w:pPr>
              <w:pStyle w:val="Compact"/>
              <w:jc w:val="left"/>
            </w:pPr>
            <w:r>
              <w:t xml:space="preserve">E</w:t>
            </w:r>
          </w:p>
        </w:tc>
        <w:tc>
          <w:tcPr/>
          <w:p>
            <w:pPr>
              <w:pStyle w:val="Compact"/>
              <w:jc w:val="left"/>
            </w:pPr>
            <w:r>
              <w:t xml:space="preserve">64</w:t>
            </w:r>
          </w:p>
        </w:tc>
        <w:tc>
          <w:tcPr/>
          <w:p>
            <w:pPr>
              <w:pStyle w:val="Compact"/>
              <w:jc w:val="left"/>
            </w:pPr>
            <w:r>
              <w:t xml:space="preserve">D</w:t>
            </w:r>
          </w:p>
        </w:tc>
        <w:tc>
          <w:tcPr/>
          <w:p>
            <w:pPr>
              <w:pStyle w:val="Compact"/>
              <w:jc w:val="left"/>
            </w:pPr>
            <w:r>
              <w:t xml:space="preserve">84</w:t>
            </w:r>
          </w:p>
        </w:tc>
        <w:tc>
          <w:tcPr/>
          <w:p>
            <w:pPr>
              <w:pStyle w:val="Compact"/>
              <w:jc w:val="left"/>
            </w:pPr>
            <w:r>
              <w:t xml:space="preserve">A</w:t>
            </w:r>
          </w:p>
        </w:tc>
      </w:tr>
      <w:tr>
        <w:tc>
          <w:tcPr/>
          <w:p>
            <w:pPr>
              <w:pStyle w:val="Compact"/>
              <w:jc w:val="left"/>
            </w:pPr>
            <w:r>
              <w:t xml:space="preserve">5</w:t>
            </w:r>
          </w:p>
        </w:tc>
        <w:tc>
          <w:tcPr/>
          <w:p>
            <w:pPr>
              <w:pStyle w:val="Compact"/>
              <w:jc w:val="left"/>
            </w:pPr>
            <w:r>
              <w:t xml:space="preserve">C</w:t>
            </w:r>
          </w:p>
        </w:tc>
        <w:tc>
          <w:tcPr/>
          <w:p>
            <w:pPr>
              <w:pStyle w:val="Compact"/>
              <w:jc w:val="left"/>
            </w:pPr>
            <w:r>
              <w:t xml:space="preserve">25</w:t>
            </w:r>
          </w:p>
        </w:tc>
        <w:tc>
          <w:tcPr/>
          <w:p>
            <w:pPr>
              <w:pStyle w:val="Compact"/>
              <w:jc w:val="left"/>
            </w:pPr>
            <w:r>
              <w:t xml:space="preserve">A</w:t>
            </w:r>
          </w:p>
        </w:tc>
        <w:tc>
          <w:tcPr/>
          <w:p>
            <w:pPr>
              <w:pStyle w:val="Compact"/>
              <w:jc w:val="left"/>
            </w:pPr>
            <w:r>
              <w:t xml:space="preserve">45</w:t>
            </w:r>
          </w:p>
        </w:tc>
        <w:tc>
          <w:tcPr/>
          <w:p>
            <w:pPr>
              <w:pStyle w:val="Compact"/>
              <w:jc w:val="left"/>
            </w:pPr>
            <w:r>
              <w:t xml:space="preserve">E</w:t>
            </w:r>
          </w:p>
        </w:tc>
        <w:tc>
          <w:tcPr/>
          <w:p>
            <w:pPr>
              <w:pStyle w:val="Compact"/>
              <w:jc w:val="left"/>
            </w:pPr>
            <w:r>
              <w:t xml:space="preserve">65</w:t>
            </w:r>
          </w:p>
        </w:tc>
        <w:tc>
          <w:tcPr/>
          <w:p>
            <w:pPr>
              <w:pStyle w:val="Compact"/>
              <w:jc w:val="left"/>
            </w:pPr>
            <w:r>
              <w:t xml:space="preserve">D</w:t>
            </w:r>
          </w:p>
        </w:tc>
        <w:tc>
          <w:tcPr/>
          <w:p>
            <w:pPr>
              <w:pStyle w:val="Compact"/>
              <w:jc w:val="left"/>
            </w:pPr>
            <w:r>
              <w:t xml:space="preserve">85</w:t>
            </w:r>
          </w:p>
        </w:tc>
        <w:tc>
          <w:tcPr/>
          <w:p>
            <w:pPr>
              <w:pStyle w:val="Compact"/>
              <w:jc w:val="left"/>
            </w:pPr>
            <w:r>
              <w:t xml:space="preserve">C</w:t>
            </w:r>
          </w:p>
        </w:tc>
      </w:tr>
      <w:tr>
        <w:tc>
          <w:tcPr/>
          <w:p>
            <w:pPr>
              <w:pStyle w:val="Compact"/>
              <w:jc w:val="left"/>
            </w:pPr>
            <w:r>
              <w:t xml:space="preserve">6</w:t>
            </w:r>
          </w:p>
        </w:tc>
        <w:tc>
          <w:tcPr/>
          <w:p>
            <w:pPr>
              <w:pStyle w:val="Compact"/>
              <w:jc w:val="left"/>
            </w:pPr>
            <w:r>
              <w:t xml:space="preserve">E</w:t>
            </w:r>
          </w:p>
        </w:tc>
        <w:tc>
          <w:tcPr/>
          <w:p>
            <w:pPr>
              <w:pStyle w:val="Compact"/>
              <w:jc w:val="left"/>
            </w:pPr>
            <w:r>
              <w:t xml:space="preserve">26</w:t>
            </w:r>
          </w:p>
        </w:tc>
        <w:tc>
          <w:tcPr/>
          <w:p>
            <w:pPr>
              <w:pStyle w:val="Compact"/>
              <w:jc w:val="left"/>
            </w:pPr>
            <w:r>
              <w:t xml:space="preserve">D</w:t>
            </w:r>
          </w:p>
        </w:tc>
        <w:tc>
          <w:tcPr/>
          <w:p>
            <w:pPr>
              <w:pStyle w:val="Compact"/>
              <w:jc w:val="left"/>
            </w:pPr>
            <w:r>
              <w:t xml:space="preserve">46</w:t>
            </w:r>
          </w:p>
        </w:tc>
        <w:tc>
          <w:tcPr/>
          <w:p>
            <w:pPr>
              <w:pStyle w:val="Compact"/>
              <w:jc w:val="left"/>
            </w:pPr>
            <w:r>
              <w:t xml:space="preserve">B</w:t>
            </w:r>
          </w:p>
        </w:tc>
        <w:tc>
          <w:tcPr/>
          <w:p>
            <w:pPr>
              <w:pStyle w:val="Compact"/>
              <w:jc w:val="left"/>
            </w:pPr>
            <w:r>
              <w:t xml:space="preserve">66</w:t>
            </w:r>
          </w:p>
        </w:tc>
        <w:tc>
          <w:tcPr/>
          <w:p>
            <w:pPr>
              <w:pStyle w:val="Compact"/>
              <w:jc w:val="left"/>
            </w:pPr>
            <w:r>
              <w:t xml:space="preserve">C</w:t>
            </w:r>
          </w:p>
        </w:tc>
        <w:tc>
          <w:tcPr/>
          <w:p>
            <w:pPr>
              <w:pStyle w:val="Compact"/>
              <w:jc w:val="left"/>
            </w:pPr>
            <w:r>
              <w:t xml:space="preserve">86</w:t>
            </w:r>
          </w:p>
        </w:tc>
        <w:tc>
          <w:tcPr/>
          <w:p>
            <w:pPr>
              <w:pStyle w:val="Compact"/>
              <w:jc w:val="left"/>
            </w:pPr>
            <w:r>
              <w:t xml:space="preserve">B</w:t>
            </w:r>
          </w:p>
        </w:tc>
      </w:tr>
      <w:tr>
        <w:tc>
          <w:tcPr/>
          <w:p>
            <w:pPr>
              <w:pStyle w:val="Compact"/>
              <w:jc w:val="left"/>
            </w:pPr>
            <w:r>
              <w:t xml:space="preserve">7</w:t>
            </w:r>
          </w:p>
        </w:tc>
        <w:tc>
          <w:tcPr/>
          <w:p>
            <w:pPr>
              <w:pStyle w:val="Compact"/>
              <w:jc w:val="left"/>
            </w:pPr>
            <w:r>
              <w:t xml:space="preserve">A</w:t>
            </w:r>
          </w:p>
        </w:tc>
        <w:tc>
          <w:tcPr/>
          <w:p>
            <w:pPr>
              <w:pStyle w:val="Compact"/>
              <w:jc w:val="left"/>
            </w:pPr>
            <w:r>
              <w:t xml:space="preserve">27</w:t>
            </w:r>
          </w:p>
        </w:tc>
        <w:tc>
          <w:tcPr/>
          <w:p>
            <w:pPr>
              <w:pStyle w:val="Compact"/>
              <w:jc w:val="left"/>
            </w:pPr>
            <w:r>
              <w:t xml:space="preserve">C</w:t>
            </w:r>
          </w:p>
        </w:tc>
        <w:tc>
          <w:tcPr/>
          <w:p>
            <w:pPr>
              <w:pStyle w:val="Compact"/>
              <w:jc w:val="left"/>
            </w:pPr>
            <w:r>
              <w:t xml:space="preserve">47</w:t>
            </w:r>
          </w:p>
        </w:tc>
        <w:tc>
          <w:tcPr/>
          <w:p>
            <w:pPr>
              <w:pStyle w:val="Compact"/>
              <w:jc w:val="left"/>
            </w:pPr>
            <w:r>
              <w:t xml:space="preserve">C</w:t>
            </w:r>
          </w:p>
        </w:tc>
        <w:tc>
          <w:tcPr/>
          <w:p>
            <w:pPr>
              <w:pStyle w:val="Compact"/>
              <w:jc w:val="left"/>
            </w:pPr>
            <w:r>
              <w:t xml:space="preserve">67</w:t>
            </w:r>
          </w:p>
        </w:tc>
        <w:tc>
          <w:tcPr/>
          <w:p>
            <w:pPr>
              <w:pStyle w:val="Compact"/>
              <w:jc w:val="left"/>
            </w:pPr>
            <w:r>
              <w:t xml:space="preserve">D</w:t>
            </w:r>
          </w:p>
        </w:tc>
        <w:tc>
          <w:tcPr/>
          <w:p>
            <w:pPr>
              <w:pStyle w:val="Compact"/>
              <w:jc w:val="left"/>
            </w:pPr>
            <w:r>
              <w:t xml:space="preserve">87</w:t>
            </w:r>
          </w:p>
        </w:tc>
        <w:tc>
          <w:tcPr/>
          <w:p>
            <w:pPr>
              <w:pStyle w:val="Compact"/>
              <w:jc w:val="left"/>
            </w:pPr>
            <w:r>
              <w:t xml:space="preserve">E</w:t>
            </w:r>
          </w:p>
        </w:tc>
      </w:tr>
      <w:tr>
        <w:tc>
          <w:tcPr/>
          <w:p>
            <w:pPr>
              <w:pStyle w:val="Compact"/>
              <w:jc w:val="left"/>
            </w:pPr>
            <w:r>
              <w:t xml:space="preserve">8</w:t>
            </w:r>
          </w:p>
        </w:tc>
        <w:tc>
          <w:tcPr/>
          <w:p>
            <w:pPr>
              <w:pStyle w:val="Compact"/>
              <w:jc w:val="left"/>
            </w:pPr>
            <w:r>
              <w:t xml:space="preserve">E</w:t>
            </w:r>
          </w:p>
        </w:tc>
        <w:tc>
          <w:tcPr/>
          <w:p>
            <w:pPr>
              <w:pStyle w:val="Compact"/>
              <w:jc w:val="left"/>
            </w:pPr>
            <w:r>
              <w:t xml:space="preserve">28</w:t>
            </w:r>
          </w:p>
        </w:tc>
        <w:tc>
          <w:tcPr/>
          <w:p>
            <w:pPr>
              <w:pStyle w:val="Compact"/>
              <w:jc w:val="left"/>
            </w:pPr>
            <w:r>
              <w:t xml:space="preserve">D</w:t>
            </w:r>
          </w:p>
        </w:tc>
        <w:tc>
          <w:tcPr/>
          <w:p>
            <w:pPr>
              <w:pStyle w:val="Compact"/>
              <w:jc w:val="left"/>
            </w:pPr>
            <w:r>
              <w:t xml:space="preserve">48</w:t>
            </w:r>
          </w:p>
        </w:tc>
        <w:tc>
          <w:tcPr/>
          <w:p>
            <w:pPr>
              <w:pStyle w:val="Compact"/>
              <w:jc w:val="left"/>
            </w:pPr>
            <w:r>
              <w:t xml:space="preserve">A</w:t>
            </w:r>
          </w:p>
        </w:tc>
        <w:tc>
          <w:tcPr/>
          <w:p>
            <w:pPr>
              <w:pStyle w:val="Compact"/>
              <w:jc w:val="left"/>
            </w:pPr>
            <w:r>
              <w:t xml:space="preserve">68</w:t>
            </w:r>
          </w:p>
        </w:tc>
        <w:tc>
          <w:tcPr/>
          <w:p>
            <w:pPr>
              <w:pStyle w:val="Compact"/>
              <w:jc w:val="left"/>
            </w:pPr>
            <w:r>
              <w:t xml:space="preserve">B</w:t>
            </w:r>
          </w:p>
        </w:tc>
        <w:tc>
          <w:tcPr/>
          <w:p>
            <w:pPr>
              <w:pStyle w:val="Compact"/>
              <w:jc w:val="left"/>
            </w:pPr>
            <w:r>
              <w:t xml:space="preserve">88</w:t>
            </w:r>
          </w:p>
        </w:tc>
        <w:tc>
          <w:tcPr/>
          <w:p>
            <w:pPr>
              <w:pStyle w:val="Compact"/>
              <w:jc w:val="left"/>
            </w:pPr>
            <w:r>
              <w:t xml:space="preserve">D</w:t>
            </w:r>
          </w:p>
        </w:tc>
      </w:tr>
      <w:tr>
        <w:tc>
          <w:tcPr/>
          <w:p>
            <w:pPr>
              <w:pStyle w:val="Compact"/>
              <w:jc w:val="left"/>
            </w:pPr>
            <w:r>
              <w:t xml:space="preserve">9</w:t>
            </w:r>
          </w:p>
        </w:tc>
        <w:tc>
          <w:tcPr/>
          <w:p>
            <w:pPr>
              <w:pStyle w:val="Compact"/>
              <w:jc w:val="left"/>
            </w:pPr>
            <w:r>
              <w:t xml:space="preserve">A</w:t>
            </w:r>
          </w:p>
        </w:tc>
        <w:tc>
          <w:tcPr/>
          <w:p>
            <w:pPr>
              <w:pStyle w:val="Compact"/>
              <w:jc w:val="left"/>
            </w:pPr>
            <w:r>
              <w:t xml:space="preserve">29</w:t>
            </w:r>
          </w:p>
        </w:tc>
        <w:tc>
          <w:tcPr/>
          <w:p>
            <w:pPr>
              <w:pStyle w:val="Compact"/>
              <w:jc w:val="left"/>
            </w:pPr>
            <w:r>
              <w:t xml:space="preserve">C</w:t>
            </w:r>
          </w:p>
        </w:tc>
        <w:tc>
          <w:tcPr/>
          <w:p>
            <w:pPr>
              <w:pStyle w:val="Compact"/>
              <w:jc w:val="left"/>
            </w:pPr>
            <w:r>
              <w:t xml:space="preserve">49</w:t>
            </w:r>
          </w:p>
        </w:tc>
        <w:tc>
          <w:tcPr/>
          <w:p>
            <w:pPr>
              <w:pStyle w:val="Compact"/>
              <w:jc w:val="left"/>
            </w:pPr>
            <w:r>
              <w:t xml:space="preserve">D</w:t>
            </w:r>
          </w:p>
        </w:tc>
        <w:tc>
          <w:tcPr/>
          <w:p>
            <w:pPr>
              <w:pStyle w:val="Compact"/>
              <w:jc w:val="left"/>
            </w:pPr>
            <w:r>
              <w:t xml:space="preserve">69</w:t>
            </w:r>
          </w:p>
        </w:tc>
        <w:tc>
          <w:tcPr/>
          <w:p>
            <w:pPr>
              <w:pStyle w:val="Compact"/>
              <w:jc w:val="left"/>
            </w:pPr>
            <w:r>
              <w:t xml:space="preserve">C</w:t>
            </w:r>
          </w:p>
        </w:tc>
        <w:tc>
          <w:tcPr/>
          <w:p>
            <w:pPr>
              <w:pStyle w:val="Compact"/>
              <w:jc w:val="left"/>
            </w:pPr>
            <w:r>
              <w:t xml:space="preserve">89</w:t>
            </w:r>
          </w:p>
        </w:tc>
        <w:tc>
          <w:tcPr/>
          <w:p>
            <w:pPr>
              <w:pStyle w:val="Compact"/>
              <w:jc w:val="left"/>
            </w:pPr>
            <w:r>
              <w:t xml:space="preserve">E</w:t>
            </w:r>
          </w:p>
        </w:tc>
      </w:tr>
      <w:tr>
        <w:tc>
          <w:tcPr/>
          <w:p>
            <w:pPr>
              <w:pStyle w:val="Compact"/>
              <w:jc w:val="left"/>
            </w:pPr>
            <w:r>
              <w:t xml:space="preserve">10</w:t>
            </w:r>
          </w:p>
        </w:tc>
        <w:tc>
          <w:tcPr/>
          <w:p>
            <w:pPr>
              <w:pStyle w:val="Compact"/>
              <w:jc w:val="left"/>
            </w:pPr>
            <w:r>
              <w:t xml:space="preserve">E</w:t>
            </w:r>
          </w:p>
        </w:tc>
        <w:tc>
          <w:tcPr/>
          <w:p>
            <w:pPr>
              <w:pStyle w:val="Compact"/>
              <w:jc w:val="left"/>
            </w:pPr>
            <w:r>
              <w:t xml:space="preserve">30</w:t>
            </w:r>
          </w:p>
        </w:tc>
        <w:tc>
          <w:tcPr/>
          <w:p>
            <w:pPr>
              <w:pStyle w:val="Compact"/>
              <w:jc w:val="left"/>
            </w:pPr>
            <w:r>
              <w:t xml:space="preserve">D</w:t>
            </w:r>
          </w:p>
        </w:tc>
        <w:tc>
          <w:tcPr/>
          <w:p>
            <w:pPr>
              <w:pStyle w:val="Compact"/>
              <w:jc w:val="left"/>
            </w:pPr>
            <w:r>
              <w:t xml:space="preserve">50</w:t>
            </w:r>
          </w:p>
        </w:tc>
        <w:tc>
          <w:tcPr/>
          <w:p>
            <w:pPr>
              <w:pStyle w:val="Compact"/>
              <w:jc w:val="left"/>
            </w:pPr>
            <w:r>
              <w:t xml:space="preserve">E</w:t>
            </w:r>
          </w:p>
        </w:tc>
        <w:tc>
          <w:tcPr/>
          <w:p>
            <w:pPr>
              <w:pStyle w:val="Compact"/>
              <w:jc w:val="left"/>
            </w:pPr>
            <w:r>
              <w:t xml:space="preserve">70</w:t>
            </w:r>
          </w:p>
        </w:tc>
        <w:tc>
          <w:tcPr/>
          <w:p>
            <w:pPr>
              <w:pStyle w:val="Compact"/>
              <w:jc w:val="left"/>
            </w:pPr>
            <w:r>
              <w:t xml:space="preserve">C</w:t>
            </w:r>
          </w:p>
        </w:tc>
        <w:tc>
          <w:tcPr/>
          <w:p>
            <w:pPr>
              <w:pStyle w:val="Compact"/>
              <w:jc w:val="left"/>
            </w:pPr>
            <w:r>
              <w:t xml:space="preserve">90</w:t>
            </w:r>
          </w:p>
        </w:tc>
        <w:tc>
          <w:tcPr/>
          <w:p>
            <w:pPr>
              <w:pStyle w:val="Compact"/>
              <w:jc w:val="left"/>
            </w:pPr>
            <w:r>
              <w:t xml:space="preserve">B</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31</w:t>
            </w:r>
          </w:p>
        </w:tc>
        <w:tc>
          <w:tcPr/>
          <w:p>
            <w:pPr>
              <w:pStyle w:val="Compact"/>
              <w:jc w:val="left"/>
            </w:pPr>
            <w:r>
              <w:t xml:space="preserve">D</w:t>
            </w:r>
          </w:p>
        </w:tc>
        <w:tc>
          <w:tcPr/>
          <w:p>
            <w:pPr>
              <w:pStyle w:val="Compact"/>
              <w:jc w:val="left"/>
            </w:pPr>
            <w:r>
              <w:t xml:space="preserve">51</w:t>
            </w:r>
          </w:p>
        </w:tc>
        <w:tc>
          <w:tcPr/>
          <w:p>
            <w:pPr>
              <w:pStyle w:val="Compact"/>
              <w:jc w:val="left"/>
            </w:pPr>
            <w:r>
              <w:t xml:space="preserve">A</w:t>
            </w:r>
          </w:p>
        </w:tc>
        <w:tc>
          <w:tcPr/>
          <w:p>
            <w:pPr>
              <w:pStyle w:val="Compact"/>
              <w:jc w:val="left"/>
            </w:pPr>
            <w:r>
              <w:t xml:space="preserve">71</w:t>
            </w:r>
          </w:p>
        </w:tc>
        <w:tc>
          <w:tcPr/>
          <w:p>
            <w:pPr>
              <w:pStyle w:val="Compact"/>
              <w:jc w:val="left"/>
            </w:pPr>
            <w:r>
              <w:t xml:space="preserve">A</w:t>
            </w:r>
          </w:p>
        </w:tc>
        <w:tc>
          <w:tcPr/>
          <w:p>
            <w:pPr>
              <w:pStyle w:val="Compact"/>
              <w:jc w:val="left"/>
            </w:pPr>
            <w:r>
              <w:t xml:space="preserve">91</w:t>
            </w:r>
          </w:p>
        </w:tc>
        <w:tc>
          <w:tcPr/>
          <w:p>
            <w:pPr>
              <w:pStyle w:val="Compact"/>
              <w:jc w:val="left"/>
            </w:pPr>
            <w:r>
              <w:t xml:space="preserve">B</w:t>
            </w:r>
          </w:p>
        </w:tc>
      </w:tr>
      <w:tr>
        <w:tc>
          <w:tcPr/>
          <w:p>
            <w:pPr>
              <w:pStyle w:val="Compact"/>
              <w:jc w:val="left"/>
            </w:pPr>
            <w:r>
              <w:t xml:space="preserve">12</w:t>
            </w:r>
          </w:p>
        </w:tc>
        <w:tc>
          <w:tcPr/>
          <w:p>
            <w:pPr>
              <w:pStyle w:val="Compact"/>
              <w:jc w:val="left"/>
            </w:pPr>
            <w:r>
              <w:t xml:space="preserve">A</w:t>
            </w:r>
          </w:p>
        </w:tc>
        <w:tc>
          <w:tcPr/>
          <w:p>
            <w:pPr>
              <w:pStyle w:val="Compact"/>
              <w:jc w:val="left"/>
            </w:pPr>
            <w:r>
              <w:t xml:space="preserve">32</w:t>
            </w:r>
          </w:p>
        </w:tc>
        <w:tc>
          <w:tcPr/>
          <w:p>
            <w:pPr>
              <w:pStyle w:val="Compact"/>
              <w:jc w:val="left"/>
            </w:pPr>
            <w:r>
              <w:t xml:space="preserve">E</w:t>
            </w:r>
          </w:p>
        </w:tc>
        <w:tc>
          <w:tcPr/>
          <w:p>
            <w:pPr>
              <w:pStyle w:val="Compact"/>
              <w:jc w:val="left"/>
            </w:pPr>
            <w:r>
              <w:t xml:space="preserve">52</w:t>
            </w:r>
          </w:p>
        </w:tc>
        <w:tc>
          <w:tcPr/>
          <w:p>
            <w:pPr>
              <w:pStyle w:val="Compact"/>
              <w:jc w:val="left"/>
            </w:pPr>
            <w:r>
              <w:t xml:space="preserve">C</w:t>
            </w:r>
          </w:p>
        </w:tc>
        <w:tc>
          <w:tcPr/>
          <w:p>
            <w:pPr>
              <w:pStyle w:val="Compact"/>
              <w:jc w:val="left"/>
            </w:pPr>
            <w:r>
              <w:t xml:space="preserve">72</w:t>
            </w:r>
          </w:p>
        </w:tc>
        <w:tc>
          <w:tcPr/>
          <w:p>
            <w:pPr>
              <w:pStyle w:val="Compact"/>
              <w:jc w:val="left"/>
            </w:pPr>
            <w:r>
              <w:t xml:space="preserve">E</w:t>
            </w:r>
          </w:p>
        </w:tc>
        <w:tc>
          <w:tcPr/>
          <w:p>
            <w:pPr>
              <w:pStyle w:val="Compact"/>
              <w:jc w:val="left"/>
            </w:pPr>
            <w:r>
              <w:t xml:space="preserve">92</w:t>
            </w:r>
          </w:p>
        </w:tc>
        <w:tc>
          <w:tcPr/>
          <w:p>
            <w:pPr>
              <w:pStyle w:val="Compact"/>
              <w:jc w:val="left"/>
            </w:pPr>
            <w:r>
              <w:t xml:space="preserve">D</w:t>
            </w:r>
          </w:p>
        </w:tc>
      </w:tr>
      <w:tr>
        <w:tc>
          <w:tcPr/>
          <w:p>
            <w:pPr>
              <w:pStyle w:val="Compact"/>
              <w:jc w:val="left"/>
            </w:pPr>
            <w:r>
              <w:t xml:space="preserve">13</w:t>
            </w:r>
          </w:p>
        </w:tc>
        <w:tc>
          <w:tcPr/>
          <w:p>
            <w:pPr>
              <w:pStyle w:val="Compact"/>
              <w:jc w:val="left"/>
            </w:pPr>
            <w:r>
              <w:t xml:space="preserve">C</w:t>
            </w:r>
          </w:p>
        </w:tc>
        <w:tc>
          <w:tcPr/>
          <w:p>
            <w:pPr>
              <w:pStyle w:val="Compact"/>
              <w:jc w:val="left"/>
            </w:pPr>
            <w:r>
              <w:t xml:space="preserve">33</w:t>
            </w:r>
          </w:p>
        </w:tc>
        <w:tc>
          <w:tcPr/>
          <w:p>
            <w:pPr>
              <w:pStyle w:val="Compact"/>
              <w:jc w:val="left"/>
            </w:pPr>
            <w:r>
              <w:t xml:space="preserve">C</w:t>
            </w:r>
          </w:p>
        </w:tc>
        <w:tc>
          <w:tcPr/>
          <w:p>
            <w:pPr>
              <w:pStyle w:val="Compact"/>
              <w:jc w:val="left"/>
            </w:pPr>
            <w:r>
              <w:t xml:space="preserve">53</w:t>
            </w:r>
          </w:p>
        </w:tc>
        <w:tc>
          <w:tcPr/>
          <w:p>
            <w:pPr>
              <w:pStyle w:val="Compact"/>
              <w:jc w:val="left"/>
            </w:pPr>
            <w:r>
              <w:t xml:space="preserve">D</w:t>
            </w:r>
          </w:p>
        </w:tc>
        <w:tc>
          <w:tcPr/>
          <w:p>
            <w:pPr>
              <w:pStyle w:val="Compact"/>
              <w:jc w:val="left"/>
            </w:pPr>
            <w:r>
              <w:t xml:space="preserve">73</w:t>
            </w:r>
          </w:p>
        </w:tc>
        <w:tc>
          <w:tcPr/>
          <w:p>
            <w:pPr>
              <w:pStyle w:val="Compact"/>
              <w:jc w:val="left"/>
            </w:pPr>
            <w:r>
              <w:t xml:space="preserve">D</w:t>
            </w:r>
          </w:p>
        </w:tc>
        <w:tc>
          <w:tcPr/>
          <w:p>
            <w:pPr>
              <w:pStyle w:val="Compact"/>
              <w:jc w:val="left"/>
            </w:pPr>
            <w:r>
              <w:t xml:space="preserve">93</w:t>
            </w:r>
          </w:p>
        </w:tc>
        <w:tc>
          <w:tcPr/>
          <w:p>
            <w:pPr>
              <w:pStyle w:val="Compact"/>
              <w:jc w:val="left"/>
            </w:pPr>
            <w:r>
              <w:t xml:space="preserve">C</w:t>
            </w:r>
          </w:p>
        </w:tc>
      </w:tr>
      <w:tr>
        <w:tc>
          <w:tcPr/>
          <w:p>
            <w:pPr>
              <w:pStyle w:val="Compact"/>
              <w:jc w:val="left"/>
            </w:pPr>
            <w:r>
              <w:t xml:space="preserve">14</w:t>
            </w:r>
          </w:p>
        </w:tc>
        <w:tc>
          <w:tcPr/>
          <w:p>
            <w:pPr>
              <w:pStyle w:val="Compact"/>
              <w:jc w:val="left"/>
            </w:pPr>
            <w:r>
              <w:t xml:space="preserve">E</w:t>
            </w:r>
          </w:p>
        </w:tc>
        <w:tc>
          <w:tcPr/>
          <w:p>
            <w:pPr>
              <w:pStyle w:val="Compact"/>
              <w:jc w:val="left"/>
            </w:pPr>
            <w:r>
              <w:t xml:space="preserve">34</w:t>
            </w:r>
          </w:p>
        </w:tc>
        <w:tc>
          <w:tcPr/>
          <w:p>
            <w:pPr>
              <w:pStyle w:val="Compact"/>
              <w:jc w:val="left"/>
            </w:pPr>
            <w:r>
              <w:t xml:space="preserve">B</w:t>
            </w:r>
          </w:p>
        </w:tc>
        <w:tc>
          <w:tcPr/>
          <w:p>
            <w:pPr>
              <w:pStyle w:val="Compact"/>
              <w:jc w:val="left"/>
            </w:pPr>
            <w:r>
              <w:t xml:space="preserve">54</w:t>
            </w:r>
          </w:p>
        </w:tc>
        <w:tc>
          <w:tcPr/>
          <w:p>
            <w:pPr>
              <w:pStyle w:val="Compact"/>
              <w:jc w:val="left"/>
            </w:pPr>
            <w:r>
              <w:t xml:space="preserve">B</w:t>
            </w:r>
          </w:p>
        </w:tc>
        <w:tc>
          <w:tcPr/>
          <w:p>
            <w:pPr>
              <w:pStyle w:val="Compact"/>
              <w:jc w:val="left"/>
            </w:pPr>
            <w:r>
              <w:t xml:space="preserve">74</w:t>
            </w:r>
          </w:p>
        </w:tc>
        <w:tc>
          <w:tcPr/>
          <w:p>
            <w:pPr>
              <w:pStyle w:val="Compact"/>
              <w:jc w:val="left"/>
            </w:pPr>
            <w:r>
              <w:t xml:space="preserve">C</w:t>
            </w:r>
          </w:p>
        </w:tc>
        <w:tc>
          <w:tcPr/>
          <w:p>
            <w:pPr>
              <w:pStyle w:val="Compact"/>
              <w:jc w:val="left"/>
            </w:pPr>
            <w:r>
              <w:t xml:space="preserve">94</w:t>
            </w:r>
          </w:p>
        </w:tc>
        <w:tc>
          <w:tcPr/>
          <w:p>
            <w:pPr>
              <w:pStyle w:val="Compact"/>
              <w:jc w:val="left"/>
            </w:pPr>
            <w:r>
              <w:t xml:space="preserve">A</w:t>
            </w:r>
          </w:p>
        </w:tc>
      </w:tr>
      <w:tr>
        <w:tc>
          <w:tcPr/>
          <w:p>
            <w:pPr>
              <w:pStyle w:val="Compact"/>
              <w:jc w:val="left"/>
            </w:pPr>
            <w:r>
              <w:t xml:space="preserve">15</w:t>
            </w:r>
          </w:p>
        </w:tc>
        <w:tc>
          <w:tcPr/>
          <w:p>
            <w:pPr>
              <w:pStyle w:val="Compact"/>
              <w:jc w:val="left"/>
            </w:pPr>
            <w:r>
              <w:t xml:space="preserve">B</w:t>
            </w:r>
          </w:p>
        </w:tc>
        <w:tc>
          <w:tcPr/>
          <w:p>
            <w:pPr>
              <w:pStyle w:val="Compact"/>
              <w:jc w:val="left"/>
            </w:pPr>
            <w:r>
              <w:t xml:space="preserve">35</w:t>
            </w:r>
          </w:p>
        </w:tc>
        <w:tc>
          <w:tcPr/>
          <w:p>
            <w:pPr>
              <w:pStyle w:val="Compact"/>
              <w:jc w:val="left"/>
            </w:pPr>
            <w:r>
              <w:t xml:space="preserve">A</w:t>
            </w:r>
          </w:p>
        </w:tc>
        <w:tc>
          <w:tcPr/>
          <w:p>
            <w:pPr>
              <w:pStyle w:val="Compact"/>
              <w:jc w:val="left"/>
            </w:pPr>
            <w:r>
              <w:t xml:space="preserve">55</w:t>
            </w:r>
          </w:p>
        </w:tc>
        <w:tc>
          <w:tcPr/>
          <w:p>
            <w:pPr>
              <w:pStyle w:val="Compact"/>
              <w:jc w:val="left"/>
            </w:pPr>
            <w:r>
              <w:t xml:space="preserve">E</w:t>
            </w:r>
          </w:p>
        </w:tc>
        <w:tc>
          <w:tcPr/>
          <w:p>
            <w:pPr>
              <w:pStyle w:val="Compact"/>
              <w:jc w:val="left"/>
            </w:pPr>
            <w:r>
              <w:t xml:space="preserve">75</w:t>
            </w:r>
          </w:p>
        </w:tc>
        <w:tc>
          <w:tcPr/>
          <w:p>
            <w:pPr>
              <w:pStyle w:val="Compact"/>
              <w:jc w:val="left"/>
            </w:pPr>
            <w:r>
              <w:t xml:space="preserve">C</w:t>
            </w:r>
          </w:p>
        </w:tc>
        <w:tc>
          <w:tcPr/>
          <w:p>
            <w:pPr>
              <w:pStyle w:val="Compact"/>
              <w:jc w:val="left"/>
            </w:pPr>
            <w:r>
              <w:t xml:space="preserve">95</w:t>
            </w:r>
          </w:p>
        </w:tc>
        <w:tc>
          <w:tcPr/>
          <w:p>
            <w:pPr>
              <w:pStyle w:val="Compact"/>
              <w:jc w:val="left"/>
            </w:pPr>
            <w:r>
              <w:t xml:space="preserve">A</w:t>
            </w:r>
          </w:p>
        </w:tc>
      </w:tr>
      <w:tr>
        <w:tc>
          <w:tcPr/>
          <w:p>
            <w:pPr>
              <w:pStyle w:val="Compact"/>
              <w:jc w:val="left"/>
            </w:pPr>
            <w:r>
              <w:t xml:space="preserve">16</w:t>
            </w:r>
          </w:p>
        </w:tc>
        <w:tc>
          <w:tcPr/>
          <w:p>
            <w:pPr>
              <w:pStyle w:val="Compact"/>
              <w:jc w:val="left"/>
            </w:pPr>
            <w:r>
              <w:t xml:space="preserve">B</w:t>
            </w:r>
          </w:p>
        </w:tc>
        <w:tc>
          <w:tcPr/>
          <w:p>
            <w:pPr>
              <w:pStyle w:val="Compact"/>
              <w:jc w:val="left"/>
            </w:pPr>
            <w:r>
              <w:t xml:space="preserve">36</w:t>
            </w:r>
          </w:p>
        </w:tc>
        <w:tc>
          <w:tcPr/>
          <w:p>
            <w:pPr>
              <w:pStyle w:val="Compact"/>
              <w:jc w:val="left"/>
            </w:pPr>
            <w:r>
              <w:t xml:space="preserve">B</w:t>
            </w:r>
          </w:p>
        </w:tc>
        <w:tc>
          <w:tcPr/>
          <w:p>
            <w:pPr>
              <w:pStyle w:val="Compact"/>
              <w:jc w:val="left"/>
            </w:pPr>
            <w:r>
              <w:t xml:space="preserve">56</w:t>
            </w:r>
          </w:p>
        </w:tc>
        <w:tc>
          <w:tcPr/>
          <w:p>
            <w:pPr>
              <w:pStyle w:val="Compact"/>
              <w:jc w:val="left"/>
            </w:pPr>
            <w:r>
              <w:t xml:space="preserve">C</w:t>
            </w:r>
          </w:p>
        </w:tc>
        <w:tc>
          <w:tcPr/>
          <w:p>
            <w:pPr>
              <w:pStyle w:val="Compact"/>
              <w:jc w:val="left"/>
            </w:pPr>
            <w:r>
              <w:t xml:space="preserve">76</w:t>
            </w:r>
          </w:p>
        </w:tc>
        <w:tc>
          <w:tcPr/>
          <w:p>
            <w:pPr>
              <w:pStyle w:val="Compact"/>
              <w:jc w:val="left"/>
            </w:pPr>
            <w:r>
              <w:t xml:space="preserve">B</w:t>
            </w:r>
          </w:p>
        </w:tc>
        <w:tc>
          <w:tcPr/>
          <w:p>
            <w:pPr>
              <w:pStyle w:val="Compact"/>
              <w:jc w:val="left"/>
            </w:pPr>
            <w:r>
              <w:t xml:space="preserve">96</w:t>
            </w:r>
          </w:p>
        </w:tc>
        <w:tc>
          <w:tcPr/>
          <w:p>
            <w:pPr>
              <w:pStyle w:val="Compact"/>
              <w:jc w:val="left"/>
            </w:pPr>
            <w:r>
              <w:t xml:space="preserve">C</w:t>
            </w:r>
          </w:p>
        </w:tc>
      </w:tr>
      <w:tr>
        <w:tc>
          <w:tcPr/>
          <w:p>
            <w:pPr>
              <w:pStyle w:val="Compact"/>
              <w:jc w:val="left"/>
            </w:pPr>
            <w:r>
              <w:t xml:space="preserve">17</w:t>
            </w:r>
          </w:p>
        </w:tc>
        <w:tc>
          <w:tcPr/>
          <w:p>
            <w:pPr>
              <w:pStyle w:val="Compact"/>
              <w:jc w:val="left"/>
            </w:pPr>
            <w:r>
              <w:t xml:space="preserve">D</w:t>
            </w:r>
          </w:p>
        </w:tc>
        <w:tc>
          <w:tcPr/>
          <w:p>
            <w:pPr>
              <w:pStyle w:val="Compact"/>
              <w:jc w:val="left"/>
            </w:pPr>
            <w:r>
              <w:t xml:space="preserve">37</w:t>
            </w:r>
          </w:p>
        </w:tc>
        <w:tc>
          <w:tcPr/>
          <w:p>
            <w:pPr>
              <w:pStyle w:val="Compact"/>
              <w:jc w:val="left"/>
            </w:pPr>
            <w:r>
              <w:t xml:space="preserve">B</w:t>
            </w:r>
          </w:p>
        </w:tc>
        <w:tc>
          <w:tcPr/>
          <w:p>
            <w:pPr>
              <w:pStyle w:val="Compact"/>
              <w:jc w:val="left"/>
            </w:pPr>
            <w:r>
              <w:t xml:space="preserve">57</w:t>
            </w:r>
          </w:p>
        </w:tc>
        <w:tc>
          <w:tcPr/>
          <w:p>
            <w:pPr>
              <w:pStyle w:val="Compact"/>
              <w:jc w:val="left"/>
            </w:pPr>
            <w:r>
              <w:t xml:space="preserve">B</w:t>
            </w:r>
          </w:p>
        </w:tc>
        <w:tc>
          <w:tcPr/>
          <w:p>
            <w:pPr>
              <w:pStyle w:val="Compact"/>
              <w:jc w:val="left"/>
            </w:pPr>
            <w:r>
              <w:t xml:space="preserve">77</w:t>
            </w:r>
          </w:p>
        </w:tc>
        <w:tc>
          <w:tcPr/>
          <w:p>
            <w:pPr>
              <w:pStyle w:val="Compact"/>
              <w:jc w:val="left"/>
            </w:pPr>
            <w:r>
              <w:t xml:space="preserve">D</w:t>
            </w:r>
          </w:p>
        </w:tc>
        <w:tc>
          <w:tcPr/>
          <w:p>
            <w:pPr>
              <w:pStyle w:val="Compact"/>
              <w:jc w:val="left"/>
            </w:pPr>
            <w:r>
              <w:t xml:space="preserve">97</w:t>
            </w:r>
          </w:p>
        </w:tc>
        <w:tc>
          <w:tcPr/>
          <w:p>
            <w:pPr>
              <w:pStyle w:val="Compact"/>
              <w:jc w:val="left"/>
            </w:pPr>
            <w:r>
              <w:t xml:space="preserve">E</w:t>
            </w:r>
          </w:p>
        </w:tc>
      </w:tr>
      <w:tr>
        <w:tc>
          <w:tcPr/>
          <w:p>
            <w:pPr>
              <w:pStyle w:val="Compact"/>
              <w:jc w:val="left"/>
            </w:pPr>
            <w:r>
              <w:t xml:space="preserve">18</w:t>
            </w:r>
          </w:p>
        </w:tc>
        <w:tc>
          <w:tcPr/>
          <w:p>
            <w:pPr>
              <w:pStyle w:val="Compact"/>
              <w:jc w:val="left"/>
            </w:pPr>
            <w:r>
              <w:t xml:space="preserve">D</w:t>
            </w:r>
          </w:p>
        </w:tc>
        <w:tc>
          <w:tcPr/>
          <w:p>
            <w:pPr>
              <w:pStyle w:val="Compact"/>
              <w:jc w:val="left"/>
            </w:pPr>
            <w:r>
              <w:t xml:space="preserve">38</w:t>
            </w:r>
          </w:p>
        </w:tc>
        <w:tc>
          <w:tcPr/>
          <w:p>
            <w:pPr>
              <w:pStyle w:val="Compact"/>
              <w:jc w:val="left"/>
            </w:pPr>
            <w:r>
              <w:t xml:space="preserve">B</w:t>
            </w:r>
          </w:p>
        </w:tc>
        <w:tc>
          <w:tcPr/>
          <w:p>
            <w:pPr>
              <w:pStyle w:val="Compact"/>
              <w:jc w:val="left"/>
            </w:pPr>
            <w:r>
              <w:t xml:space="preserve">58</w:t>
            </w:r>
          </w:p>
        </w:tc>
        <w:tc>
          <w:tcPr/>
          <w:p>
            <w:pPr>
              <w:pStyle w:val="Compact"/>
              <w:jc w:val="left"/>
            </w:pPr>
            <w:r>
              <w:t xml:space="preserve">B</w:t>
            </w:r>
          </w:p>
        </w:tc>
        <w:tc>
          <w:tcPr/>
          <w:p>
            <w:pPr>
              <w:pStyle w:val="Compact"/>
              <w:jc w:val="left"/>
            </w:pPr>
            <w:r>
              <w:t xml:space="preserve">78</w:t>
            </w:r>
          </w:p>
        </w:tc>
        <w:tc>
          <w:tcPr/>
          <w:p>
            <w:pPr>
              <w:pStyle w:val="Compact"/>
              <w:jc w:val="left"/>
            </w:pPr>
            <w:r>
              <w:t xml:space="preserve">A</w:t>
            </w:r>
          </w:p>
        </w:tc>
        <w:tc>
          <w:tcPr/>
          <w:p>
            <w:pPr>
              <w:pStyle w:val="Compact"/>
              <w:jc w:val="left"/>
            </w:pPr>
            <w:r>
              <w:t xml:space="preserve">98</w:t>
            </w:r>
          </w:p>
        </w:tc>
        <w:tc>
          <w:tcPr/>
          <w:p>
            <w:pPr>
              <w:pStyle w:val="Compact"/>
              <w:jc w:val="left"/>
            </w:pPr>
            <w:r>
              <w:t xml:space="preserve">E</w:t>
            </w:r>
          </w:p>
        </w:tc>
      </w:tr>
      <w:tr>
        <w:tc>
          <w:tcPr/>
          <w:p>
            <w:pPr>
              <w:pStyle w:val="Compact"/>
              <w:jc w:val="left"/>
            </w:pPr>
            <w:r>
              <w:t xml:space="preserve">19</w:t>
            </w:r>
          </w:p>
        </w:tc>
        <w:tc>
          <w:tcPr/>
          <w:p>
            <w:pPr>
              <w:pStyle w:val="Compact"/>
              <w:jc w:val="left"/>
            </w:pPr>
            <w:r>
              <w:t xml:space="preserve">A</w:t>
            </w:r>
          </w:p>
        </w:tc>
        <w:tc>
          <w:tcPr/>
          <w:p>
            <w:pPr>
              <w:pStyle w:val="Compact"/>
              <w:jc w:val="left"/>
            </w:pPr>
            <w:r>
              <w:t xml:space="preserve">39</w:t>
            </w:r>
          </w:p>
        </w:tc>
        <w:tc>
          <w:tcPr/>
          <w:p>
            <w:pPr>
              <w:pStyle w:val="Compact"/>
              <w:jc w:val="left"/>
            </w:pPr>
            <w:r>
              <w:t xml:space="preserve">E</w:t>
            </w:r>
          </w:p>
        </w:tc>
        <w:tc>
          <w:tcPr/>
          <w:p>
            <w:pPr>
              <w:pStyle w:val="Compact"/>
              <w:jc w:val="left"/>
            </w:pPr>
            <w:r>
              <w:t xml:space="preserve">59</w:t>
            </w:r>
          </w:p>
        </w:tc>
        <w:tc>
          <w:tcPr/>
          <w:p>
            <w:pPr>
              <w:pStyle w:val="Compact"/>
              <w:jc w:val="left"/>
            </w:pPr>
            <w:r>
              <w:t xml:space="preserve">E</w:t>
            </w:r>
          </w:p>
        </w:tc>
        <w:tc>
          <w:tcPr/>
          <w:p>
            <w:pPr>
              <w:pStyle w:val="Compact"/>
              <w:jc w:val="left"/>
            </w:pPr>
            <w:r>
              <w:t xml:space="preserve">79</w:t>
            </w:r>
          </w:p>
        </w:tc>
        <w:tc>
          <w:tcPr/>
          <w:p>
            <w:pPr>
              <w:pStyle w:val="Compact"/>
              <w:jc w:val="left"/>
            </w:pPr>
            <w:r>
              <w:t xml:space="preserve">C</w:t>
            </w:r>
          </w:p>
        </w:tc>
        <w:tc>
          <w:tcPr/>
          <w:p>
            <w:pPr>
              <w:pStyle w:val="Compact"/>
              <w:jc w:val="left"/>
            </w:pPr>
            <w:r>
              <w:t xml:space="preserve">99</w:t>
            </w:r>
          </w:p>
        </w:tc>
        <w:tc>
          <w:tcPr/>
          <w:p>
            <w:pPr>
              <w:pStyle w:val="Compact"/>
              <w:jc w:val="left"/>
            </w:pPr>
            <w:r>
              <w:t xml:space="preserve">B</w:t>
            </w:r>
          </w:p>
        </w:tc>
      </w:tr>
      <w:tr>
        <w:tc>
          <w:tcPr/>
          <w:p>
            <w:pPr>
              <w:pStyle w:val="Compact"/>
              <w:jc w:val="left"/>
            </w:pPr>
            <w:r>
              <w:t xml:space="preserve">20</w:t>
            </w:r>
          </w:p>
        </w:tc>
        <w:tc>
          <w:tcPr/>
          <w:p>
            <w:pPr>
              <w:pStyle w:val="Compact"/>
              <w:jc w:val="left"/>
            </w:pPr>
            <w:r>
              <w:t xml:space="preserve">E</w:t>
            </w:r>
          </w:p>
        </w:tc>
        <w:tc>
          <w:tcPr/>
          <w:p>
            <w:pPr>
              <w:pStyle w:val="Compact"/>
              <w:jc w:val="left"/>
            </w:pPr>
            <w:r>
              <w:t xml:space="preserve">40</w:t>
            </w:r>
          </w:p>
        </w:tc>
        <w:tc>
          <w:tcPr/>
          <w:p>
            <w:pPr>
              <w:pStyle w:val="Compact"/>
              <w:jc w:val="left"/>
            </w:pPr>
            <w:r>
              <w:t xml:space="preserve">A</w:t>
            </w:r>
          </w:p>
        </w:tc>
        <w:tc>
          <w:tcPr/>
          <w:p>
            <w:pPr>
              <w:pStyle w:val="Compact"/>
              <w:jc w:val="left"/>
            </w:pPr>
            <w:r>
              <w:t xml:space="preserve">60</w:t>
            </w:r>
          </w:p>
        </w:tc>
        <w:tc>
          <w:tcPr/>
          <w:p>
            <w:pPr>
              <w:pStyle w:val="Compact"/>
              <w:jc w:val="left"/>
            </w:pPr>
            <w:r>
              <w:t xml:space="preserve">C</w:t>
            </w:r>
          </w:p>
        </w:tc>
        <w:tc>
          <w:tcPr/>
          <w:p>
            <w:pPr>
              <w:pStyle w:val="Compact"/>
              <w:jc w:val="left"/>
            </w:pPr>
            <w:r>
              <w:t xml:space="preserve">80</w:t>
            </w:r>
          </w:p>
        </w:tc>
        <w:tc>
          <w:tcPr/>
          <w:p>
            <w:pPr>
              <w:pStyle w:val="Compact"/>
              <w:jc w:val="left"/>
            </w:pPr>
            <w:r>
              <w:t xml:space="preserve">D</w:t>
            </w:r>
          </w:p>
        </w:tc>
        <w:tc>
          <w:tcPr/>
          <w:p>
            <w:pPr>
              <w:pStyle w:val="Compact"/>
              <w:jc w:val="left"/>
            </w:pPr>
            <w:r>
              <w:t xml:space="preserve">100</w:t>
            </w:r>
          </w:p>
        </w:tc>
        <w:tc>
          <w:tcPr/>
          <w:p>
            <w:pPr>
              <w:pStyle w:val="Compact"/>
              <w:jc w:val="left"/>
            </w:pPr>
            <w:r>
              <w:t xml:space="preserve">D</w:t>
            </w:r>
          </w:p>
        </w:tc>
      </w:tr>
    </w:tbl>
    <w:p>
      <w:pPr>
        <w:pStyle w:val="BodyText"/>
      </w:pPr>
      <w:r>
        <w:t xml:space="preserve">Harf dağılımı: A 20 · B 20 · C 20 · D 20 · E 20</w:t>
      </w:r>
    </w:p>
    <w:bookmarkEnd w:id="20"/>
    <w:bookmarkStart w:id="21" w:name="denemenin-yapısı"/>
    <w:p>
      <w:pPr>
        <w:pStyle w:val="Heading3"/>
      </w:pPr>
      <w:r>
        <w:t xml:space="preserve">2. Denemenin yapısı</w:t>
      </w:r>
    </w:p>
    <w:p>
      <w:pPr>
        <w:pStyle w:val="FirstParagraph"/>
      </w:pPr>
      <w:r>
        <w:rPr>
          <w:bCs/>
          <w:b/>
        </w:rPr>
        <w:t xml:space="preserve">Blok düzeni:</w:t>
      </w:r>
      <w:r>
        <w:t xml:space="preserve"> </w:t>
      </w:r>
      <w:r>
        <w:t xml:space="preserve">1–3 Sözel (GM + Sair) · 4–20 Tarife · 21–58 Sözel (GM + Sair) · 59–69 Hesap · 70–100 Sözel (GM + Sair)</w:t>
      </w:r>
    </w:p>
    <w:p>
      <w:pPr>
        <w:pStyle w:val="BodyText"/>
      </w:pPr>
      <w:r>
        <w:rPr>
          <w:bCs/>
          <w:b/>
        </w:rPr>
        <w:t xml:space="preserve">Alt tip dağılımı:</w:t>
      </w:r>
      <w:r>
        <w:t xml:space="preserve"> </w:t>
      </w:r>
      <w:r>
        <w:t xml:space="preserve">O1 13 · O2 13 · O4 7 · Ö3 6 · G1 5 · Ö1 5 · D3 5 · D5 4 · D4 3 · Ö2 3 · D2 3 · K1 3 · H6 3 · V4 2 · D6 2 · B1 2 · E1 2 · D1 2 · H3 2 · H1 2 · Ö4 1 · G4 1 · S2 1 · E2 1 · B2 1 · V1 1 · V2 1 · E3 1 · H4 1 · H7 1 · H2 1 · H8 1 · Ö5 1</w:t>
      </w:r>
    </w:p>
    <w:p>
      <w:pPr>
        <w:pStyle w:val="BodyText"/>
      </w:pPr>
      <w:r>
        <w:rPr>
          <w:bCs/>
          <w:b/>
        </w:rPr>
        <w:t xml:space="preserve">Konu dağılımı:</w:t>
      </w:r>
      <w:r>
        <w:t xml:space="preserve"> </w:t>
      </w:r>
      <w:r>
        <w:t xml:space="preserve">Hesap 11 · Tarife – fasıl/pozisyon kapsamı 7 · Tercihli ticaret, menşe belgeleri 5 · Transit 4 · Antrepo 4 · 5607 Kaçakçılık 3 · Tarife – GTİP yapısı, HS, 474 3 · Tarife – notlar, izahname 3 · Muafiyetler 3 · Gümrük kıymeti 3 · İhracat rejimi 3 · YYS, yerinde gümrükleme 3 · Kambiyo 3 · Tarife – GYKK 2 · Tarife – tanımı verilen eşya 2 · Özet beyan, geçici depolama 2 · Gümrük beyanı, muayene 2 · Yükümlülük, teminat, tecil 2 · Geçici ithalat 2 · Geri gelen eşya 2 · Incoterms, ödeme şekilleri 2 · DTÖ, TFA, DGÖ 2 · Ürün güvenliği, TAREKS 2 · TIR, ATA 2 · Gümrük müşavirliği, temsil 2 · Cezalar, uzlaşma, itiraz 2 · ÖTV 2 · Damga vergisi, KKDF 2 · Genel hükümler 1 · Dahilde işleme 1 · Hariçte işleme / GKAİR 1 · Serbest dolaşım, nihai kullanım 1 · İhracat (gümrük) 1 · Menşe, BTB/BMB 1 · Geri verme – kaldırma 1 · İthalat rejimi 1 · DİR (Ticaret) 1 · 1/95 OKK, Gümrük Birliği 1 · Akaryakıt, kumanya 1 · GSM, sınır ticareti, serbest bölge 1 · Posta ve hızlı kargo 1 · Fikri ve sınai haklar 1 · KDV 1</w:t>
      </w:r>
    </w:p>
    <w:p>
      <w:pPr>
        <w:pStyle w:val="BodyText"/>
      </w:pPr>
      <w:r>
        <w:t xml:space="preserve">Alt tip kodları için:</w:t>
      </w:r>
      <w:r>
        <w:t xml:space="preserve"> </w:t>
      </w:r>
      <w:r>
        <w:rPr>
          <w:rStyle w:val="VerbatimChar"/>
        </w:rPr>
        <w:t xml:space="preserve">00-SORU-YAZARI-ANALIZI-VE-PROMPTLAR/12-SORU-TIPI-KATALOGU</w:t>
      </w:r>
      <w:r>
        <w:t xml:space="preserve">.</w:t>
      </w:r>
    </w:p>
    <w:bookmarkEnd w:id="21"/>
    <w:bookmarkStart w:id="122" w:name="açıklamalı-çözümler"/>
    <w:p>
      <w:pPr>
        <w:pStyle w:val="Heading3"/>
      </w:pPr>
      <w:r>
        <w:t xml:space="preserve">3. Açıklamalı çözümler</w:t>
      </w:r>
    </w:p>
    <w:bookmarkStart w:id="22" w:name="soru-cevap-a"/>
    <w:p>
      <w:pPr>
        <w:pStyle w:val="Heading4"/>
      </w:pPr>
      <w:r>
        <w:t xml:space="preserve">1. soru — Cevap: A</w:t>
      </w:r>
    </w:p>
    <w:p>
      <w:pPr>
        <w:pStyle w:val="FirstParagraph"/>
      </w:pPr>
      <w:r>
        <w:rPr>
          <w:iCs/>
          <w:i/>
        </w:rPr>
        <w:t xml:space="preserve">SAİR · 5607 Kaçakçılık · D4</w:t>
      </w:r>
    </w:p>
    <w:p>
      <w:pPr>
        <w:pStyle w:val="BodyText"/>
      </w:pPr>
      <w:r>
        <w:rPr>
          <w:bCs/>
          <w:b/>
        </w:rPr>
        <w:t xml:space="preserve">Doğru şık:</w:t>
      </w:r>
      <w:r>
        <w:t xml:space="preserve"> </w:t>
      </w:r>
      <w:r>
        <w:t xml:space="preserve">A) Ülkeye giriş yönünde, yolcu beraberinde değerlendirilmeyen eşya içerisinde gizlenmiş nakdin tespit edilmesi</w:t>
      </w:r>
    </w:p>
    <w:p>
      <w:pPr>
        <w:pStyle w:val="BodyText"/>
      </w:pPr>
      <w:r>
        <w:t xml:space="preserve">Genelgeye göre yolcu beraberinde değerlendirilmeyen eşya içerisinde gizlenmiş nakdin tespiti hâlinde ülkeye giriş yönünde 5607 sayılı Kaçakçılıkla Mücadele Kanunu, ülkeden çıkış yönünde ise 1567 sayılı Kanunun 3/1 fıkrası uyarınca Cumhuriyet savcısına suç duyurusunda bulunulur. Açıklama istenen yolcunun yanlış veya yanıltıcı açıklaması ile beyan edilmesi gereken efektif veya Türk parasının beyansız çıkarılmaya çalışılması hâllerinde de bildirim 1567 sayılı Kanunun 3/1 fıkrası uyarınca yapılır.</w:t>
      </w:r>
    </w:p>
    <w:p>
      <w:pPr>
        <w:pStyle w:val="BodyText"/>
      </w:pPr>
      <w:r>
        <w:rPr>
          <w:bCs/>
          <w:b/>
        </w:rPr>
        <w:t xml:space="preserve">Tuzak:</w:t>
      </w:r>
      <w:r>
        <w:t xml:space="preserve"> </w:t>
      </w:r>
      <w:r>
        <w:t xml:space="preserve">Gizlenmiş nakdin her iki yönde de kaçakçılık sayılacağını düşünen aday çıkış yönündeki gizleme şıkkını seçer.</w:t>
      </w:r>
    </w:p>
    <w:p>
      <w:pPr>
        <w:pStyle w:val="BodyText"/>
      </w:pPr>
      <w:r>
        <w:rPr>
          <w:bCs/>
          <w:b/>
        </w:rPr>
        <w:t xml:space="preserve">Dayanak:</w:t>
      </w:r>
      <w:r>
        <w:t xml:space="preserve"> </w:t>
      </w:r>
      <w:r>
        <w:t xml:space="preserve">Nakit Kontrolleri Genelgesi (2024/1) md. 3.3, 3.4; 2008-32/34 sayılı Tebliğ md. 3/6 ve 4/3</w:t>
      </w:r>
    </w:p>
    <w:bookmarkEnd w:id="22"/>
    <w:bookmarkStart w:id="23" w:name="soru-cevap-c"/>
    <w:p>
      <w:pPr>
        <w:pStyle w:val="Heading4"/>
      </w:pPr>
      <w:r>
        <w:t xml:space="preserve">2. soru — Cevap: C</w:t>
      </w:r>
    </w:p>
    <w:p>
      <w:pPr>
        <w:pStyle w:val="FirstParagraph"/>
      </w:pPr>
      <w:r>
        <w:rPr>
          <w:iCs/>
          <w:i/>
        </w:rPr>
        <w:t xml:space="preserve">SAİR · 5607 Kaçakçılık · Ö2</w:t>
      </w:r>
    </w:p>
    <w:p>
      <w:pPr>
        <w:pStyle w:val="BodyText"/>
      </w:pPr>
      <w:r>
        <w:rPr>
          <w:bCs/>
          <w:b/>
        </w:rPr>
        <w:t xml:space="preserve">Doğru şık:</w:t>
      </w:r>
      <w:r>
        <w:t xml:space="preserve"> </w:t>
      </w:r>
      <w:r>
        <w:t xml:space="preserve">C) I ve IV</w:t>
      </w:r>
    </w:p>
    <w:p>
      <w:pPr>
        <w:pStyle w:val="BodyText"/>
      </w:pPr>
      <w:r>
        <w:t xml:space="preserve">Kanuna göre iddianamenin bir örneği davaya katılmaya yetkili ilgili gümrük idaresine gönderilir; idare katılmak zorunda değildir, başvurduğu takdirde katılan sıfatını alır ve hâkimin bu talebi kabul edip etmeme konusunda takdir yetkisi yoktur. Elkonulan Eşya ve Alıkonulan Taşıtlara İlişkin Uygulama Yönetmeliği uyarınca sahte para TCMB şubelerine teslim edilir. Numune analiz sonuçları teknik düzenlemelere uygun olmayan kaçak akaryakıt ulusal marker eklenerek tasfiye edilmez, en yakın rafinericiye satılır. Bu nedenle I ve IV yanlıştır.</w:t>
      </w:r>
    </w:p>
    <w:p>
      <w:pPr>
        <w:pStyle w:val="BodyText"/>
      </w:pPr>
      <w:r>
        <w:rPr>
          <w:bCs/>
          <w:b/>
        </w:rPr>
        <w:t xml:space="preserve">Tuzak:</w:t>
      </w:r>
      <w:r>
        <w:t xml:space="preserve"> </w:t>
      </w:r>
      <w:r>
        <w:t xml:space="preserve">Ulusal marker eklenmesini kaçak akaryakıtın piyasaya kazandırılmasının olağan yolu sanan aday IV’ü doğru, CMK’daki genel katılma kuralını düşünen aday ise I’i doğru kabul eder.</w:t>
      </w:r>
    </w:p>
    <w:p>
      <w:pPr>
        <w:pStyle w:val="BodyText"/>
      </w:pPr>
      <w:r>
        <w:rPr>
          <w:bCs/>
          <w:b/>
        </w:rPr>
        <w:t xml:space="preserve">Dayanak:</w:t>
      </w:r>
      <w:r>
        <w:t xml:space="preserve"> </w:t>
      </w:r>
      <w:r>
        <w:t xml:space="preserve">5607 sayılı Kanun (kamu davasına katılma hükmü ve elkonulan akaryakıta ilişkin hüküm); 5607 sayılı Kanuna Göre Elkonulan Eşya ve Alıkonulan Taşıtlara İlişkin Uygulama Yönetmeliği; Elkonulan Akaryakıtın Teslimi, Muhafazası, Tasfiyesi ve Yapılan Masraflara İlişkin Uygulama Yönetmeliği</w:t>
      </w:r>
    </w:p>
    <w:bookmarkEnd w:id="23"/>
    <w:bookmarkStart w:id="24" w:name="soru-cevap-a-1"/>
    <w:p>
      <w:pPr>
        <w:pStyle w:val="Heading4"/>
      </w:pPr>
      <w:r>
        <w:t xml:space="preserve">3. soru — Cevap: A</w:t>
      </w:r>
    </w:p>
    <w:p>
      <w:pPr>
        <w:pStyle w:val="FirstParagraph"/>
      </w:pPr>
      <w:r>
        <w:rPr>
          <w:iCs/>
          <w:i/>
        </w:rPr>
        <w:t xml:space="preserve">SAİR · 5607 Kaçakçılık · Ö4</w:t>
      </w:r>
    </w:p>
    <w:p>
      <w:pPr>
        <w:pStyle w:val="BodyText"/>
      </w:pPr>
      <w:r>
        <w:rPr>
          <w:bCs/>
          <w:b/>
        </w:rPr>
        <w:t xml:space="preserve">Doğru şık:</w:t>
      </w:r>
      <w:r>
        <w:t xml:space="preserve"> </w:t>
      </w:r>
      <w:r>
        <w:t xml:space="preserve">A) Yalnız I</w:t>
      </w:r>
    </w:p>
    <w:p>
      <w:pPr>
        <w:pStyle w:val="BodyText"/>
      </w:pPr>
      <w:r>
        <w:t xml:space="preserve">Tebliğe göre zarara uğrayacağı, değerinde esaslı ölçüde kayıp meydana gelme tehlikesinin olacağı veya muhafazasının ciddi külfet oluşturacağı belgelerinden veya fiili durumundan anlaşılan kaçak eşya bekletilmeyecek nitelikte olup bir aylık süre beklenilmeksizin tasfiye kararı talep edilebilir; I bu hâllerden biridir. Kaçak zannıyla elkonulan akaryakıt bu tasfiye usulünün dışında tutulmuştur; taşıtın değeri kadar teminatın otuz gün içinde verilmemesi ise alıkonulan taşıtın tasfiyesine ilişkin koşuldur.</w:t>
      </w:r>
    </w:p>
    <w:p>
      <w:pPr>
        <w:pStyle w:val="BodyText"/>
      </w:pPr>
      <w:r>
        <w:rPr>
          <w:bCs/>
          <w:b/>
        </w:rPr>
        <w:t xml:space="preserve">Tuzak:</w:t>
      </w:r>
      <w:r>
        <w:t xml:space="preserve"> </w:t>
      </w:r>
      <w:r>
        <w:t xml:space="preserve">Akaryakıtın kolay bozulabilir/tehlikeli olduğunu düşünüp bekletilmeyecek eşya sayan aday ’I ve II’ye kayar.</w:t>
      </w:r>
    </w:p>
    <w:p>
      <w:pPr>
        <w:pStyle w:val="BodyText"/>
      </w:pPr>
      <w:r>
        <w:rPr>
          <w:bCs/>
          <w:b/>
        </w:rPr>
        <w:t xml:space="preserve">Dayanak:</w:t>
      </w:r>
      <w:r>
        <w:t xml:space="preserve"> </w:t>
      </w:r>
      <w:r>
        <w:t xml:space="preserve">Tasfiye Genel Tebliği (Kaçak Eşya ve Kaçak Eşya Naklinde Kullanılan Taşıtlara İlişkin İşlemler) (Seri No: 1) md. 7/1, 7/4 ve 8/1-2</w:t>
      </w:r>
    </w:p>
    <w:bookmarkEnd w:id="24"/>
    <w:bookmarkStart w:id="25" w:name="soru-cevap-a-2"/>
    <w:p>
      <w:pPr>
        <w:pStyle w:val="Heading4"/>
      </w:pPr>
      <w:r>
        <w:t xml:space="preserve">4. soru — Cevap: A</w:t>
      </w:r>
    </w:p>
    <w:p>
      <w:pPr>
        <w:pStyle w:val="FirstParagraph"/>
      </w:pPr>
      <w:r>
        <w:rPr>
          <w:iCs/>
          <w:i/>
        </w:rPr>
        <w:t xml:space="preserve">TARİFE · Tarife – GTİP yapısı, HS, 474 · O4</w:t>
      </w:r>
    </w:p>
    <w:p>
      <w:pPr>
        <w:pStyle w:val="BodyText"/>
      </w:pPr>
      <w:r>
        <w:rPr>
          <w:bCs/>
          <w:b/>
        </w:rPr>
        <w:t xml:space="preserve">Doğru şık:</w:t>
      </w:r>
      <w:r>
        <w:t xml:space="preserve"> </w:t>
      </w:r>
      <w:r>
        <w:t xml:space="preserve">A) 98 inci fasıl, özel amaçlı gümrük tarife istatistik pozisyonlarına ayrılmıştır.</w:t>
      </w:r>
    </w:p>
    <w:p>
      <w:pPr>
        <w:pStyle w:val="BodyText"/>
      </w:pPr>
      <w:r>
        <w:t xml:space="preserve">Türk Gümrük Tarife Cetvelinde 98 inci fasıl</w:t>
      </w:r>
      <w:r>
        <w:t xml:space="preserve"> </w:t>
      </w:r>
      <w:r>
        <w:t xml:space="preserve">‘</w:t>
      </w:r>
      <w:r>
        <w:t xml:space="preserve">akit taraflarca özel amaçlarla kullanılmak üzere saklı tutulmuş</w:t>
      </w:r>
      <w:r>
        <w:t xml:space="preserve">’</w:t>
      </w:r>
      <w:r>
        <w:t xml:space="preserve"> </w:t>
      </w:r>
      <w:r>
        <w:t xml:space="preserve">olup özel amaçlı gümrük tarife istatistik pozisyonlarına ayrılan fasıl 99 uncu fasıldır; ifade iki faslın niteliğini yer değiştirmiştir. Bölüm, fasıl ve tarife pozisyonu tanımları Tebliğin 4 üncü maddesindeki tanımlarla aynıdır; 77 nci fasıl Armonize Sistem Nomanklatüründe ileride kullanılmak üzere saklı tutulmuştur.</w:t>
      </w:r>
    </w:p>
    <w:p>
      <w:pPr>
        <w:pStyle w:val="BodyText"/>
      </w:pPr>
      <w:r>
        <w:rPr>
          <w:bCs/>
          <w:b/>
        </w:rPr>
        <w:t xml:space="preserve">Tuzak:</w:t>
      </w:r>
      <w:r>
        <w:t xml:space="preserve"> </w:t>
      </w:r>
      <w:r>
        <w:t xml:space="preserve">Fasıl 98 ve 99’un ikisini de</w:t>
      </w:r>
      <w:r>
        <w:t xml:space="preserve"> </w:t>
      </w:r>
      <w:r>
        <w:t xml:space="preserve">‘</w:t>
      </w:r>
      <w:r>
        <w:t xml:space="preserve">özel amaçlı</w:t>
      </w:r>
      <w:r>
        <w:t xml:space="preserve">’</w:t>
      </w:r>
      <w:r>
        <w:t xml:space="preserve"> </w:t>
      </w:r>
      <w:r>
        <w:t xml:space="preserve">bilen aday, saklı tutulan fasıl ile milli GTİP’lere ayrılan faslı karıştırır.</w:t>
      </w:r>
    </w:p>
    <w:p>
      <w:pPr>
        <w:pStyle w:val="BodyText"/>
      </w:pPr>
      <w:r>
        <w:rPr>
          <w:bCs/>
          <w:b/>
        </w:rPr>
        <w:t xml:space="preserve">Dayanak:</w:t>
      </w:r>
      <w:r>
        <w:t xml:space="preserve"> </w:t>
      </w:r>
      <w:r>
        <w:t xml:space="preserve">Gümrük Genel Tebliği (Gümrük Tarife Cetveli İzahnamesi) (Seri No: 4) md. 4(c), (d), (g); TGTC İçindekiler: Fasıl 77 (AS’de ileride kullanılmak üzere saklı), Fasıl 98 (akit taraflarca özel amaçlarla kullanılmak üzere saklı), Fasıl 99 (Özel Amaçlı Gümrük Tarife İstatistik Pozisyonları).</w:t>
      </w:r>
    </w:p>
    <w:bookmarkEnd w:id="25"/>
    <w:bookmarkStart w:id="26" w:name="soru-cevap-c-1"/>
    <w:p>
      <w:pPr>
        <w:pStyle w:val="Heading4"/>
      </w:pPr>
      <w:r>
        <w:t xml:space="preserve">5. soru — Cevap: C</w:t>
      </w:r>
    </w:p>
    <w:p>
      <w:pPr>
        <w:pStyle w:val="FirstParagraph"/>
      </w:pPr>
      <w:r>
        <w:rPr>
          <w:iCs/>
          <w:i/>
        </w:rPr>
        <w:t xml:space="preserve">TARİFE · Tarife – GTİP yapısı, HS, 474 · D5</w:t>
      </w:r>
    </w:p>
    <w:p>
      <w:pPr>
        <w:pStyle w:val="BodyText"/>
      </w:pPr>
      <w:r>
        <w:rPr>
          <w:bCs/>
          <w:b/>
        </w:rPr>
        <w:t xml:space="preserve">Doğru şık:</w:t>
      </w:r>
      <w:r>
        <w:t xml:space="preserve"> </w:t>
      </w:r>
      <w:r>
        <w:t xml:space="preserve">C) 85.39</w:t>
      </w:r>
    </w:p>
    <w:p>
      <w:pPr>
        <w:pStyle w:val="BodyText"/>
      </w:pPr>
      <w:r>
        <w:t xml:space="preserve">85.39 pozisyon metni ’LED ışık kaynakları’nı da kapsar. 85. Faslın 11 nolu notuna göre LED ampuller, bir veya daha fazla LED modül ile elektriksel, mekanik, termal ve optik elemanlar içeren ve bir aydınlatma cihazına kolay kuruluma imkân veren bir kapağa (tabana) sahip ürünlerdir; bunlar 8539.52 alt pozisyonunda yer alır. 85.41’deki ışık yayan diyotlar güç kaynağı veya güç kontrolü sağlayan eleman içermez ve 85.39 açıklama notları LED’leri bu pozisyon dışında tutar. 94. Fasıl 85. Fasıldaki ampul ve ışık kaynaklarını kapsamaz; 85.36 ampul duylarını, 85.13 kendi enerji kaynağıyla çalışan portatif lambaları kapsar.</w:t>
      </w:r>
    </w:p>
    <w:p>
      <w:pPr>
        <w:pStyle w:val="BodyText"/>
      </w:pPr>
      <w:r>
        <w:rPr>
          <w:bCs/>
          <w:b/>
        </w:rPr>
        <w:t xml:space="preserve">Tuzak:</w:t>
      </w:r>
      <w:r>
        <w:t xml:space="preserve"> </w:t>
      </w:r>
      <w:r>
        <w:t xml:space="preserve">‘</w:t>
      </w:r>
      <w:r>
        <w:t xml:space="preserve">Işık yayan diyot</w:t>
      </w:r>
      <w:r>
        <w:t xml:space="preserve">’</w:t>
      </w:r>
      <w:r>
        <w:t xml:space="preserve"> </w:t>
      </w:r>
      <w:r>
        <w:t xml:space="preserve">ifadesi 85.41’e,</w:t>
      </w:r>
      <w:r>
        <w:t xml:space="preserve"> </w:t>
      </w:r>
      <w:r>
        <w:t xml:space="preserve">‘</w:t>
      </w:r>
      <w:r>
        <w:t xml:space="preserve">aydınlatma cihazı</w:t>
      </w:r>
      <w:r>
        <w:t xml:space="preserve">’</w:t>
      </w:r>
      <w:r>
        <w:t xml:space="preserve"> </w:t>
      </w:r>
      <w:r>
        <w:t xml:space="preserve">94.05’e,</w:t>
      </w:r>
      <w:r>
        <w:t xml:space="preserve"> </w:t>
      </w:r>
      <w:r>
        <w:t xml:space="preserve">‘</w:t>
      </w:r>
      <w:r>
        <w:t xml:space="preserve">vidalı taban/duy</w:t>
      </w:r>
      <w:r>
        <w:t xml:space="preserve">’</w:t>
      </w:r>
      <w:r>
        <w:t xml:space="preserve"> </w:t>
      </w:r>
      <w:r>
        <w:t xml:space="preserve">ise ampul duylarının yer aldığı 85.36’ya çeker.</w:t>
      </w:r>
    </w:p>
    <w:p>
      <w:pPr>
        <w:pStyle w:val="BodyText"/>
      </w:pPr>
      <w:r>
        <w:rPr>
          <w:bCs/>
          <w:b/>
        </w:rPr>
        <w:t xml:space="preserve">Dayanak:</w:t>
      </w:r>
      <w:r>
        <w:t xml:space="preserve"> </w:t>
      </w:r>
      <w:r>
        <w:t xml:space="preserve">GYKK 1: 85.39 pozisyon metni (LED ışık kaynakları; 8539.52 LED ampuller) ve Fasıl 85 Not 11(b). Çeldiriciler: 85.41 (LED diyotlar; Not 12 ve 85.39 açıklaması hariç (e)), 94.05 (aydınlatma cihazları; Fasıl 94 Not 1(f) 85. Fasıl ampul ve ışık kaynaklarını hariç tutar), 85.36 (ampul duyları), 85.13 (portatif lambalar).</w:t>
      </w:r>
    </w:p>
    <w:bookmarkEnd w:id="26"/>
    <w:bookmarkStart w:id="27" w:name="soru-cevap-e"/>
    <w:p>
      <w:pPr>
        <w:pStyle w:val="Heading4"/>
      </w:pPr>
      <w:r>
        <w:t xml:space="preserve">6. soru — Cevap: E</w:t>
      </w:r>
    </w:p>
    <w:p>
      <w:pPr>
        <w:pStyle w:val="FirstParagraph"/>
      </w:pPr>
      <w:r>
        <w:rPr>
          <w:iCs/>
          <w:i/>
        </w:rPr>
        <w:t xml:space="preserve">TARİFE · Tarife – GTİP yapısı, HS, 474 · D4</w:t>
      </w:r>
    </w:p>
    <w:p>
      <w:pPr>
        <w:pStyle w:val="BodyText"/>
      </w:pPr>
      <w:r>
        <w:rPr>
          <w:bCs/>
          <w:b/>
        </w:rPr>
        <w:t xml:space="preserve">Doğru şık:</w:t>
      </w:r>
      <w:r>
        <w:t xml:space="preserve"> </w:t>
      </w:r>
      <w:r>
        <w:t xml:space="preserve">E) Deriden bel kemeri</w:t>
      </w:r>
    </w:p>
    <w:p>
      <w:pPr>
        <w:numPr>
          <w:ilvl w:val="0"/>
          <w:numId w:val="1001"/>
        </w:numPr>
        <w:pStyle w:val="Compact"/>
      </w:pPr>
      <w:r>
        <w:t xml:space="preserve">Faslın 4 nolu notuna göre 42.03 pozisyonu anlamında</w:t>
      </w:r>
      <w:r>
        <w:t xml:space="preserve"> </w:t>
      </w:r>
      <w:r>
        <w:t xml:space="preserve">‘</w:t>
      </w:r>
      <w:r>
        <w:t xml:space="preserve">giyim eşyası ve aksesuarları</w:t>
      </w:r>
      <w:r>
        <w:t xml:space="preserve">’</w:t>
      </w:r>
      <w:r>
        <w:t xml:space="preserve"> </w:t>
      </w:r>
      <w:r>
        <w:t xml:space="preserve">bel kemerlerini de kapsar; deriden bel kemeri bu nedenle 42.03’te, yani VIII. Bölümde yer alır. Kauçuktan banyo bonesi (65.06), şemsiye (66.01), kırbaç (66.02) ve insan saçından peruk (67.04) XII. Bölümdedir. XII. Bölümün başlığında</w:t>
      </w:r>
      <w:r>
        <w:t xml:space="preserve"> </w:t>
      </w:r>
      <w:r>
        <w:t xml:space="preserve">‘</w:t>
      </w:r>
      <w:r>
        <w:t xml:space="preserve">kemerler</w:t>
      </w:r>
      <w:r>
        <w:t xml:space="preserve">’</w:t>
      </w:r>
      <w:r>
        <w:t xml:space="preserve"> </w:t>
      </w:r>
      <w:r>
        <w:t xml:space="preserve">ibaresinin geçmesi sonucu değiştirmez; GYKK 1 uyarınca bölüm başlıkları sadece gösterici niteliktedir.</w:t>
      </w:r>
    </w:p>
    <w:p>
      <w:pPr>
        <w:pStyle w:val="FirstParagraph"/>
      </w:pPr>
      <w:r>
        <w:rPr>
          <w:bCs/>
          <w:b/>
        </w:rPr>
        <w:t xml:space="preserve">Tuzak:</w:t>
      </w:r>
      <w:r>
        <w:t xml:space="preserve"> </w:t>
      </w:r>
      <w:r>
        <w:t xml:space="preserve">XII. Bölüm başlığında</w:t>
      </w:r>
      <w:r>
        <w:t xml:space="preserve"> </w:t>
      </w:r>
      <w:r>
        <w:t xml:space="preserve">‘</w:t>
      </w:r>
      <w:r>
        <w:t xml:space="preserve">kemerler</w:t>
      </w:r>
      <w:r>
        <w:t xml:space="preserve">’</w:t>
      </w:r>
      <w:r>
        <w:t xml:space="preserve"> </w:t>
      </w:r>
      <w:r>
        <w:t xml:space="preserve">ibaresini gören aday deri kemeri bu bölümde sanır ve başka bir eşyayı (çoğunlukla kauçuktan boneyi) farklı bölüm diye işaretler.</w:t>
      </w:r>
    </w:p>
    <w:p>
      <w:pPr>
        <w:pStyle w:val="BodyText"/>
      </w:pPr>
      <w:r>
        <w:rPr>
          <w:bCs/>
          <w:b/>
        </w:rPr>
        <w:t xml:space="preserve">Dayanak:</w:t>
      </w:r>
      <w:r>
        <w:t xml:space="preserve"> </w:t>
      </w:r>
      <w:r>
        <w:t xml:space="preserve">GYKK 1 (başlıklar gösterici); Fasıl 42 Not 4 ve 42.03 (VIII. Bölüm). Diğerleri XII. Bölüm: 65.06 (kauçuk veya plastikten başlıklar, banyo boneleri), 66.01 (şemsiyeler), 66.02 (bastonlar, kamçılar, kırbaçlar), 67.04 (peruklar).</w:t>
      </w:r>
    </w:p>
    <w:bookmarkEnd w:id="27"/>
    <w:bookmarkStart w:id="28" w:name="soru-cevap-a-3"/>
    <w:p>
      <w:pPr>
        <w:pStyle w:val="Heading4"/>
      </w:pPr>
      <w:r>
        <w:t xml:space="preserve">7. soru — Cevap: A</w:t>
      </w:r>
    </w:p>
    <w:p>
      <w:pPr>
        <w:pStyle w:val="FirstParagraph"/>
      </w:pPr>
      <w:r>
        <w:rPr>
          <w:iCs/>
          <w:i/>
        </w:rPr>
        <w:t xml:space="preserve">TARİFE · Tarife – GYKK · G4</w:t>
      </w:r>
    </w:p>
    <w:p>
      <w:pPr>
        <w:pStyle w:val="BodyText"/>
      </w:pPr>
      <w:r>
        <w:rPr>
          <w:bCs/>
          <w:b/>
        </w:rPr>
        <w:t xml:space="preserve">Doğru şık:</w:t>
      </w:r>
      <w:r>
        <w:t xml:space="preserve"> </w:t>
      </w:r>
      <w:r>
        <w:t xml:space="preserve">A) Evlerde kullanılan, uygun şekil ve büyüklükte ve yeterli sayıda boş baharat kavanozu bulunan, özel olarak düzenlenmiş ahşap çerçeveli baharat dolabı</w:t>
      </w:r>
    </w:p>
    <w:p>
      <w:pPr>
        <w:pStyle w:val="BodyText"/>
      </w:pPr>
      <w:r>
        <w:t xml:space="preserve">GYKK 3(b) açıklama notlarında ayrılabilir parçalı bileşik eşyaya örnek olarak ayrılabilen kül tabağı ve kaidesi bulunan kül tablaları ile uygun şekil, büyüklük ve sayıda boş baharat kavanozu bulunan özel çerçeveli baharat dolabı gösterilmiştir. Altı adet fondü çatalı farklı pozisyonlarda sınıflandırılabilen eşya içermediği için takım sayılmaz; alkollü içki ve şarap birlikteliği takım oluşturmaz ve her biri ayrı sınıflandırılır. Plastik şişe taslağı 2(a) kuralı anlamında</w:t>
      </w:r>
      <w:r>
        <w:t xml:space="preserve"> </w:t>
      </w:r>
      <w:r>
        <w:t xml:space="preserve">‘</w:t>
      </w:r>
      <w:r>
        <w:t xml:space="preserve">son şeklini almamış eşya</w:t>
      </w:r>
      <w:r>
        <w:t xml:space="preserve">’</w:t>
      </w:r>
      <w:r>
        <w:t xml:space="preserve"> </w:t>
      </w:r>
      <w:r>
        <w:t xml:space="preserve">örneğidir; hava taşıtları için emniyet camının 88.07 yerine 70.07’de sınıflandırılması ise 3(a) kuralının örneğidir.</w:t>
      </w:r>
    </w:p>
    <w:p>
      <w:pPr>
        <w:pStyle w:val="BodyText"/>
      </w:pPr>
      <w:r>
        <w:rPr>
          <w:bCs/>
          <w:b/>
        </w:rPr>
        <w:t xml:space="preserve">Tuzak:</w:t>
      </w:r>
      <w:r>
        <w:t xml:space="preserve"> </w:t>
      </w:r>
      <w:r>
        <w:t xml:space="preserve">Tek ambalajda birlikte sunulan her eşya grubunu bileşik eşya sanan aday fondü çatalı veya içki-şarap paketine kayar.</w:t>
      </w:r>
    </w:p>
    <w:p>
      <w:pPr>
        <w:pStyle w:val="BodyText"/>
      </w:pPr>
      <w:r>
        <w:rPr>
          <w:bCs/>
          <w:b/>
        </w:rPr>
        <w:t xml:space="preserve">Dayanak:</w:t>
      </w:r>
      <w:r>
        <w:t xml:space="preserve"> </w:t>
      </w:r>
      <w:r>
        <w:t xml:space="preserve">GYKK 3(b) açıklama (IX) (baharat dolabı, kül tablası) ve (X)(a) (fondü çatalı), (X) set olmayan örnekler (22.08 içki + 22.04 şarap). Çeldiriciler: plastik şişe taslağı → GYKK 2(a) açıklama (II); emniyet camı 70.07 → GYKK 3(a) açıklama (IV)(b)(2).</w:t>
      </w:r>
    </w:p>
    <w:bookmarkEnd w:id="28"/>
    <w:bookmarkStart w:id="29" w:name="soru-cevap-e-1"/>
    <w:p>
      <w:pPr>
        <w:pStyle w:val="Heading4"/>
      </w:pPr>
      <w:r>
        <w:t xml:space="preserve">8. soru — Cevap: E</w:t>
      </w:r>
    </w:p>
    <w:p>
      <w:pPr>
        <w:pStyle w:val="FirstParagraph"/>
      </w:pPr>
      <w:r>
        <w:rPr>
          <w:iCs/>
          <w:i/>
        </w:rPr>
        <w:t xml:space="preserve">TARİFE · Tarife – GYKK · O4</w:t>
      </w:r>
    </w:p>
    <w:p>
      <w:pPr>
        <w:pStyle w:val="BodyText"/>
      </w:pPr>
      <w:r>
        <w:rPr>
          <w:bCs/>
          <w:b/>
        </w:rPr>
        <w:t xml:space="preserve">Doğru şık:</w:t>
      </w:r>
      <w:r>
        <w:t xml:space="preserve"> </w:t>
      </w:r>
      <w:r>
        <w:t xml:space="preserve">E) 7110.11 ve 7110.19 alt pozisyonlarının yorumunda, 71 inci Faslın 4(b) nolu notundaki</w:t>
      </w:r>
      <w:r>
        <w:t xml:space="preserve"> </w:t>
      </w:r>
      <w:r>
        <w:t xml:space="preserve">‘</w:t>
      </w:r>
      <w:r>
        <w:t xml:space="preserve">platin</w:t>
      </w:r>
      <w:r>
        <w:t xml:space="preserve">’</w:t>
      </w:r>
      <w:r>
        <w:t xml:space="preserve"> </w:t>
      </w:r>
      <w:r>
        <w:t xml:space="preserve">tanımı 2 nolu alt pozisyon notundaki tanıma göre öncelikli olarak uygulanır.</w:t>
      </w:r>
    </w:p>
    <w:p>
      <w:pPr>
        <w:pStyle w:val="BodyText"/>
      </w:pPr>
      <w:r>
        <w:t xml:space="preserve">GYKK 6 açıklama notlarına göre</w:t>
      </w:r>
      <w:r>
        <w:t xml:space="preserve"> </w:t>
      </w:r>
      <w:r>
        <w:t xml:space="preserve">‘</w:t>
      </w:r>
      <w:r>
        <w:t xml:space="preserve">aksine bir hüküm bulunmadıkça</w:t>
      </w:r>
      <w:r>
        <w:t xml:space="preserve">’</w:t>
      </w:r>
      <w:r>
        <w:t xml:space="preserve"> </w:t>
      </w:r>
      <w:r>
        <w:t xml:space="preserve">ifadesi, bölüm veya fasıl notlarının alt pozisyon notlarıyla çeliştiği halleri dışarıda bırakır; 71 inci Faslın 4(b) notundaki</w:t>
      </w:r>
      <w:r>
        <w:t xml:space="preserve"> </w:t>
      </w:r>
      <w:r>
        <w:t xml:space="preserve">‘</w:t>
      </w:r>
      <w:r>
        <w:t xml:space="preserve">platin</w:t>
      </w:r>
      <w:r>
        <w:t xml:space="preserve">’</w:t>
      </w:r>
      <w:r>
        <w:t xml:space="preserve"> </w:t>
      </w:r>
      <w:r>
        <w:t xml:space="preserve">terimi 2 nolu alt pozisyon notundakinden farklı olduğundan 7110.11 ve 7110.19 alt pozisyonlarının yorumunda alt pozisyon notu uygulanır, fasıl notu dikkate alınmaz. 3 numaralı kuralın alt bentlerinin sırası, alt pozisyonlarda yalnızca aynı seviyedeki alt pozisyonların karşılaştırılması, 6 numaralı kuralda bölüm ve fasıl notlarının da uygulanması ve 4 numaralı kuralın en çok benzeyen eşya ölçütü kuralların ve açıklama notlarının ifadesidir.</w:t>
      </w:r>
    </w:p>
    <w:p>
      <w:pPr>
        <w:pStyle w:val="BodyText"/>
      </w:pPr>
      <w:r>
        <w:rPr>
          <w:bCs/>
          <w:b/>
        </w:rPr>
        <w:t xml:space="preserve">Tuzak:</w:t>
      </w:r>
      <w:r>
        <w:t xml:space="preserve"> </w:t>
      </w:r>
      <w:r>
        <w:t xml:space="preserve">‘</w:t>
      </w:r>
      <w:r>
        <w:t xml:space="preserve">Fasıl notu her zaman önceliklidir</w:t>
      </w:r>
      <w:r>
        <w:t xml:space="preserve">’</w:t>
      </w:r>
      <w:r>
        <w:t xml:space="preserve"> </w:t>
      </w:r>
      <w:r>
        <w:t xml:space="preserve">genellemesiyle hareket eden aday platin örneğindeki alt pozisyon notu istisnasını gözden kaçırır.</w:t>
      </w:r>
    </w:p>
    <w:p>
      <w:pPr>
        <w:pStyle w:val="BodyText"/>
      </w:pPr>
      <w:r>
        <w:rPr>
          <w:bCs/>
          <w:b/>
        </w:rPr>
        <w:t xml:space="preserve">Dayanak:</w:t>
      </w:r>
      <w:r>
        <w:t xml:space="preserve"> </w:t>
      </w:r>
      <w:r>
        <w:t xml:space="preserve">GYKK 6 ve açıklama notu (II)(a)-(b) (platin: Fasıl 71 Not 4(b) / Alt Pozisyon Notu 2); GYKK 3 açıklama (I) (uygulama sırası); GYKK 4 ve açıklama (I)-(II).</w:t>
      </w:r>
    </w:p>
    <w:bookmarkEnd w:id="29"/>
    <w:bookmarkStart w:id="30" w:name="soru-cevap-a-4"/>
    <w:p>
      <w:pPr>
        <w:pStyle w:val="Heading4"/>
      </w:pPr>
      <w:r>
        <w:t xml:space="preserve">9. soru — Cevap: A</w:t>
      </w:r>
    </w:p>
    <w:p>
      <w:pPr>
        <w:pStyle w:val="FirstParagraph"/>
      </w:pPr>
      <w:r>
        <w:rPr>
          <w:iCs/>
          <w:i/>
        </w:rPr>
        <w:t xml:space="preserve">TARİFE · Tarife – fasıl/pozisyon kapsamı · O4</w:t>
      </w:r>
    </w:p>
    <w:p>
      <w:pPr>
        <w:pStyle w:val="BodyText"/>
      </w:pPr>
      <w:r>
        <w:rPr>
          <w:bCs/>
          <w:b/>
        </w:rPr>
        <w:t xml:space="preserve">Doğru şık:</w:t>
      </w:r>
      <w:r>
        <w:t xml:space="preserve"> </w:t>
      </w:r>
      <w:r>
        <w:t xml:space="preserve">A) Öğütülmüş kuru kırmızı biber (Capsicum annuum)</w:t>
      </w:r>
    </w:p>
    <w:p>
      <w:pPr>
        <w:numPr>
          <w:ilvl w:val="0"/>
          <w:numId w:val="1002"/>
        </w:numPr>
        <w:pStyle w:val="Compact"/>
      </w:pPr>
      <w:r>
        <w:t xml:space="preserve">Fasıl 4 numaralı notuna göre Capsicum veya Pimenta cinslerinin kurutulmuş veya ezilmiş ya da öğütülmüş meyveleri bu fasla dahil değildir ve baharat olarak 09.04 pozisyonunda sınıflandırılır. Aynı cinsin taze meyveleri ile zeytinler 2 numaralı not gereği</w:t>
      </w:r>
      <w:r>
        <w:t xml:space="preserve"> </w:t>
      </w:r>
      <w:r>
        <w:t xml:space="preserve">‘</w:t>
      </w:r>
      <w:r>
        <w:t xml:space="preserve">sebze</w:t>
      </w:r>
      <w:r>
        <w:t xml:space="preserve">’</w:t>
      </w:r>
      <w:r>
        <w:t xml:space="preserve"> </w:t>
      </w:r>
      <w:r>
        <w:t xml:space="preserve">sayılarak 07.09’da; kurutulmuş soğan tozu 07.12’de; kabuksuz kuru nohut 07.13’te yer alır.</w:t>
      </w:r>
    </w:p>
    <w:p>
      <w:pPr>
        <w:pStyle w:val="FirstParagraph"/>
      </w:pPr>
      <w:r>
        <w:rPr>
          <w:bCs/>
          <w:b/>
        </w:rPr>
        <w:t xml:space="preserve">Tuzak:</w:t>
      </w:r>
      <w:r>
        <w:t xml:space="preserve"> </w:t>
      </w:r>
      <w:r>
        <w:t xml:space="preserve">Taze biber ile kurutulup öğütülmüş biberi aynı sebze olarak gören aday, 7. Fasıl 4 numaralı notunu bilmediği için öğütülmüş biberi kurutulmuş sebze (07.12) sanır.</w:t>
      </w:r>
    </w:p>
    <w:p>
      <w:pPr>
        <w:pStyle w:val="BodyText"/>
      </w:pPr>
      <w:r>
        <w:rPr>
          <w:bCs/>
          <w:b/>
        </w:rPr>
        <w:t xml:space="preserve">Dayanak:</w:t>
      </w:r>
      <w:r>
        <w:t xml:space="preserve"> </w:t>
      </w:r>
      <w:r>
        <w:t xml:space="preserve">7. Fasıl Not 2, Not 3 ve Not 4; 07.09, 07.12, 07.13 pozisyon metinleri; 09.04 pozisyonu. Taze zeytin → 07.09; taze dolmalık biber → 07.09; kurutulmuş soğan tozu → 07.12; kabuksuz kuru nohut → 07.13; kurutulmuş ve öğütülmüş kırmızı biber → 09.04.</w:t>
      </w:r>
    </w:p>
    <w:bookmarkEnd w:id="30"/>
    <w:bookmarkStart w:id="31" w:name="soru-cevap-e-2"/>
    <w:p>
      <w:pPr>
        <w:pStyle w:val="Heading4"/>
      </w:pPr>
      <w:r>
        <w:t xml:space="preserve">10. soru — Cevap: E</w:t>
      </w:r>
    </w:p>
    <w:p>
      <w:pPr>
        <w:pStyle w:val="FirstParagraph"/>
      </w:pPr>
      <w:r>
        <w:rPr>
          <w:iCs/>
          <w:i/>
        </w:rPr>
        <w:t xml:space="preserve">TARİFE · Tarife – notlar, izahname · O4</w:t>
      </w:r>
    </w:p>
    <w:p>
      <w:pPr>
        <w:pStyle w:val="BodyText"/>
      </w:pPr>
      <w:r>
        <w:rPr>
          <w:bCs/>
          <w:b/>
        </w:rPr>
        <w:t xml:space="preserve">Doğru şık:</w:t>
      </w:r>
      <w:r>
        <w:t xml:space="preserve"> </w:t>
      </w:r>
      <w:r>
        <w:t xml:space="preserve">E) Makarnalık buğday tohumu</w:t>
      </w:r>
    </w:p>
    <w:p>
      <w:pPr>
        <w:numPr>
          <w:ilvl w:val="0"/>
          <w:numId w:val="1003"/>
        </w:numPr>
        <w:pStyle w:val="Compact"/>
      </w:pPr>
      <w:r>
        <w:t xml:space="preserve">Fasıl 3 numaralı notu pancar tohumlarını, ot ve diğer çim tohumlarını, süs çiçeği, sebze, orman ve meyve ağacı tohumlarını</w:t>
      </w:r>
      <w:r>
        <w:t xml:space="preserve"> </w:t>
      </w:r>
      <w:r>
        <w:t xml:space="preserve">‘</w:t>
      </w:r>
      <w:r>
        <w:t xml:space="preserve">ekilmeye mahsus tohum</w:t>
      </w:r>
      <w:r>
        <w:t xml:space="preserve">’</w:t>
      </w:r>
      <w:r>
        <w:t xml:space="preserve"> </w:t>
      </w:r>
      <w:r>
        <w:t xml:space="preserve">sayarak 12.09’a verir; ancak hububatı (10. fasıl) ekilmeye mahsus olsa bile bu pozisyonun dışında bırakır. Ekim amaçlı makarnalık buğday 10.01 pozisyonunda (1001.11</w:t>
      </w:r>
      <w:r>
        <w:t xml:space="preserve"> </w:t>
      </w:r>
      <w:r>
        <w:t xml:space="preserve">‘</w:t>
      </w:r>
      <w:r>
        <w:t xml:space="preserve">Tohum</w:t>
      </w:r>
      <w:r>
        <w:t xml:space="preserve">’</w:t>
      </w:r>
      <w:r>
        <w:t xml:space="preserve">) sınıflandırılır.</w:t>
      </w:r>
    </w:p>
    <w:p>
      <w:pPr>
        <w:pStyle w:val="FirstParagraph"/>
      </w:pPr>
      <w:r>
        <w:rPr>
          <w:bCs/>
          <w:b/>
        </w:rPr>
        <w:t xml:space="preserve">Tuzak:</w:t>
      </w:r>
      <w:r>
        <w:t xml:space="preserve"> </w:t>
      </w:r>
      <w:r>
        <w:t xml:space="preserve">‘</w:t>
      </w:r>
      <w:r>
        <w:t xml:space="preserve">Ekim amaçlı her tohum 12.09’dadır</w:t>
      </w:r>
      <w:r>
        <w:t xml:space="preserve">’</w:t>
      </w:r>
      <w:r>
        <w:t xml:space="preserve"> </w:t>
      </w:r>
      <w:r>
        <w:t xml:space="preserve">genellemesi, notun hububat, baklagil, baharat ve yağlı tohumlara ilişkin istisnalarını göz ardı ettirir.</w:t>
      </w:r>
    </w:p>
    <w:p>
      <w:pPr>
        <w:pStyle w:val="BodyText"/>
      </w:pPr>
      <w:r>
        <w:rPr>
          <w:bCs/>
          <w:b/>
        </w:rPr>
        <w:t xml:space="preserve">Dayanak:</w:t>
      </w:r>
      <w:r>
        <w:t xml:space="preserve"> </w:t>
      </w:r>
      <w:r>
        <w:t xml:space="preserve">12. Fasıl Not 3 ve (c) bendi; 10.01 pozisyonu ve 1001.11 alt pozisyonu. Şeker pancarı tohumu → 12.09; çim tohumu → 12.09; makarnalık buğday tohumu → 10.01; süs çiçeği tohumu → 12.09; orman ağacı tohumu → 12.09.</w:t>
      </w:r>
    </w:p>
    <w:bookmarkEnd w:id="31"/>
    <w:bookmarkStart w:id="32" w:name="soru-cevap-a-5"/>
    <w:p>
      <w:pPr>
        <w:pStyle w:val="Heading4"/>
      </w:pPr>
      <w:r>
        <w:t xml:space="preserve">11. soru — Cevap: A</w:t>
      </w:r>
    </w:p>
    <w:p>
      <w:pPr>
        <w:pStyle w:val="FirstParagraph"/>
      </w:pPr>
      <w:r>
        <w:rPr>
          <w:iCs/>
          <w:i/>
        </w:rPr>
        <w:t xml:space="preserve">TARİFE · Tarife – fasıl/pozisyon kapsamı · D4</w:t>
      </w:r>
    </w:p>
    <w:p>
      <w:pPr>
        <w:pStyle w:val="BodyText"/>
      </w:pPr>
      <w:r>
        <w:rPr>
          <w:bCs/>
          <w:b/>
        </w:rPr>
        <w:t xml:space="preserve">Doğru şık:</w:t>
      </w:r>
      <w:r>
        <w:t xml:space="preserve"> </w:t>
      </w:r>
      <w:r>
        <w:t xml:space="preserve">A) Alafranga tuvalet kapağı</w:t>
      </w:r>
    </w:p>
    <w:p>
      <w:pPr>
        <w:pStyle w:val="BodyText"/>
      </w:pPr>
      <w:r>
        <w:t xml:space="preserve">Alafranga tuvaletlerin oturak ve kapakları 39.22 pozisyonunda (3922.20) hijyenik eşya olarak yer alır. Eşya taşınmasına veya ambalajlanmasına mahsus kasalar (3923.10), torbalar (çöp torbaları dahil), damacanalar (3923.30) ile tıpa, kapak ve diğer kapama malzemeleri (3923.50) 39.23 pozisyonunda sınıflandırılır.</w:t>
      </w:r>
    </w:p>
    <w:p>
      <w:pPr>
        <w:pStyle w:val="BodyText"/>
      </w:pPr>
      <w:r>
        <w:rPr>
          <w:bCs/>
          <w:b/>
        </w:rPr>
        <w:t xml:space="preserve">Tuzak:</w:t>
      </w:r>
      <w:r>
        <w:t xml:space="preserve"> </w:t>
      </w:r>
      <w:r>
        <w:t xml:space="preserve">‘</w:t>
      </w:r>
      <w:r>
        <w:t xml:space="preserve">Kapak</w:t>
      </w:r>
      <w:r>
        <w:t xml:space="preserve">’</w:t>
      </w:r>
      <w:r>
        <w:t xml:space="preserve"> </w:t>
      </w:r>
      <w:r>
        <w:t xml:space="preserve">kelimesine takılıp klozet kapağını şişe kapağıyla aynı pozisyonda sanan aday minimal çift tuzağına düşer.</w:t>
      </w:r>
    </w:p>
    <w:p>
      <w:pPr>
        <w:pStyle w:val="BodyText"/>
      </w:pPr>
      <w:r>
        <w:rPr>
          <w:bCs/>
          <w:b/>
        </w:rPr>
        <w:t xml:space="preserve">Dayanak:</w:t>
      </w:r>
      <w:r>
        <w:t xml:space="preserve"> </w:t>
      </w:r>
      <w:r>
        <w:t xml:space="preserve">39.22 pozisyon metni ve 3922.20 alt pozisyonu; 39.23 pozisyon metni, 3923.10/3923.30/3923.50 alt pozisyonları ve Açıklama Notu (a), (c). Şişe kapağı → 39.23; çöp torbası → 39.23; su damacanası → 39.23; alafranga tuvalet kapağı → 39.22; nakliye kasası → 39.23.</w:t>
      </w:r>
    </w:p>
    <w:bookmarkEnd w:id="32"/>
    <w:bookmarkStart w:id="33" w:name="soru-cevap-a-6"/>
    <w:p>
      <w:pPr>
        <w:pStyle w:val="Heading4"/>
      </w:pPr>
      <w:r>
        <w:t xml:space="preserve">12. soru — Cevap: A</w:t>
      </w:r>
    </w:p>
    <w:p>
      <w:pPr>
        <w:pStyle w:val="FirstParagraph"/>
      </w:pPr>
      <w:r>
        <w:rPr>
          <w:iCs/>
          <w:i/>
        </w:rPr>
        <w:t xml:space="preserve">TARİFE · Tarife – fasıl/pozisyon kapsamı · D5</w:t>
      </w:r>
    </w:p>
    <w:p>
      <w:pPr>
        <w:pStyle w:val="BodyText"/>
      </w:pPr>
      <w:r>
        <w:rPr>
          <w:bCs/>
          <w:b/>
        </w:rPr>
        <w:t xml:space="preserve">Doğru şık:</w:t>
      </w:r>
      <w:r>
        <w:t xml:space="preserve"> </w:t>
      </w:r>
      <w:r>
        <w:t xml:space="preserve">A) Dış yüzü yünlü kumaştan, astarı kürk olan kadın mantosu</w:t>
      </w:r>
    </w:p>
    <w:p>
      <w:pPr>
        <w:numPr>
          <w:ilvl w:val="0"/>
          <w:numId w:val="1004"/>
        </w:numPr>
        <w:pStyle w:val="Compact"/>
      </w:pPr>
      <w:r>
        <w:t xml:space="preserve">Fasıl 4 numaralı notuna göre içi kürk veya taklit kürk ile kaplı giyim eşyası hale göre 43.03 veya 43.04 pozisyonunda yer alır; astarı kürk olan manto 43.03’tedir. Aynı faslın 2 numaralı notu tüylü kuş derilerini (05.05 veya 67.01), deri ve kürkten eldivenleri (42.03) ve başlıkları (65. fasıl) dışarıda bırakır; 5 numaralı not da dokuma veya örme suretiyle elde edilen taklit kürkleri</w:t>
      </w:r>
      <w:r>
        <w:t xml:space="preserve"> </w:t>
      </w:r>
      <w:r>
        <w:t xml:space="preserve">‘</w:t>
      </w:r>
      <w:r>
        <w:t xml:space="preserve">taklit kürk</w:t>
      </w:r>
      <w:r>
        <w:t xml:space="preserve">’</w:t>
      </w:r>
      <w:r>
        <w:t xml:space="preserve"> </w:t>
      </w:r>
      <w:r>
        <w:t xml:space="preserve">tanımı dışında tutar (genellikle 58.01 veya 60.01).</w:t>
      </w:r>
    </w:p>
    <w:p>
      <w:pPr>
        <w:pStyle w:val="FirstParagraph"/>
      </w:pPr>
      <w:r>
        <w:rPr>
          <w:bCs/>
          <w:b/>
        </w:rPr>
        <w:t xml:space="preserve">Tuzak:</w:t>
      </w:r>
      <w:r>
        <w:t xml:space="preserve"> </w:t>
      </w:r>
      <w:r>
        <w:t xml:space="preserve">Kürk içeren her eşyayı 43. fasla götüren aday eldiven ve başlık hariçlerini kaçırır; dış yüzü kumaş olduğu için mantoyu dışarıda sanan aday ise 4 numaralı notu bilmez.</w:t>
      </w:r>
    </w:p>
    <w:p>
      <w:pPr>
        <w:pStyle w:val="BodyText"/>
      </w:pPr>
      <w:r>
        <w:rPr>
          <w:bCs/>
          <w:b/>
        </w:rPr>
        <w:t xml:space="preserve">Dayanak:</w:t>
      </w:r>
      <w:r>
        <w:t xml:space="preserve"> </w:t>
      </w:r>
      <w:r>
        <w:t xml:space="preserve">43. Fasıl Not 2 (a), (c), (e), Not 4, Not 5; 43.03 Açıklama Notu (B). Tüylü kuş derisi → 05.05 veya 67.01; kürk astarlı manto → 43.03; deri-kürk eldiven → 42.03; kürk başlık → 65. fasıl; örme kürk görünümlü mensucat → 60.01.</w:t>
      </w:r>
    </w:p>
    <w:bookmarkEnd w:id="33"/>
    <w:bookmarkStart w:id="34" w:name="soru-cevap-c-2"/>
    <w:p>
      <w:pPr>
        <w:pStyle w:val="Heading4"/>
      </w:pPr>
      <w:r>
        <w:t xml:space="preserve">13. soru — Cevap: C</w:t>
      </w:r>
    </w:p>
    <w:p>
      <w:pPr>
        <w:pStyle w:val="FirstParagraph"/>
      </w:pPr>
      <w:r>
        <w:rPr>
          <w:iCs/>
          <w:i/>
        </w:rPr>
        <w:t xml:space="preserve">TARİFE · Tarife – tanımı verilen eşya · V4</w:t>
      </w:r>
    </w:p>
    <w:p>
      <w:pPr>
        <w:pStyle w:val="BodyText"/>
      </w:pPr>
      <w:r>
        <w:rPr>
          <w:bCs/>
          <w:b/>
        </w:rPr>
        <w:t xml:space="preserve">Doğru şık:</w:t>
      </w:r>
      <w:r>
        <w:t xml:space="preserve"> </w:t>
      </w:r>
      <w:r>
        <w:t xml:space="preserve">C) 68.02</w:t>
      </w:r>
    </w:p>
    <w:p>
      <w:pPr>
        <w:numPr>
          <w:ilvl w:val="0"/>
          <w:numId w:val="1005"/>
        </w:numPr>
        <w:pStyle w:val="Compact"/>
      </w:pPr>
      <w:r>
        <w:t xml:space="preserve">Faslın 2 nolu notuna göre 68.02 pozisyonu anlamında</w:t>
      </w:r>
      <w:r>
        <w:t xml:space="preserve"> </w:t>
      </w:r>
      <w:r>
        <w:t xml:space="preserve">‘</w:t>
      </w:r>
      <w:r>
        <w:t xml:space="preserve">yontulmaya ve inşaata elverişli taşlar</w:t>
      </w:r>
      <w:r>
        <w:t xml:space="preserve">’</w:t>
      </w:r>
      <w:r>
        <w:t xml:space="preserve"> </w:t>
      </w:r>
      <w:r>
        <w:t xml:space="preserve">tabiri sabun taşı gibi bütün tabii taşları kapsar; sabun taşından süs amaçlı, pişirilmemiş kutular bu nedenle 68.02’de sınıflandırılır (sınıflandırma görüşü 6802.99/1). 25.26 yalnızca kabaca yontulmuş veya blok ya da dilim halinde kesilmiş tabii steatiti kapsar; pişirilmiş steatit mamulleri ise 69. Fasla gider, bu nedenle seramik süs eşyası pozisyonu 69.13 de uygun değildir. 96.02’deki yontulmaya elverişli mineral maddeler kehribar, lületaşı ve siyah kehribar ile sınırlıdır; 34.01 sabunlara ayrılmıştır.</w:t>
      </w:r>
    </w:p>
    <w:p>
      <w:pPr>
        <w:pStyle w:val="FirstParagraph"/>
      </w:pPr>
      <w:r>
        <w:rPr>
          <w:bCs/>
          <w:b/>
        </w:rPr>
        <w:t xml:space="preserve">Tuzak:</w:t>
      </w:r>
      <w:r>
        <w:t xml:space="preserve"> </w:t>
      </w:r>
      <w:r>
        <w:t xml:space="preserve">‘</w:t>
      </w:r>
      <w:r>
        <w:t xml:space="preserve">Sabun taşı</w:t>
      </w:r>
      <w:r>
        <w:t xml:space="preserve">’</w:t>
      </w:r>
      <w:r>
        <w:t xml:space="preserve"> </w:t>
      </w:r>
      <w:r>
        <w:t xml:space="preserve">adı 34.01’e, işlenmemiş steatit pozisyonu 25.26’ya,</w:t>
      </w:r>
      <w:r>
        <w:t xml:space="preserve"> </w:t>
      </w:r>
      <w:r>
        <w:t xml:space="preserve">‘</w:t>
      </w:r>
      <w:r>
        <w:t xml:space="preserve">boyanmış süs eşyası</w:t>
      </w:r>
      <w:r>
        <w:t xml:space="preserve">’</w:t>
      </w:r>
      <w:r>
        <w:t xml:space="preserve"> </w:t>
      </w:r>
      <w:r>
        <w:t xml:space="preserve">görünümü 69.13’e, oymacılık çağrışımı 96.02’ye çeker.</w:t>
      </w:r>
    </w:p>
    <w:p>
      <w:pPr>
        <w:pStyle w:val="BodyText"/>
      </w:pPr>
      <w:r>
        <w:rPr>
          <w:bCs/>
          <w:b/>
        </w:rPr>
        <w:t xml:space="preserve">Dayanak:</w:t>
      </w:r>
      <w:r>
        <w:t xml:space="preserve"> </w:t>
      </w:r>
      <w:r>
        <w:t xml:space="preserve">GYKK 1 ve 6: 68.02 pozisyon metni, Fasıl 68 Not 2 ve 68.02 açıklaması (pişirilmiş steatit mamulleri hariç). Çeldiriciler: 25.26 (tabii steatit - malzeme), 34.01 (sabunlar - ad çağrışımı), 69.13 (seramik süs eşyası - pişirilmemiş olduğundan değil), 96.02 (Fasıl 96 Not 2(b) mineral oymacılık maddeleri listesi).</w:t>
      </w:r>
    </w:p>
    <w:bookmarkEnd w:id="34"/>
    <w:bookmarkStart w:id="35" w:name="soru-cevap-e-3"/>
    <w:p>
      <w:pPr>
        <w:pStyle w:val="Heading4"/>
      </w:pPr>
      <w:r>
        <w:t xml:space="preserve">14. soru — Cevap: E</w:t>
      </w:r>
    </w:p>
    <w:p>
      <w:pPr>
        <w:pStyle w:val="FirstParagraph"/>
      </w:pPr>
      <w:r>
        <w:rPr>
          <w:iCs/>
          <w:i/>
        </w:rPr>
        <w:t xml:space="preserve">TARİFE · Tarife – fasıl/pozisyon kapsamı · O4</w:t>
      </w:r>
    </w:p>
    <w:p>
      <w:pPr>
        <w:pStyle w:val="BodyText"/>
      </w:pPr>
      <w:r>
        <w:rPr>
          <w:bCs/>
          <w:b/>
        </w:rPr>
        <w:t xml:space="preserve">Doğru şık:</w:t>
      </w:r>
      <w:r>
        <w:t xml:space="preserve"> </w:t>
      </w:r>
      <w:r>
        <w:t xml:space="preserve">E) Takma diş</w:t>
      </w:r>
    </w:p>
    <w:p>
      <w:pPr>
        <w:numPr>
          <w:ilvl w:val="0"/>
          <w:numId w:val="1006"/>
        </w:numPr>
        <w:pStyle w:val="Compact"/>
      </w:pPr>
      <w:r>
        <w:t xml:space="preserve">Fasıl 2(g) notu takma dişleri bu fasıl dışında bırakır; seramikten olsalar dahi takma dişler 90.21 pozisyonunda sınıflandırılır. Seramik lavabolar 69.10, porselen sofra eşyası 69.11, seramik heykelcikler 69.13, laboratuvarlarda kullanılan seramik havanlar ise 69.09 pozisyonunda yer alır.</w:t>
      </w:r>
    </w:p>
    <w:p>
      <w:pPr>
        <w:pStyle w:val="FirstParagraph"/>
      </w:pPr>
      <w:r>
        <w:rPr>
          <w:bCs/>
          <w:b/>
        </w:rPr>
        <w:t xml:space="preserve">Tuzak:</w:t>
      </w:r>
      <w:r>
        <w:t xml:space="preserve"> </w:t>
      </w:r>
      <w:r>
        <w:t xml:space="preserve">Malzemeyi esas alan aday seramik takma dişi 69. fasılda sanır; oysa takma diş işlevi nedeniyle 90. fasıldadır.</w:t>
      </w:r>
    </w:p>
    <w:p>
      <w:pPr>
        <w:pStyle w:val="BodyText"/>
      </w:pPr>
      <w:r>
        <w:rPr>
          <w:bCs/>
          <w:b/>
        </w:rPr>
        <w:t xml:space="preserve">Dayanak:</w:t>
      </w:r>
      <w:r>
        <w:t xml:space="preserve"> </w:t>
      </w:r>
      <w:r>
        <w:t xml:space="preserve">69. Fasıl Not 2(g); 69.09 Açıklama Notu (1); 69.10, 69.11, 69.13 pozisyon metinleri; 90.21 pozisyonu. Lavabo → 69.10; porselen sofra tabağı → 69.11; takma diş → 90.21; heykelcik → 69.13; laboratuvar havanı → 69.09.</w:t>
      </w:r>
    </w:p>
    <w:bookmarkEnd w:id="35"/>
    <w:bookmarkStart w:id="36" w:name="soru-cevap-b"/>
    <w:p>
      <w:pPr>
        <w:pStyle w:val="Heading4"/>
      </w:pPr>
      <w:r>
        <w:t xml:space="preserve">15. soru — Cevap: B</w:t>
      </w:r>
    </w:p>
    <w:p>
      <w:pPr>
        <w:pStyle w:val="FirstParagraph"/>
      </w:pPr>
      <w:r>
        <w:rPr>
          <w:iCs/>
          <w:i/>
        </w:rPr>
        <w:t xml:space="preserve">TARİFE · Tarife – notlar, izahname · O4</w:t>
      </w:r>
    </w:p>
    <w:p>
      <w:pPr>
        <w:pStyle w:val="BodyText"/>
      </w:pPr>
      <w:r>
        <w:rPr>
          <w:bCs/>
          <w:b/>
        </w:rPr>
        <w:t xml:space="preserve">Doğru şık:</w:t>
      </w:r>
      <w:r>
        <w:t xml:space="preserve"> </w:t>
      </w:r>
      <w:r>
        <w:t xml:space="preserve">B) Adi metalden saat zemberekleri</w:t>
      </w:r>
    </w:p>
    <w:p>
      <w:pPr>
        <w:numPr>
          <w:ilvl w:val="0"/>
          <w:numId w:val="1007"/>
        </w:numPr>
        <w:pStyle w:val="Compact"/>
      </w:pPr>
      <w:r>
        <w:t xml:space="preserve">Bölüm 2 numaralı notu</w:t>
      </w:r>
      <w:r>
        <w:t xml:space="preserve"> </w:t>
      </w:r>
      <w:r>
        <w:t xml:space="preserve">‘</w:t>
      </w:r>
      <w:r>
        <w:t xml:space="preserve">genel kullanıma mahsus aksam ve parça</w:t>
      </w:r>
      <w:r>
        <w:t xml:space="preserve">’</w:t>
      </w:r>
      <w:r>
        <w:t xml:space="preserve"> </w:t>
      </w:r>
      <w:r>
        <w:t xml:space="preserve">deyimini 73.07, 73.12, 73.15, 73.17 ve 73.18 pozisyonlarındaki eşya ile diğer adi metallerden benzerleri, adi metallerden yaylar ve yay yaprakları ile 83.01, 83.02, 83.08 ve 83.10 pozisyonlarındaki eşya ve 83.06 pozisyonundaki adi metalden çerçeve ve aynalar olarak tanımlar; yaylar arasında saat zemberekleri açıkça hariç tutularak 91.14 pozisyonuna verilmiştir (91. Fasıl 1(c) notu da saat yaylarını saat aksamı sayar). Civata ve somun (73.18), yay yaprağı (73.20), asma kilit (83.01) ve menteşe (83.02) bu tanıma girer.</w:t>
      </w:r>
    </w:p>
    <w:p>
      <w:pPr>
        <w:pStyle w:val="FirstParagraph"/>
      </w:pPr>
      <w:r>
        <w:rPr>
          <w:bCs/>
          <w:b/>
        </w:rPr>
        <w:t xml:space="preserve">Tuzak:</w:t>
      </w:r>
      <w:r>
        <w:t xml:space="preserve"> </w:t>
      </w:r>
      <w:r>
        <w:t xml:space="preserve">Yay ile saat zembereğini aynı eşya sayan aday, notun (b) bendindeki parantez içi istisnayı gözden kaçırır.</w:t>
      </w:r>
    </w:p>
    <w:p>
      <w:pPr>
        <w:pStyle w:val="BodyText"/>
      </w:pPr>
      <w:r>
        <w:rPr>
          <w:bCs/>
          <w:b/>
        </w:rPr>
        <w:t xml:space="preserve">Dayanak:</w:t>
      </w:r>
      <w:r>
        <w:t xml:space="preserve"> </w:t>
      </w:r>
      <w:r>
        <w:t xml:space="preserve">XV. Bölüm Not 2 (a), (b), (c); 91. Fasıl Not 1(c); 73.18, 73.20, 83.01, 83.02 pozisyonları. Saat zembereği → 91.14; civata ve somun → 73.18; menteşe → 83.02 (8302.10); asma kilit → 83.01; yay yaprağı → 73.20.</w:t>
      </w:r>
    </w:p>
    <w:bookmarkEnd w:id="36"/>
    <w:bookmarkStart w:id="37" w:name="soru-cevap-b-1"/>
    <w:p>
      <w:pPr>
        <w:pStyle w:val="Heading4"/>
      </w:pPr>
      <w:r>
        <w:t xml:space="preserve">16. soru — Cevap: B</w:t>
      </w:r>
    </w:p>
    <w:p>
      <w:pPr>
        <w:pStyle w:val="FirstParagraph"/>
      </w:pPr>
      <w:r>
        <w:rPr>
          <w:iCs/>
          <w:i/>
        </w:rPr>
        <w:t xml:space="preserve">TARİFE · Tarife – fasıl/pozisyon kapsamı · S2</w:t>
      </w:r>
    </w:p>
    <w:p>
      <w:pPr>
        <w:pStyle w:val="BodyText"/>
      </w:pPr>
      <w:r>
        <w:rPr>
          <w:bCs/>
          <w:b/>
        </w:rPr>
        <w:t xml:space="preserve">Doğru şık:</w:t>
      </w:r>
      <w:r>
        <w:t xml:space="preserve"> </w:t>
      </w:r>
      <w:r>
        <w:t xml:space="preserve">B) Dizel motor – hava kompresörü – kriko – kule vinç</w:t>
      </w:r>
    </w:p>
    <w:p>
      <w:pPr>
        <w:pStyle w:val="BodyText"/>
      </w:pPr>
      <w:r>
        <w:t xml:space="preserve">Dizel motor 84.08, hava kompresörü 84.14, kriko 84.25 ve kule vinç 84.26 pozisyonunda yer aldığından bu sıralama doğrudur. Diğer seçeneklerin her birinde tek bir yer değişikliği vardır: klima cihazı (84.15) buzdolabından (84.18), biçerdöver (84.33) süt sağma makinesinden (84.34), elektronik hesap makinesi (84.70) dizüstü bilgisayardan (84.71), bilyalı rulman (84.82) transmisyon milinden (84.83) önce gelir. Buhar kazanı 84.02, asansör 84.28, dokuma tezgâhı 84.46, örgü makinesi 84.47, çamaşır makinesi 84.50, dikiş makinesi 84.52, torna tezgâhı 84.58, vana 84.81 pozisyonundadır.</w:t>
      </w:r>
    </w:p>
    <w:p>
      <w:pPr>
        <w:pStyle w:val="BodyText"/>
      </w:pPr>
      <w:r>
        <w:rPr>
          <w:bCs/>
          <w:b/>
        </w:rPr>
        <w:t xml:space="preserve">Tuzak:</w:t>
      </w:r>
      <w:r>
        <w:t xml:space="preserve"> </w:t>
      </w:r>
      <w:r>
        <w:t xml:space="preserve">Birbirine yakın numaralı pozisyonları (84.15/84.18, 84.33/84.34, 84.70/84.71, 84.82/84.83) ayırt edemeyen aday tek bir yer değişikliği içeren seçeneği doğru sanır.</w:t>
      </w:r>
    </w:p>
    <w:p>
      <w:pPr>
        <w:pStyle w:val="BodyText"/>
      </w:pPr>
      <w:r>
        <w:rPr>
          <w:bCs/>
          <w:b/>
        </w:rPr>
        <w:t xml:space="preserve">Dayanak:</w:t>
      </w:r>
      <w:r>
        <w:t xml:space="preserve"> </w:t>
      </w:r>
      <w:r>
        <w:t xml:space="preserve">84.02, 84.08, 84.14, 84.15, 84.18, 84.25, 84.26, 84.28, 84.33 (8433.51), 84.34, 84.46, 84.47, 84.50, 84.52, 84.58, 84.70, 84.71 (8471.30), 84.81, 84.82, 84.83 pozisyon metinleri.</w:t>
      </w:r>
    </w:p>
    <w:bookmarkEnd w:id="37"/>
    <w:bookmarkStart w:id="38" w:name="soru-cevap-d"/>
    <w:p>
      <w:pPr>
        <w:pStyle w:val="Heading4"/>
      </w:pPr>
      <w:r>
        <w:t xml:space="preserve">17. soru — Cevap: D</w:t>
      </w:r>
    </w:p>
    <w:p>
      <w:pPr>
        <w:pStyle w:val="FirstParagraph"/>
      </w:pPr>
      <w:r>
        <w:rPr>
          <w:iCs/>
          <w:i/>
        </w:rPr>
        <w:t xml:space="preserve">TARİFE · Tarife – notlar, izahname · D5</w:t>
      </w:r>
    </w:p>
    <w:p>
      <w:pPr>
        <w:pStyle w:val="BodyText"/>
      </w:pPr>
      <w:r>
        <w:rPr>
          <w:bCs/>
          <w:b/>
        </w:rPr>
        <w:t xml:space="preserve">Doğru şık:</w:t>
      </w:r>
      <w:r>
        <w:t xml:space="preserve"> </w:t>
      </w:r>
      <w:r>
        <w:t xml:space="preserve">D) Elektrikli yağlı radyatör</w:t>
      </w:r>
    </w:p>
    <w:p>
      <w:pPr>
        <w:pStyle w:val="BodyText"/>
      </w:pPr>
      <w:r>
        <w:t xml:space="preserve">Sıvı yağı ısıtarak ısıyı çevreye yayan elektrikli radyatörler, mahal ısıtmaya mahsus elektrikli cihazlar olarak 85.16 pozisyonunda (8516.29) yer alır. 85. Fasıl 1 numaralı notu elektrikle ısıtılan battaniye ve benzerlerini, elektrikle ısıtılan giyim eşyası ve ayakkabıları, tıbbi ve dişçilikte kullanılan vakum cihazlarını (90.18) ve 94. fasıldaki elektrikle ısıtılan mobilyaları bu fasıl dışında bırakır; elektrikli battaniyeler 6301.10’da, ısıtmalı ayakkabılar 64. fasılda, ısıtıcı tertibatlı servis masaları 94. fasılda sınıflandırılır.</w:t>
      </w:r>
    </w:p>
    <w:p>
      <w:pPr>
        <w:pStyle w:val="BodyText"/>
      </w:pPr>
      <w:r>
        <w:rPr>
          <w:bCs/>
          <w:b/>
        </w:rPr>
        <w:t xml:space="preserve">Tuzak:</w:t>
      </w:r>
      <w:r>
        <w:t xml:space="preserve"> </w:t>
      </w:r>
      <w:r>
        <w:t xml:space="preserve">Elektrikle ısındığı için her ısıtıcı eşyayı 85.16’da sanan aday 85. Fasıl 1 numaralı notundaki hariçleri gözden kaçırır.</w:t>
      </w:r>
    </w:p>
    <w:p>
      <w:pPr>
        <w:pStyle w:val="BodyText"/>
      </w:pPr>
      <w:r>
        <w:rPr>
          <w:bCs/>
          <w:b/>
        </w:rPr>
        <w:t xml:space="preserve">Dayanak:</w:t>
      </w:r>
      <w:r>
        <w:t xml:space="preserve"> </w:t>
      </w:r>
      <w:r>
        <w:t xml:space="preserve">85. Fasıl Not 1 (a), (d), (e); 85.16 pozisyon metni (8516.29) ve Açıklama Notu (B)(3), hariçler (a), (f); 63.01 (6301.10). Elektrikli battaniye → 6301.10; ısıtmalı ayakkabı → 64. fasıl; dişçilik vakum cihazı → 90.18; elektrikli yağlı radyatör → 85.16; ısıtıcılı servis masası → 94. fasıl.</w:t>
      </w:r>
    </w:p>
    <w:bookmarkEnd w:id="38"/>
    <w:bookmarkStart w:id="39" w:name="soru-cevap-d-1"/>
    <w:p>
      <w:pPr>
        <w:pStyle w:val="Heading4"/>
      </w:pPr>
      <w:r>
        <w:t xml:space="preserve">18. soru — Cevap: D</w:t>
      </w:r>
    </w:p>
    <w:p>
      <w:pPr>
        <w:pStyle w:val="FirstParagraph"/>
      </w:pPr>
      <w:r>
        <w:rPr>
          <w:iCs/>
          <w:i/>
        </w:rPr>
        <w:t xml:space="preserve">TARİFE · Tarife – tanımı verilen eşya · V4</w:t>
      </w:r>
    </w:p>
    <w:p>
      <w:pPr>
        <w:pStyle w:val="BodyText"/>
      </w:pPr>
      <w:r>
        <w:rPr>
          <w:bCs/>
          <w:b/>
        </w:rPr>
        <w:t xml:space="preserve">Doğru şık:</w:t>
      </w:r>
      <w:r>
        <w:t xml:space="preserve"> </w:t>
      </w:r>
      <w:r>
        <w:t xml:space="preserve">D) 90.21</w:t>
      </w:r>
    </w:p>
    <w:p>
      <w:pPr>
        <w:pStyle w:val="BodyText"/>
      </w:pPr>
      <w:r>
        <w:t xml:space="preserve">Sınıflandırma görüşüne (9021.10/1) göre</w:t>
      </w:r>
      <w:r>
        <w:t xml:space="preserve"> </w:t>
      </w:r>
      <w:r>
        <w:t xml:space="preserve">‘</w:t>
      </w:r>
      <w:r>
        <w:t xml:space="preserve">rollator</w:t>
      </w:r>
      <w:r>
        <w:t xml:space="preserve">’</w:t>
      </w:r>
      <w:r>
        <w:t xml:space="preserve"> </w:t>
      </w:r>
      <w:r>
        <w:t xml:space="preserve">olarak bilinen yürüme destek aleti, 90. Faslın 6 nolu notu çerçevesinde 1 ve 6 nolu GYK ile 90.21 pozisyonunda (ortopedik cihazlar) sınıflandırılır; 90.21 açıklama notlarında tekerlekli, metal çerçeveli, frenli, oturma yeri ve sepeti olabilen ’yürüteç’ler açıkça sayılmıştır. 87.16 açıklama notları bu yürüme destek aygıtlarını kapsam dışı bırakır; 87.13 kişiyi taşıyan engelli taşıyıcılarını kapsar. Oturma yeri yalnızca kısa molalar için yardımcı unsurdur (94.01 değil); alüminyum çerçeve de eşyayı 76.16’ya götürmez, çünkü XV. Bölüm XVIII. Bölüme giren alet ve cihazları kapsamaz.</w:t>
      </w:r>
    </w:p>
    <w:p>
      <w:pPr>
        <w:pStyle w:val="BodyText"/>
      </w:pPr>
      <w:r>
        <w:rPr>
          <w:bCs/>
          <w:b/>
        </w:rPr>
        <w:t xml:space="preserve">Tuzak:</w:t>
      </w:r>
      <w:r>
        <w:t xml:space="preserve"> </w:t>
      </w:r>
      <w:r>
        <w:t xml:space="preserve">‘</w:t>
      </w:r>
      <w:r>
        <w:t xml:space="preserve">Tekerlek</w:t>
      </w:r>
      <w:r>
        <w:t xml:space="preserve">’</w:t>
      </w:r>
      <w:r>
        <w:t xml:space="preserve"> </w:t>
      </w:r>
      <w:r>
        <w:t xml:space="preserve">ve</w:t>
      </w:r>
      <w:r>
        <w:t xml:space="preserve"> </w:t>
      </w:r>
      <w:r>
        <w:t xml:space="preserve">‘</w:t>
      </w:r>
      <w:r>
        <w:t xml:space="preserve">engelli</w:t>
      </w:r>
      <w:r>
        <w:t xml:space="preserve">’</w:t>
      </w:r>
      <w:r>
        <w:t xml:space="preserve"> </w:t>
      </w:r>
      <w:r>
        <w:t xml:space="preserve">çağrışımları 87.16 ve 87.13’e,</w:t>
      </w:r>
      <w:r>
        <w:t xml:space="preserve"> </w:t>
      </w:r>
      <w:r>
        <w:t xml:space="preserve">‘</w:t>
      </w:r>
      <w:r>
        <w:t xml:space="preserve">oturma yeri</w:t>
      </w:r>
      <w:r>
        <w:t xml:space="preserve">’</w:t>
      </w:r>
      <w:r>
        <w:t xml:space="preserve"> </w:t>
      </w:r>
      <w:r>
        <w:t xml:space="preserve">94.01’e,</w:t>
      </w:r>
      <w:r>
        <w:t xml:space="preserve"> </w:t>
      </w:r>
      <w:r>
        <w:t xml:space="preserve">‘</w:t>
      </w:r>
      <w:r>
        <w:t xml:space="preserve">alüminyum çerçeve</w:t>
      </w:r>
      <w:r>
        <w:t xml:space="preserve">’</w:t>
      </w:r>
      <w:r>
        <w:t xml:space="preserve"> </w:t>
      </w:r>
      <w:r>
        <w:t xml:space="preserve">malzeme faslına (76.16) çeker.</w:t>
      </w:r>
    </w:p>
    <w:p>
      <w:pPr>
        <w:pStyle w:val="BodyText"/>
      </w:pPr>
      <w:r>
        <w:rPr>
          <w:bCs/>
          <w:b/>
        </w:rPr>
        <w:t xml:space="preserve">Dayanak:</w:t>
      </w:r>
      <w:r>
        <w:t xml:space="preserve"> </w:t>
      </w:r>
      <w:r>
        <w:t xml:space="preserve">GYKK 1 (Fasıl 90 Not 6) ve 6: 90.21 pozisyon metni ve açıklaması (yürüteçler). Çeldiriciler: 76.16 (alüminyum eşya - malzeme; XV. Bölüm Not 1(h)), 87.13 (engelliler için taşıyıcılar - çağrışım), 87.16 (hareket ettirici tertibatı bulunmayan taşıtlar; açıklamada yürüteçler hariç), 94.01 (oturmaya mahsus mobilyalar - çağrışım).</w:t>
      </w:r>
    </w:p>
    <w:bookmarkEnd w:id="39"/>
    <w:bookmarkStart w:id="40" w:name="soru-cevap-a-7"/>
    <w:p>
      <w:pPr>
        <w:pStyle w:val="Heading4"/>
      </w:pPr>
      <w:r>
        <w:t xml:space="preserve">19. soru — Cevap: A</w:t>
      </w:r>
    </w:p>
    <w:p>
      <w:pPr>
        <w:pStyle w:val="FirstParagraph"/>
      </w:pPr>
      <w:r>
        <w:rPr>
          <w:iCs/>
          <w:i/>
        </w:rPr>
        <w:t xml:space="preserve">TARİFE · Tarife – fasıl/pozisyon kapsamı · D5</w:t>
      </w:r>
    </w:p>
    <w:p>
      <w:pPr>
        <w:pStyle w:val="BodyText"/>
      </w:pPr>
      <w:r>
        <w:rPr>
          <w:bCs/>
          <w:b/>
        </w:rPr>
        <w:t xml:space="preserve">Doğru şık:</w:t>
      </w:r>
      <w:r>
        <w:t xml:space="preserve"> </w:t>
      </w:r>
      <w:r>
        <w:t xml:space="preserve">A) Ağızla üflenen metal işaret düdüğü</w:t>
      </w:r>
    </w:p>
    <w:p>
      <w:pPr>
        <w:pStyle w:val="BodyText"/>
      </w:pPr>
      <w:r>
        <w:t xml:space="preserve">92.08 pozisyonu diğer müzik aletlerinin yanı sıra düdükleri, çağrı borularını ve ağızla işaret verme aletlerini kapsar; bu nedenle metal düdük 92. fasıldadır. 92. Fasıl 1 numaralı notu oyuncak özelliği taşıyan aletleri (95.03) ve müzik aletlerini temizlemeye mahsus fırçaları (96.03) dışarıda bırakır; elektronik müzik modülleri 85.43, bisiklet zilleri ise 83.06 veya 85.31 pozisyonunda yer alır.</w:t>
      </w:r>
    </w:p>
    <w:p>
      <w:pPr>
        <w:pStyle w:val="BodyText"/>
      </w:pPr>
      <w:r>
        <w:rPr>
          <w:bCs/>
          <w:b/>
        </w:rPr>
        <w:t xml:space="preserve">Tuzak:</w:t>
      </w:r>
      <w:r>
        <w:t xml:space="preserve"> </w:t>
      </w:r>
      <w:r>
        <w:t xml:space="preserve">Düdüğü spor veya oyun eşyası sayıp 95. fasla götüren, müzik çağrışımı taşıyan ksilofon ve müzik modülünü ise 92. fasılda sanan aday ters seçim yapar.</w:t>
      </w:r>
    </w:p>
    <w:p>
      <w:pPr>
        <w:pStyle w:val="BodyText"/>
      </w:pPr>
      <w:r>
        <w:rPr>
          <w:bCs/>
          <w:b/>
        </w:rPr>
        <w:t xml:space="preserve">Dayanak:</w:t>
      </w:r>
      <w:r>
        <w:t xml:space="preserve"> </w:t>
      </w:r>
      <w:r>
        <w:t xml:space="preserve">92.08 pozisyon metni, Açıklama Notu (B)(2)(ii) ve hariçler (a); 92. Fasıl Not 1 (c), (d); 92. Fasıl Genel Açıklamalar hariçler (a). Oyuncak ksilofon → 95.03; temizleme fırçası → 96.03; elektronik müzik modülü → 85.43; bisiklet zili → 83.06 veya 85.31; metal düdük → 92.08.</w:t>
      </w:r>
    </w:p>
    <w:bookmarkEnd w:id="40"/>
    <w:bookmarkStart w:id="41" w:name="soru-cevap-e-4"/>
    <w:p>
      <w:pPr>
        <w:pStyle w:val="Heading4"/>
      </w:pPr>
      <w:r>
        <w:t xml:space="preserve">20. soru — Cevap: E</w:t>
      </w:r>
    </w:p>
    <w:p>
      <w:pPr>
        <w:pStyle w:val="FirstParagraph"/>
      </w:pPr>
      <w:r>
        <w:rPr>
          <w:iCs/>
          <w:i/>
        </w:rPr>
        <w:t xml:space="preserve">TARİFE · Tarife – fasıl/pozisyon kapsamı · O4</w:t>
      </w:r>
    </w:p>
    <w:p>
      <w:pPr>
        <w:pStyle w:val="BodyText"/>
      </w:pPr>
      <w:r>
        <w:rPr>
          <w:bCs/>
          <w:b/>
        </w:rPr>
        <w:t xml:space="preserve">Doğru şık:</w:t>
      </w:r>
      <w:r>
        <w:t xml:space="preserve"> </w:t>
      </w:r>
      <w:r>
        <w:t xml:space="preserve">E) Münhasıran köpekler için tasarlanmış kauçuk çiğneme oyuncağı</w:t>
      </w:r>
    </w:p>
    <w:p>
      <w:pPr>
        <w:numPr>
          <w:ilvl w:val="0"/>
          <w:numId w:val="1008"/>
        </w:numPr>
        <w:pStyle w:val="Compact"/>
      </w:pPr>
      <w:r>
        <w:t xml:space="preserve">Fasıl 5 numaralı notuna göre 95.03 pozisyonu biçimleri, şekilleri veya yapıldıkları madde itibarıyla münhasıran hayvanlar için tasarlandığı anlaşılan evcil hayvan oyuncaklarını kapsamaz; bunlar mamul oldukları maddeye göre kendi uygun pozisyonlarında (vulkanize kauçuktan olanlar 40.16’da) sınıflandırılır. Çocuk oyun çadırları, motorlu çocuk arabaları, oyuncak trenler ve salıncaklı atlar 95.03 açıklama notunda sayılan oyuncaklardır.</w:t>
      </w:r>
    </w:p>
    <w:p>
      <w:pPr>
        <w:pStyle w:val="FirstParagraph"/>
      </w:pPr>
      <w:r>
        <w:rPr>
          <w:bCs/>
          <w:b/>
        </w:rPr>
        <w:t xml:space="preserve">Tuzak:</w:t>
      </w:r>
      <w:r>
        <w:t xml:space="preserve"> </w:t>
      </w:r>
      <w:r>
        <w:t xml:space="preserve">‘</w:t>
      </w:r>
      <w:r>
        <w:t xml:space="preserve">Oyuncak</w:t>
      </w:r>
      <w:r>
        <w:t xml:space="preserve">’</w:t>
      </w:r>
      <w:r>
        <w:t xml:space="preserve"> </w:t>
      </w:r>
      <w:r>
        <w:t xml:space="preserve">adına güvenen aday evcil hayvan oyuncağını 95.03’te sanır; oyun çadırını ise 95. Fasıl 1 numaralı notundaki kamp çadırlarıyla karıştırır.</w:t>
      </w:r>
    </w:p>
    <w:p>
      <w:pPr>
        <w:pStyle w:val="BodyText"/>
      </w:pPr>
      <w:r>
        <w:rPr>
          <w:bCs/>
          <w:b/>
        </w:rPr>
        <w:t xml:space="preserve">Dayanak:</w:t>
      </w:r>
      <w:r>
        <w:t xml:space="preserve"> </w:t>
      </w:r>
      <w:r>
        <w:t xml:space="preserve">95. Fasıl Not 5; 95.03 pozisyon metni ve Açıklama Notu (A)(7), (D)(iv), (D)(v), (D)(xxiii). Köpek çiğneme oyuncağı → mamul olduğu maddeye göre (vulkanize kauçuktan ise 40.16); oyun çadırı → 95.03; motorlu oyuncak araba → 95.03; elektrikli oyuncak tren → 95.03; salıncaklı at → 95.03.</w:t>
      </w:r>
    </w:p>
    <w:bookmarkEnd w:id="41"/>
    <w:bookmarkStart w:id="42" w:name="soru-cevap-a-8"/>
    <w:p>
      <w:pPr>
        <w:pStyle w:val="Heading4"/>
      </w:pPr>
      <w:r>
        <w:t xml:space="preserve">21. soru — Cevap: A</w:t>
      </w:r>
    </w:p>
    <w:p>
      <w:pPr>
        <w:pStyle w:val="FirstParagraph"/>
      </w:pPr>
      <w:r>
        <w:rPr>
          <w:iCs/>
          <w:i/>
        </w:rPr>
        <w:t xml:space="preserve">GM · Genel hükümler · D2</w:t>
      </w:r>
    </w:p>
    <w:p>
      <w:pPr>
        <w:pStyle w:val="BodyText"/>
      </w:pPr>
      <w:r>
        <w:rPr>
          <w:bCs/>
          <w:b/>
        </w:rPr>
        <w:t xml:space="preserve">Doğru şık:</w:t>
      </w:r>
      <w:r>
        <w:t xml:space="preserve"> </w:t>
      </w:r>
      <w:r>
        <w:t xml:space="preserve">A) B sınıfı gümrük müdürlüğü</w:t>
      </w:r>
    </w:p>
    <w:p>
      <w:pPr>
        <w:pStyle w:val="BodyText"/>
      </w:pPr>
      <w:r>
        <w:t xml:space="preserve">Gümrük Yönetmeliğinin gümrük idarelerine ilişkin hükümlerine göre B sınıfı gümrük müdürlükleri yalnızca yolcu ve yolcu beraberinde gelen eşya ile Bakanlıkça belirlenen gümrük işlemlerini gerçekleştirmeye yetkilidir; A sınıfı gümrük müdürlükleri ise her türlü gümrük işlemini gerçekleştirmeye yetkilidir. Gümrük muhafaza müdürlüğü, gümrük ve dış ticaret bölge müdürlüğü ve işletme müdürlüğü bu sınıflandırma kapsamında gümrük işlemlerini yürüten gümrük müdürlükleri değildir.</w:t>
      </w:r>
    </w:p>
    <w:p>
      <w:pPr>
        <w:pStyle w:val="BodyText"/>
      </w:pPr>
      <w:r>
        <w:rPr>
          <w:bCs/>
          <w:b/>
        </w:rPr>
        <w:t xml:space="preserve">Tuzak:</w:t>
      </w:r>
      <w:r>
        <w:t xml:space="preserve"> </w:t>
      </w:r>
      <w:r>
        <w:t xml:space="preserve">Yolcu işlemlerinin yoğun yürütüldüğü kapıları en üst sınıf idare sanan aday A sınıfı gümrük müdürlüğünü işaretler.</w:t>
      </w:r>
    </w:p>
    <w:p>
      <w:pPr>
        <w:pStyle w:val="BodyText"/>
      </w:pPr>
      <w:r>
        <w:rPr>
          <w:bCs/>
          <w:b/>
        </w:rPr>
        <w:t xml:space="preserve">Dayanak:</w:t>
      </w:r>
      <w:r>
        <w:t xml:space="preserve"> </w:t>
      </w:r>
      <w:r>
        <w:t xml:space="preserve">Gümrük Yönetmeliği md. 560 (gümrük müdürlüklerinin A ve B sınıfı olarak ayrılması)</w:t>
      </w:r>
    </w:p>
    <w:bookmarkEnd w:id="42"/>
    <w:bookmarkStart w:id="43" w:name="soru-cevap-d-2"/>
    <w:p>
      <w:pPr>
        <w:pStyle w:val="Heading4"/>
      </w:pPr>
      <w:r>
        <w:t xml:space="preserve">22. soru — Cevap: D</w:t>
      </w:r>
    </w:p>
    <w:p>
      <w:pPr>
        <w:pStyle w:val="FirstParagraph"/>
      </w:pPr>
      <w:r>
        <w:rPr>
          <w:iCs/>
          <w:i/>
        </w:rPr>
        <w:t xml:space="preserve">GM · Özet beyan, geçici depolama · D6</w:t>
      </w:r>
    </w:p>
    <w:p>
      <w:pPr>
        <w:pStyle w:val="BodyText"/>
      </w:pPr>
      <w:r>
        <w:rPr>
          <w:bCs/>
          <w:b/>
        </w:rPr>
        <w:t xml:space="preserve">Doğru şık:</w:t>
      </w:r>
      <w:r>
        <w:t xml:space="preserve"> </w:t>
      </w:r>
      <w:r>
        <w:t xml:space="preserve">D) Taşıt aracının, eşyanın boşaltılacağı gümrük idaresine girişine ilişkin gümrük veya gümrük muhafaza yetkililerince tutulan kayıt tarihinden</w:t>
      </w:r>
    </w:p>
    <w:p>
      <w:pPr>
        <w:pStyle w:val="BodyText"/>
      </w:pPr>
      <w:r>
        <w:t xml:space="preserve">Gümrük Yönetmeliğinin 77 nci maddesinin ikinci fıkrasına göre deniz veya hava taşıtlarının Türkiye Gümrük Bölgesinde birden fazla liman veya havalimanına uğradığı hâllerde Kanunun 46 ncı maddesindeki süreler, taşıt aracının eşyanın boşaltılacağı gümrük idaresine girişine ilişkin gümrük veya gümrük muhafaza yetkililerince tutulan kayıt tarihinden itibaren başlar. Özet beyanın verildiği tarih Kanundaki genel başlangıçtır (özet beyan sunumdan önce verilmişse süre sunum tarihinden başlar); ilk uğranılan liman, boşaltma izni ve geçici depolama giriş onayı bu hâlde esas alınmaz.</w:t>
      </w:r>
    </w:p>
    <w:p>
      <w:pPr>
        <w:pStyle w:val="BodyText"/>
      </w:pPr>
      <w:r>
        <w:rPr>
          <w:bCs/>
          <w:b/>
        </w:rPr>
        <w:t xml:space="preserve">Tuzak:</w:t>
      </w:r>
      <w:r>
        <w:t xml:space="preserve"> </w:t>
      </w:r>
      <w:r>
        <w:t xml:space="preserve">Taşıtın Türkiye Gümrük Bölgesindeki ilk giriş noktasını veya özet beyanın verildiği tarihi esas almak.</w:t>
      </w:r>
    </w:p>
    <w:p>
      <w:pPr>
        <w:pStyle w:val="BodyText"/>
      </w:pPr>
      <w:r>
        <w:rPr>
          <w:bCs/>
          <w:b/>
        </w:rPr>
        <w:t xml:space="preserve">Dayanak:</w:t>
      </w:r>
      <w:r>
        <w:t xml:space="preserve"> </w:t>
      </w:r>
      <w:r>
        <w:t xml:space="preserve">Gümrük Yönetmeliği md. 77/2; 4458 sayılı Gümrük Kanunu md. 46</w:t>
      </w:r>
    </w:p>
    <w:bookmarkEnd w:id="43"/>
    <w:bookmarkStart w:id="44" w:name="soru-cevap-b-2"/>
    <w:p>
      <w:pPr>
        <w:pStyle w:val="Heading4"/>
      </w:pPr>
      <w:r>
        <w:t xml:space="preserve">23. soru — Cevap: B</w:t>
      </w:r>
    </w:p>
    <w:p>
      <w:pPr>
        <w:pStyle w:val="FirstParagraph"/>
      </w:pPr>
      <w:r>
        <w:rPr>
          <w:iCs/>
          <w:i/>
        </w:rPr>
        <w:t xml:space="preserve">GM · Özet beyan, geçici depolama · O1</w:t>
      </w:r>
    </w:p>
    <w:p>
      <w:pPr>
        <w:pStyle w:val="BodyText"/>
      </w:pPr>
      <w:r>
        <w:rPr>
          <w:bCs/>
          <w:b/>
        </w:rPr>
        <w:t xml:space="preserve">Doğru şık:</w:t>
      </w:r>
      <w:r>
        <w:t xml:space="preserve"> </w:t>
      </w:r>
      <w:r>
        <w:t xml:space="preserve">B) Niteliklerine uygun özel düzeneğe sahip geçici depolama yeri bulunmaması nedeniyle parlayıcı ve patlayıcı eşyanın doğrudan alındığı genel veya özel antrepolar</w:t>
      </w:r>
    </w:p>
    <w:p>
      <w:pPr>
        <w:pStyle w:val="BodyText"/>
      </w:pPr>
      <w:r>
        <w:t xml:space="preserve">Gümrük Yönetmeliğinin 79 uncu maddesine göre taşıtların durduğu, yanaştığı veya indiği yerlerdeki ambar, depo, ardiye veya hangar gibi yerler geçici depolama yeridir; limanlardaki geçici depolama yerlerinin mütemmim cüzü olan ağır ve havaleli eşyaya mahsus açık alanlar, yolcu beraberi eşya ambarları ve bu ambarların mütemmim cüzü olan, tam muafiyetle geçici ithal edilip teslim alınan kişisel kara taşıtlarının konulduğu yerler de geçici depolama yeri addolunur. Özel düzenek gerektiren eşya, uygun geçici depolama yeri yoksa doğrudan genel veya özel antrepolara alınır (md. 81/4); antrepo, antrepo rejiminin uygulandığı yerdir ve geçici depolama yeri sayılmaz.</w:t>
      </w:r>
    </w:p>
    <w:p>
      <w:pPr>
        <w:pStyle w:val="BodyText"/>
      </w:pPr>
      <w:r>
        <w:rPr>
          <w:bCs/>
          <w:b/>
        </w:rPr>
        <w:t xml:space="preserve">Tuzak:</w:t>
      </w:r>
      <w:r>
        <w:t xml:space="preserve"> </w:t>
      </w:r>
      <w:r>
        <w:t xml:space="preserve">Parlayıcı ve patlayıcı eşyanın antrepoya alınmasını geçici depolamanın özel bir türü sanmak.</w:t>
      </w:r>
    </w:p>
    <w:p>
      <w:pPr>
        <w:pStyle w:val="BodyText"/>
      </w:pPr>
      <w:r>
        <w:rPr>
          <w:bCs/>
          <w:b/>
        </w:rPr>
        <w:t xml:space="preserve">Dayanak:</w:t>
      </w:r>
      <w:r>
        <w:t xml:space="preserve"> </w:t>
      </w:r>
      <w:r>
        <w:t xml:space="preserve">Gümrük Yönetmeliği md. 79/1-2, 81/4</w:t>
      </w:r>
    </w:p>
    <w:bookmarkEnd w:id="44"/>
    <w:bookmarkStart w:id="45" w:name="soru-cevap-e-5"/>
    <w:p>
      <w:pPr>
        <w:pStyle w:val="Heading4"/>
      </w:pPr>
      <w:r>
        <w:t xml:space="preserve">24. soru — Cevap: E</w:t>
      </w:r>
    </w:p>
    <w:p>
      <w:pPr>
        <w:pStyle w:val="FirstParagraph"/>
      </w:pPr>
      <w:r>
        <w:rPr>
          <w:iCs/>
          <w:i/>
        </w:rPr>
        <w:t xml:space="preserve">GM · Gümrük beyanı, muayene · O1</w:t>
      </w:r>
    </w:p>
    <w:p>
      <w:pPr>
        <w:pStyle w:val="BodyText"/>
      </w:pPr>
      <w:r>
        <w:rPr>
          <w:bCs/>
          <w:b/>
        </w:rPr>
        <w:t xml:space="preserve">Doğru şık:</w:t>
      </w:r>
      <w:r>
        <w:t xml:space="preserve"> </w:t>
      </w:r>
      <w:r>
        <w:t xml:space="preserve">E) Getirildiği mahalde korunmasına yönelik özel düzenek bulunmayan gıda maddeleri</w:t>
      </w:r>
    </w:p>
    <w:p>
      <w:pPr>
        <w:pStyle w:val="BodyText"/>
      </w:pPr>
      <w:r>
        <w:t xml:space="preserve">Seri No: 16 Tebliğin 11 inci maddesinde özel kuruluşların yazılı talebi üzerine hemen teslim edilebilecek eşya sınırlı olarak sayılmıştır: uygunluk yazısı bulunan radyoaktif maddeler, aşılar, belli fiziksel koşullarda korunması zorunlu tıbbi ürünler, acil ameliyatlarda kullanılan protezler, belirli ısıda korunması gereken tahlil kitleri, gazete ve dergiler, tüp bebek solüsyonları, canlı hayvan ve üretim amaçlı yumurtalar ile uçak ve gemi tamiri için acil yedek parça ve aletler. Konulacağı mahalde özel düzenek bulunmayan gıda maddeleri ise Tebliğin 3 üncü maddesinde tam beyanlı yaygın basitleştirilmiş usule tabi tutulabilecek eşya arasında yer alır; eksik belgeyle hemen teslim listesinde yoktur.</w:t>
      </w:r>
    </w:p>
    <w:p>
      <w:pPr>
        <w:pStyle w:val="BodyText"/>
      </w:pPr>
      <w:r>
        <w:rPr>
          <w:bCs/>
          <w:b/>
        </w:rPr>
        <w:t xml:space="preserve">Tuzak:</w:t>
      </w:r>
      <w:r>
        <w:t xml:space="preserve"> </w:t>
      </w:r>
      <w:r>
        <w:t xml:space="preserve">Bozulabilir gıdayı aşı ve canlı hayvan gibi acil teslim grubunda sanmak; Tebliğin iki ayrı listesini karıştırmak.</w:t>
      </w:r>
    </w:p>
    <w:p>
      <w:pPr>
        <w:pStyle w:val="BodyText"/>
      </w:pPr>
      <w:r>
        <w:rPr>
          <w:bCs/>
          <w:b/>
        </w:rPr>
        <w:t xml:space="preserve">Dayanak:</w:t>
      </w:r>
      <w:r>
        <w:t xml:space="preserve"> </w:t>
      </w:r>
      <w:r>
        <w:t xml:space="preserve">Gümrük Genel Tebliği (Gümrük İşlemleri) (Seri No: 16) md. 11; md. 3/c</w:t>
      </w:r>
    </w:p>
    <w:bookmarkEnd w:id="45"/>
    <w:bookmarkStart w:id="46" w:name="soru-cevap-a-9"/>
    <w:p>
      <w:pPr>
        <w:pStyle w:val="Heading4"/>
      </w:pPr>
      <w:r>
        <w:t xml:space="preserve">25. soru — Cevap: A</w:t>
      </w:r>
    </w:p>
    <w:p>
      <w:pPr>
        <w:pStyle w:val="FirstParagraph"/>
      </w:pPr>
      <w:r>
        <w:rPr>
          <w:iCs/>
          <w:i/>
        </w:rPr>
        <w:t xml:space="preserve">GM · Gümrük beyanı, muayene · G1</w:t>
      </w:r>
    </w:p>
    <w:p>
      <w:pPr>
        <w:pStyle w:val="BodyText"/>
      </w:pPr>
      <w:r>
        <w:rPr>
          <w:bCs/>
          <w:b/>
        </w:rPr>
        <w:t xml:space="preserve">Doğru şık:</w:t>
      </w:r>
      <w:r>
        <w:t xml:space="preserve"> </w:t>
      </w:r>
      <w:r>
        <w:t xml:space="preserve">A) İşlenmiş tarım ürünlerinin serbest dolaşıma sokulması hâlinde ibrazı gereken işlenmiş tarım ürünleri analiz sonuç raporu, eksik beyan usulüne konu olabilecek belgelerdendir.</w:t>
      </w:r>
    </w:p>
    <w:p>
      <w:pPr>
        <w:pStyle w:val="BodyText"/>
      </w:pPr>
      <w:r>
        <w:t xml:space="preserve">Fatura ve menşe ispat belgelerinin yanında işlenmiş tarım ürünleri analiz sonuç raporu da eksik beyan usulüne konu olabilecek belgelerdendir; kıymet bildirim formu ise bu belgeler arasında yer almaz. Farklı pozisyonlara giren eşyanın tek pozisyonda vergilendirilmesinde beyannameye eklenen listede eşyanın miktarı, cinsi, türü, kıymeti ve gümrük tarife istatistik pozisyonunun tamamı yer alır. Eksik beyana ilişkin hükümler saklı kalmak kaydıyla, tescil öncesinde temin edilen ayniyat tespitine ilişkin belgeler ile ticaret politikası önlemlerinin uygulanmasına esas belgelerin beyannameye eklenmesi zorunludur.</w:t>
      </w:r>
    </w:p>
    <w:p>
      <w:pPr>
        <w:pStyle w:val="BodyText"/>
      </w:pPr>
      <w:r>
        <w:rPr>
          <w:bCs/>
          <w:b/>
        </w:rPr>
        <w:t xml:space="preserve">Tuzak:</w:t>
      </w:r>
      <w:r>
        <w:t xml:space="preserve"> </w:t>
      </w:r>
      <w:r>
        <w:t xml:space="preserve">Az bilinen analiz raporunu eksik beyana konu olamaz sanmak ya da kıymet bildirim formunun sonradan verilebileceğini düşünmek.</w:t>
      </w:r>
    </w:p>
    <w:p>
      <w:pPr>
        <w:pStyle w:val="BodyText"/>
      </w:pPr>
      <w:r>
        <w:rPr>
          <w:bCs/>
          <w:b/>
        </w:rPr>
        <w:t xml:space="preserve">Dayanak:</w:t>
      </w:r>
      <w:r>
        <w:t xml:space="preserve"> </w:t>
      </w:r>
      <w:r>
        <w:t xml:space="preserve">Gümrük Yönetmeliği beyannameye eklenecek belgeler, tek pozisyonda vergilendirme ve eksik beyan hükümleri</w:t>
      </w:r>
    </w:p>
    <w:bookmarkEnd w:id="46"/>
    <w:bookmarkStart w:id="47" w:name="soru-cevap-d-3"/>
    <w:p>
      <w:pPr>
        <w:pStyle w:val="Heading4"/>
      </w:pPr>
      <w:r>
        <w:t xml:space="preserve">26. soru — Cevap: D</w:t>
      </w:r>
    </w:p>
    <w:p>
      <w:pPr>
        <w:pStyle w:val="FirstParagraph"/>
      </w:pPr>
      <w:r>
        <w:rPr>
          <w:iCs/>
          <w:i/>
        </w:rPr>
        <w:t xml:space="preserve">GM · Yükümlülük, teminat, tecil · B1</w:t>
      </w:r>
    </w:p>
    <w:p>
      <w:pPr>
        <w:pStyle w:val="BodyText"/>
      </w:pPr>
      <w:r>
        <w:rPr>
          <w:bCs/>
          <w:b/>
        </w:rPr>
        <w:t xml:space="preserve">Doğru şık:</w:t>
      </w:r>
      <w:r>
        <w:t xml:space="preserve"> </w:t>
      </w:r>
      <w:r>
        <w:t xml:space="preserve">D) bu para cezalarına ilişkin gümrük vergilerinin zamanaşımına – 5326 sayılı Kabahatler Kanunu</w:t>
      </w:r>
    </w:p>
    <w:p>
      <w:pPr>
        <w:pStyle w:val="BodyText"/>
      </w:pPr>
      <w:r>
        <w:t xml:space="preserve">Tahsilat İşlemleri Tebliğinin 10 uncu maddesine (ve Gümrük Yönetmeliğinin 490 ıncı maddesinin dördüncü fıkrasına) göre gümrük vergileri alacağına bağlı para cezalarının zamanaşımı, bu cezalara ilişkin gümrük vergilerinin zamanaşımına tabidir; vergiye bağlı olmayan maktu ve nispi idari para cezalarında zamanaşımı süreleri 5326 sayılı Kabahatler Kanununun 20 nci maddesine göre belirlenir. 6183 sayılı Kanun kesinleşmiş amme alacaklarının takip ve tahsilini, 213 sayılı Kanun ise vergi usulünü düzenler; Tebliğ gümrük para cezalarının zamanaşımı için bunlara atıf yapmaz.</w:t>
      </w:r>
    </w:p>
    <w:p>
      <w:pPr>
        <w:pStyle w:val="BodyText"/>
      </w:pPr>
      <w:r>
        <w:rPr>
          <w:bCs/>
          <w:b/>
        </w:rPr>
        <w:t xml:space="preserve">Tuzak:</w:t>
      </w:r>
      <w:r>
        <w:t xml:space="preserve"> </w:t>
      </w:r>
      <w:r>
        <w:t xml:space="preserve">Vergiye bağlı cezaları da Kabahatler Kanununa tabi sanmak ya da iki ceza türünün zamanaşımı dayanağını yer değiştirmek.</w:t>
      </w:r>
    </w:p>
    <w:p>
      <w:pPr>
        <w:pStyle w:val="BodyText"/>
      </w:pPr>
      <w:r>
        <w:rPr>
          <w:bCs/>
          <w:b/>
        </w:rPr>
        <w:t xml:space="preserve">Dayanak:</w:t>
      </w:r>
      <w:r>
        <w:t xml:space="preserve"> </w:t>
      </w:r>
      <w:r>
        <w:t xml:space="preserve">Gümrük Genel Tebliği (Tahsilat İşlemleri) (Seri No: 2) md. 10; Gümrük Yönetmeliği md. 490/4</w:t>
      </w:r>
    </w:p>
    <w:bookmarkEnd w:id="47"/>
    <w:bookmarkStart w:id="48" w:name="soru-cevap-c-3"/>
    <w:p>
      <w:pPr>
        <w:pStyle w:val="Heading4"/>
      </w:pPr>
      <w:r>
        <w:t xml:space="preserve">27. soru — Cevap: C</w:t>
      </w:r>
    </w:p>
    <w:p>
      <w:pPr>
        <w:pStyle w:val="FirstParagraph"/>
      </w:pPr>
      <w:r>
        <w:rPr>
          <w:iCs/>
          <w:i/>
        </w:rPr>
        <w:t xml:space="preserve">GM · Yükümlülük, teminat, tecil · Ö2</w:t>
      </w:r>
    </w:p>
    <w:p>
      <w:pPr>
        <w:pStyle w:val="BodyText"/>
      </w:pPr>
      <w:r>
        <w:rPr>
          <w:bCs/>
          <w:b/>
        </w:rPr>
        <w:t xml:space="preserve">Doğru şık:</w:t>
      </w:r>
      <w:r>
        <w:t xml:space="preserve"> </w:t>
      </w:r>
      <w:r>
        <w:t xml:space="preserve">C) III ve V</w:t>
      </w:r>
    </w:p>
    <w:p>
      <w:pPr>
        <w:pStyle w:val="BodyText"/>
      </w:pPr>
      <w:r>
        <w:t xml:space="preserve">Tahsilat İşlemleri Tebliğine göre kamu kurum ve kuruluşlarının çok zor durum hâli tespitleri Genel Müdürlükçe yapılır (md. 21/5); tecil talebinin reddi hâlinde alacak, ret kararının tebliğinden itibaren azami otuz gün içinde tecil faizi uygulanarak ödenebilir (md. 18/2). Bu nedenle III ve V yanlıştır. Yazılı talebin idarenin kaydına girdiği tarihin süre ve faiz hesaplamalarına esas alınması (md. 20/4), tecil faizinin vergi, gecikme zammı oranında faiz ve/veya gecikme zammı ile para cezalarının toplamı üzerinden hesaplanması (md. 24/1) ve tecil şartlarına uyulmadığında normal vadeden itibaren gecikme zammı hesaplanması (md. 26/2) doğrudur.</w:t>
      </w:r>
    </w:p>
    <w:p>
      <w:pPr>
        <w:pStyle w:val="BodyText"/>
      </w:pPr>
      <w:r>
        <w:rPr>
          <w:bCs/>
          <w:b/>
        </w:rPr>
        <w:t xml:space="preserve">Tuzak:</w:t>
      </w:r>
      <w:r>
        <w:t xml:space="preserve"> </w:t>
      </w:r>
      <w:r>
        <w:t xml:space="preserve">Belirli tutarın üzerindeki tecil taleplerinde yetkili olan bölge müdürlüğünü çok zor durum tespitinde de yetkili sanmak.</w:t>
      </w:r>
    </w:p>
    <w:p>
      <w:pPr>
        <w:pStyle w:val="BodyText"/>
      </w:pPr>
      <w:r>
        <w:rPr>
          <w:bCs/>
          <w:b/>
        </w:rPr>
        <w:t xml:space="preserve">Dayanak:</w:t>
      </w:r>
      <w:r>
        <w:t xml:space="preserve"> </w:t>
      </w:r>
      <w:r>
        <w:t xml:space="preserve">Gümrük Genel Tebliği (Tahsilat İşlemleri) (Seri No: 2) md. 18/2, 20/4, 21/5, 24/1, 26/2</w:t>
      </w:r>
    </w:p>
    <w:bookmarkEnd w:id="48"/>
    <w:bookmarkStart w:id="49" w:name="soru-cevap-d-4"/>
    <w:p>
      <w:pPr>
        <w:pStyle w:val="Heading4"/>
      </w:pPr>
      <w:r>
        <w:t xml:space="preserve">28. soru — Cevap: D</w:t>
      </w:r>
    </w:p>
    <w:p>
      <w:pPr>
        <w:pStyle w:val="FirstParagraph"/>
      </w:pPr>
      <w:r>
        <w:rPr>
          <w:iCs/>
          <w:i/>
        </w:rPr>
        <w:t xml:space="preserve">GM · Transit · O2</w:t>
      </w:r>
    </w:p>
    <w:p>
      <w:pPr>
        <w:pStyle w:val="BodyText"/>
      </w:pPr>
      <w:r>
        <w:rPr>
          <w:bCs/>
          <w:b/>
        </w:rPr>
        <w:t xml:space="preserve">Doğru şık:</w:t>
      </w:r>
      <w:r>
        <w:t xml:space="preserve"> </w:t>
      </w:r>
      <w:r>
        <w:t xml:space="preserve">D) Transit beyannamesinde teminat verilmesi gereken hallerde yetki sahibi, kendisine ait kapsamlı teminatın yanı sıra ihracat beyannamesinde beyan sahibi olan ihracatçıya ait kapsamlı teminatı da kullanabilir.</w:t>
      </w:r>
    </w:p>
    <w:p>
      <w:pPr>
        <w:pStyle w:val="BodyText"/>
      </w:pPr>
      <w:r>
        <w:t xml:space="preserve">Seri No: 14 Tebliğe göre transit beyannamesinde teminat gerektiğinde yetki sahibi sadece kendisine ait kapsamlı teminatı kullanabilir; ihracatçıya ait teminatın da kullanılabileceği yönündeki ifade kapsam genişletilerek bozulmuştur. İhracat beyannamesinin tesisin bağlı olduğu gümrük müdürlüğünden elektronik ortamda tescili, muayenenin kontrol türü bildiriminden itibaren azami üç saat içinde tesiste yapılması, kırmızı hatta mührün muayene memurunca sökülüp muayeneden sonra izinli göndericinin yeni mühür tatbik etmesi ve ihracat işlemleri bittikten sonra izinli gönderici mührüyle basitleştirilmiş usulde transit beyannamesi tescil edilmesi Tebliğin hükmüdür.</w:t>
      </w:r>
    </w:p>
    <w:p>
      <w:pPr>
        <w:pStyle w:val="BodyText"/>
      </w:pPr>
      <w:r>
        <w:rPr>
          <w:bCs/>
          <w:b/>
        </w:rPr>
        <w:t xml:space="preserve">Tuzak:</w:t>
      </w:r>
      <w:r>
        <w:t xml:space="preserve"> </w:t>
      </w:r>
      <w:r>
        <w:t xml:space="preserve">Eşyanın sahibi ihracatçı olduğu için onun kapsamlı teminatının da transit beyannamesinde kullanılabileceğini düşünmek.</w:t>
      </w:r>
    </w:p>
    <w:p>
      <w:pPr>
        <w:pStyle w:val="BodyText"/>
      </w:pPr>
      <w:r>
        <w:rPr>
          <w:bCs/>
          <w:b/>
        </w:rPr>
        <w:t xml:space="preserve">Dayanak:</w:t>
      </w:r>
      <w:r>
        <w:t xml:space="preserve"> </w:t>
      </w:r>
      <w:r>
        <w:t xml:space="preserve">Gümrük Genel Tebliği (Transit Rejimi) (Seri No: 14) md. 12</w:t>
      </w:r>
    </w:p>
    <w:bookmarkEnd w:id="49"/>
    <w:bookmarkStart w:id="50" w:name="soru-cevap-c-4"/>
    <w:p>
      <w:pPr>
        <w:pStyle w:val="Heading4"/>
      </w:pPr>
      <w:r>
        <w:t xml:space="preserve">29. soru — Cevap: C</w:t>
      </w:r>
    </w:p>
    <w:p>
      <w:pPr>
        <w:pStyle w:val="FirstParagraph"/>
      </w:pPr>
      <w:r>
        <w:rPr>
          <w:iCs/>
          <w:i/>
        </w:rPr>
        <w:t xml:space="preserve">GM · Transit · Ö1</w:t>
      </w:r>
    </w:p>
    <w:p>
      <w:pPr>
        <w:pStyle w:val="BodyText"/>
      </w:pPr>
      <w:r>
        <w:rPr>
          <w:bCs/>
          <w:b/>
        </w:rPr>
        <w:t xml:space="preserve">Doğru şık:</w:t>
      </w:r>
      <w:r>
        <w:t xml:space="preserve"> </w:t>
      </w:r>
      <w:r>
        <w:t xml:space="preserve">C) I, II ve IV</w:t>
      </w:r>
    </w:p>
    <w:p>
      <w:pPr>
        <w:pStyle w:val="BodyText"/>
      </w:pPr>
      <w:r>
        <w:t xml:space="preserve">MRN belirtilmek kaydıyla eşyayı belirleyen boşaltma kayıtları ve konşimento gibi ticari belgelerin fotokopisi de transit refakat belgesinin fotokopisi de rejimin sonlandırılmasının alternatif kanıtıdır; bu nedenle I doğru, III yanlıştır. Suçüstü hırsızlıklarda hazırlık tahkikatı üzerine Cumhuriyet Savcılığınca verilen belge, mücbir sebep veya beklenmeyen hal nedeniyle kaybın kanıtıdır (II). Hareket ve varış idaresindeki bilgi ve belgelerin karşılaştırılmasıyla rejimin usulüne uygun sonlandırıldığı belirlenirse rejim ibra edilir (IV).</w:t>
      </w:r>
    </w:p>
    <w:p>
      <w:pPr>
        <w:pStyle w:val="BodyText"/>
      </w:pPr>
      <w:r>
        <w:rPr>
          <w:bCs/>
          <w:b/>
        </w:rPr>
        <w:t xml:space="preserve">Tuzak:</w:t>
      </w:r>
      <w:r>
        <w:t xml:space="preserve"> </w:t>
      </w:r>
      <w:r>
        <w:t xml:space="preserve">Fotokopinin kanıt değeri taşımayacağı sezgisiyle transit refakat belgesinin fotokopisini alternatif kanıt saymamak ve III’ü doğru kabul etmek.</w:t>
      </w:r>
    </w:p>
    <w:p>
      <w:pPr>
        <w:pStyle w:val="BodyText"/>
      </w:pPr>
      <w:r>
        <w:rPr>
          <w:bCs/>
          <w:b/>
        </w:rPr>
        <w:t xml:space="preserve">Dayanak:</w:t>
      </w:r>
      <w:r>
        <w:t xml:space="preserve"> </w:t>
      </w:r>
      <w:r>
        <w:t xml:space="preserve">Gümrük Genel Tebliği (Transit Rejimi) (Seri No: 4) – alternatif kanıt; Gümrük Yönetmeliği – transit eşyasında telef/kayıp kanıtı; 4458 sayılı Gümrük Kanunu – transit rejiminin ibrası</w:t>
      </w:r>
    </w:p>
    <w:bookmarkEnd w:id="50"/>
    <w:bookmarkStart w:id="51" w:name="soru-cevap-d-5"/>
    <w:p>
      <w:pPr>
        <w:pStyle w:val="Heading4"/>
      </w:pPr>
      <w:r>
        <w:t xml:space="preserve">30. soru — Cevap: D</w:t>
      </w:r>
    </w:p>
    <w:p>
      <w:pPr>
        <w:pStyle w:val="FirstParagraph"/>
      </w:pPr>
      <w:r>
        <w:rPr>
          <w:iCs/>
          <w:i/>
        </w:rPr>
        <w:t xml:space="preserve">GM · Transit · E2</w:t>
      </w:r>
    </w:p>
    <w:p>
      <w:pPr>
        <w:pStyle w:val="BodyText"/>
      </w:pPr>
      <w:r>
        <w:rPr>
          <w:bCs/>
          <w:b/>
        </w:rPr>
        <w:t xml:space="preserve">Doğru şık:</w:t>
      </w:r>
      <w:r>
        <w:t xml:space="preserve"> </w:t>
      </w:r>
      <w:r>
        <w:t xml:space="preserve">D) II ve IV</w:t>
      </w:r>
    </w:p>
    <w:p>
      <w:pPr>
        <w:pStyle w:val="BodyText"/>
      </w:pPr>
      <w:r>
        <w:t xml:space="preserve">Transit Tebliğinde GRN, teminat gümrük idaresince kabul edilen kapsamlı teminat mektubu için sistem tarafından verilen teminat referans numarasıdır (II doğru); NCTS, ortak ve ulusal transit rejimlerine ilişkin işlemlerin yürütüldüğü Yeni Bilgisayarlı Transit Sistemidir (IV doğru). Hareket gümrük idaresince kabul işlemi yapılan beyannameye sistemce verilen ana referans numarası LRN değil MRN’dir (I yanlış); transit beyanı verilerinin hareket gümrük idaresine elektronik ortamda iletilmesi üzerine verilen yerel referans numarası ise MRN değil LRN’dir (III yanlış).</w:t>
      </w:r>
    </w:p>
    <w:p>
      <w:pPr>
        <w:pStyle w:val="BodyText"/>
      </w:pPr>
      <w:r>
        <w:rPr>
          <w:bCs/>
          <w:b/>
        </w:rPr>
        <w:t xml:space="preserve">Tuzak:</w:t>
      </w:r>
      <w:r>
        <w:t xml:space="preserve"> </w:t>
      </w:r>
      <w:r>
        <w:t xml:space="preserve">LRN ile MRN’nin tanımlarını karıştırıp yerel ve ana referans numaralarının yer değiştirdiği satırlardan birini doğru saymak.</w:t>
      </w:r>
    </w:p>
    <w:p>
      <w:pPr>
        <w:pStyle w:val="BodyText"/>
      </w:pPr>
      <w:r>
        <w:rPr>
          <w:bCs/>
          <w:b/>
        </w:rPr>
        <w:t xml:space="preserve">Dayanak:</w:t>
      </w:r>
      <w:r>
        <w:t xml:space="preserve"> </w:t>
      </w:r>
      <w:r>
        <w:t xml:space="preserve">Gümrük Genel Tebliği (Transit Rejimi) (Seri No: 4) – tanımlar (LRN, MRN, GRN, NCTS)</w:t>
      </w:r>
    </w:p>
    <w:bookmarkEnd w:id="51"/>
    <w:bookmarkStart w:id="52" w:name="soru-cevap-d-6"/>
    <w:p>
      <w:pPr>
        <w:pStyle w:val="Heading4"/>
      </w:pPr>
      <w:r>
        <w:t xml:space="preserve">31. soru — Cevap: D</w:t>
      </w:r>
    </w:p>
    <w:p>
      <w:pPr>
        <w:pStyle w:val="FirstParagraph"/>
      </w:pPr>
      <w:r>
        <w:rPr>
          <w:iCs/>
          <w:i/>
        </w:rPr>
        <w:t xml:space="preserve">GM · Transit · Ö2</w:t>
      </w:r>
    </w:p>
    <w:p>
      <w:pPr>
        <w:pStyle w:val="BodyText"/>
      </w:pPr>
      <w:r>
        <w:rPr>
          <w:bCs/>
          <w:b/>
        </w:rPr>
        <w:t xml:space="preserve">Doğru şık:</w:t>
      </w:r>
      <w:r>
        <w:t xml:space="preserve"> </w:t>
      </w:r>
      <w:r>
        <w:t xml:space="preserve">D) II ve IV</w:t>
      </w:r>
    </w:p>
    <w:p>
      <w:pPr>
        <w:pStyle w:val="BodyText"/>
      </w:pPr>
      <w:r>
        <w:t xml:space="preserve">Teminattan vazgeçme izni için Gümrükler Genel Müdürlüğü yetkilidir (I) ve ortak transit rejimi kapsamındaki işlemlerde serbest dolaşımdaki eşya serbest dolaşımda olmayan eşya olarak kabul edilir (III); bu iki ifade doğrudur. Transit, ihracat veya mahrece iade konusu eşya aynı TIR karnesi himayesinde taşınabileceğinden II yanlıştır. Varış idaresi aynı olsa da ihracat eşyası ile serbest dolaşımda olmayan eşya için tek bir transit beyannamesi düzenlenebileceği yönündeki IV de yanlıştır.</w:t>
      </w:r>
    </w:p>
    <w:p>
      <w:pPr>
        <w:pStyle w:val="BodyText"/>
      </w:pPr>
      <w:r>
        <w:rPr>
          <w:bCs/>
          <w:b/>
        </w:rPr>
        <w:t xml:space="preserve">Tuzak:</w:t>
      </w:r>
      <w:r>
        <w:t xml:space="preserve"> </w:t>
      </w:r>
      <w:r>
        <w:t xml:space="preserve">Varış idaresinin aynı olmasını tek beyan için yeterli görmek ya da TIR karnesinin farklı nitelikteki eşyayı birlikte kapsayamayacağını sanmak.</w:t>
      </w:r>
    </w:p>
    <w:p>
      <w:pPr>
        <w:pStyle w:val="BodyText"/>
      </w:pPr>
      <w:r>
        <w:rPr>
          <w:bCs/>
          <w:b/>
        </w:rPr>
        <w:t xml:space="preserve">Dayanak:</w:t>
      </w:r>
      <w:r>
        <w:t xml:space="preserve"> </w:t>
      </w:r>
      <w:r>
        <w:t xml:space="preserve">Gümrük Genel Tebliği (Transit Rejimi) (Seri No: 4) – teminattan vazgeçme, ortak transitte eşyanın statüsü, transit beyanı; TIR işlemlerine ilişkin düzenleme</w:t>
      </w:r>
    </w:p>
    <w:bookmarkEnd w:id="52"/>
    <w:bookmarkStart w:id="53" w:name="soru-cevap-e-6"/>
    <w:p>
      <w:pPr>
        <w:pStyle w:val="Heading4"/>
      </w:pPr>
      <w:r>
        <w:t xml:space="preserve">32. soru — Cevap: E</w:t>
      </w:r>
    </w:p>
    <w:p>
      <w:pPr>
        <w:pStyle w:val="FirstParagraph"/>
      </w:pPr>
      <w:r>
        <w:rPr>
          <w:iCs/>
          <w:i/>
        </w:rPr>
        <w:t xml:space="preserve">GM · Antrepo · O2</w:t>
      </w:r>
    </w:p>
    <w:p>
      <w:pPr>
        <w:pStyle w:val="BodyText"/>
      </w:pPr>
      <w:r>
        <w:rPr>
          <w:bCs/>
          <w:b/>
        </w:rPr>
        <w:t xml:space="preserve">Doğru şık:</w:t>
      </w:r>
      <w:r>
        <w:t xml:space="preserve"> </w:t>
      </w:r>
      <w:r>
        <w:t xml:space="preserve">E) Ön izinle açılacak geçici depolama yerlerinin, en az 3.000 m²’si kapalı olmak üzere 10.000 m²’den küçük olmaması ve mutat yolların izlenmesi kaydıyla gümrük müdürlüğüne en fazla 50 km mesafede olması gerekir.</w:t>
      </w:r>
    </w:p>
    <w:p>
      <w:pPr>
        <w:pStyle w:val="BodyText"/>
      </w:pPr>
      <w:r>
        <w:t xml:space="preserve">Gümrüklü saha, gümrük idaresi bulunan liman ve havalimanı ile iç gümrükte gümrük müdürlüğüne bitişik yerler dışında Bakanlık ön izniyle açılacak geçici depolama yerlerinde en az 3.000 m²’si kapalı olmak üzere 10.000 m² alan ve gümrük müdürlüğüne mutat yollardan en fazla 10 km mesafe aranır; 50 km genel antrepolar için öngörülen mesafedir. Taşıt depolanacak yerlerde kapalı alan şartının aranmaması, ziyan ve hasardan doğan mali sorumluluğun işleticiye ait olması, giriş ve çıkış kayıtlarının eş zamanlı olarak bilgisayar ortamında tutulması ve yükümlülüğünü yerine getirmeyen işleticinin izninin bir yılı geçmeyen süre sonunda Bakanlıkça geri alınması yönetmelik hükümleridir.</w:t>
      </w:r>
    </w:p>
    <w:p>
      <w:pPr>
        <w:pStyle w:val="BodyText"/>
      </w:pPr>
      <w:r>
        <w:rPr>
          <w:bCs/>
          <w:b/>
        </w:rPr>
        <w:t xml:space="preserve">Tuzak:</w:t>
      </w:r>
      <w:r>
        <w:t xml:space="preserve"> </w:t>
      </w:r>
      <w:r>
        <w:t xml:space="preserve">Genel antrepolar için öngörülen 50 km mesafe şartını geçici depolama yerlerine taşımak.</w:t>
      </w:r>
    </w:p>
    <w:p>
      <w:pPr>
        <w:pStyle w:val="BodyText"/>
      </w:pPr>
      <w:r>
        <w:rPr>
          <w:bCs/>
          <w:b/>
        </w:rPr>
        <w:t xml:space="preserve">Dayanak:</w:t>
      </w:r>
      <w:r>
        <w:t xml:space="preserve"> </w:t>
      </w:r>
      <w:r>
        <w:t xml:space="preserve">Gümrük Yönetmeliği md. 513/7, 515/1-2, 517/1 (karşılaştırma: md. 519/2)</w:t>
      </w:r>
    </w:p>
    <w:bookmarkEnd w:id="53"/>
    <w:bookmarkStart w:id="54" w:name="soru-cevap-c-5"/>
    <w:p>
      <w:pPr>
        <w:pStyle w:val="Heading4"/>
      </w:pPr>
      <w:r>
        <w:t xml:space="preserve">33. soru — Cevap: C</w:t>
      </w:r>
    </w:p>
    <w:p>
      <w:pPr>
        <w:pStyle w:val="FirstParagraph"/>
      </w:pPr>
      <w:r>
        <w:rPr>
          <w:iCs/>
          <w:i/>
        </w:rPr>
        <w:t xml:space="preserve">GM · Antrepo · Ö3</w:t>
      </w:r>
    </w:p>
    <w:p>
      <w:pPr>
        <w:pStyle w:val="BodyText"/>
      </w:pPr>
      <w:r>
        <w:rPr>
          <w:bCs/>
          <w:b/>
        </w:rPr>
        <w:t xml:space="preserve">Doğru şık:</w:t>
      </w:r>
      <w:r>
        <w:t xml:space="preserve"> </w:t>
      </w:r>
      <w:r>
        <w:t xml:space="preserve">C) I, III ve V</w:t>
      </w:r>
    </w:p>
    <w:p>
      <w:pPr>
        <w:pStyle w:val="BodyText"/>
      </w:pPr>
      <w:r>
        <w:t xml:space="preserve">Gümrük Yönetmeliğine göre geçici depolama yeri açma ve işletme izni başvurusunda dilekçeye; adli sicil belgesi, tapu veya kira belgesi, ticaret sicili gazetesi, onaylı plan veya kroki, işyeri açma ve çalışma ruhsatı, onaylı fotoğraflar, vergi mükellefiyet belgesi, itfaiye raporu ve taahhütname eklenir (I, III, V). Sosyal Güvenlik Kurumuna borcu olmadığına dair yazı, antrepo yatırım izninde gümrük müdürlüğünün görüşüyle birlikte bölge müdürlüğüne ilettiği belgeler arasındadır; yeminli mali müşavir raporu ise izinli gönderici başvurusunun koşuludur. Bu ikisi geçici depolama yeri başvuru belgeleri arasında sayılmamıştır.</w:t>
      </w:r>
    </w:p>
    <w:p>
      <w:pPr>
        <w:pStyle w:val="BodyText"/>
      </w:pPr>
      <w:r>
        <w:rPr>
          <w:bCs/>
          <w:b/>
        </w:rPr>
        <w:t xml:space="preserve">Tuzak:</w:t>
      </w:r>
      <w:r>
        <w:t xml:space="preserve"> </w:t>
      </w:r>
      <w:r>
        <w:t xml:space="preserve">Antrepo yatırım iznindeki SGK yazısını ya da başka izinlerde aranan yeminli mali müşavir raporunu geçici depolama yeri başvurusuna taşımak.</w:t>
      </w:r>
    </w:p>
    <w:p>
      <w:pPr>
        <w:pStyle w:val="BodyText"/>
      </w:pPr>
      <w:r>
        <w:rPr>
          <w:bCs/>
          <w:b/>
        </w:rPr>
        <w:t xml:space="preserve">Dayanak:</w:t>
      </w:r>
      <w:r>
        <w:t xml:space="preserve"> </w:t>
      </w:r>
      <w:r>
        <w:t xml:space="preserve">Gümrük Yönetmeliği md. 513/1 (karşılaştırma: md. 518/8; Transit Tebliği Seri No: 14 md. 4/1-g)</w:t>
      </w:r>
    </w:p>
    <w:bookmarkEnd w:id="54"/>
    <w:bookmarkStart w:id="55" w:name="soru-cevap-b-3"/>
    <w:p>
      <w:pPr>
        <w:pStyle w:val="Heading4"/>
      </w:pPr>
      <w:r>
        <w:t xml:space="preserve">34. soru — Cevap: B</w:t>
      </w:r>
    </w:p>
    <w:p>
      <w:pPr>
        <w:pStyle w:val="FirstParagraph"/>
      </w:pPr>
      <w:r>
        <w:rPr>
          <w:iCs/>
          <w:i/>
        </w:rPr>
        <w:t xml:space="preserve">GM · Antrepo · Ö1</w:t>
      </w:r>
    </w:p>
    <w:p>
      <w:pPr>
        <w:pStyle w:val="BodyText"/>
      </w:pPr>
      <w:r>
        <w:rPr>
          <w:bCs/>
          <w:b/>
        </w:rPr>
        <w:t xml:space="preserve">Doğru şık:</w:t>
      </w:r>
      <w:r>
        <w:t xml:space="preserve"> </w:t>
      </w:r>
      <w:r>
        <w:t xml:space="preserve">B) Yalnız III</w:t>
      </w:r>
    </w:p>
    <w:p>
      <w:pPr>
        <w:pStyle w:val="BodyText"/>
      </w:pPr>
      <w:r>
        <w:t xml:space="preserve">Antrepolara ilişkin yıllık harcın Ocak ayı sonuna kadar yatırıldığını gösteren makbuz gümrük idaresine ibraz edilmezse antrepoya eşya girişine izin verilmez (III doğru). İşleticilerin yatırım izni ve izin şartlarını taşıyıp taşımadıkları her yıl Temmuz değil Ocak ayı itibarıyla kontrol edilir (I yanlış); genel antrepoların yıllık fiyat tarifesi Ocak sonuna kadar bölge müdürlüğüne gönderilir ve bölge müdürlüğünce kurumsal internet sitesinde yayımlanır (II yanlış); çift kilit, yetkilendirilmiş gümrük müşaviri bulunmayan antrepo ve geçici depolama yerlerinde zorunludur (IV yanlış).</w:t>
      </w:r>
    </w:p>
    <w:p>
      <w:pPr>
        <w:pStyle w:val="BodyText"/>
      </w:pPr>
      <w:r>
        <w:rPr>
          <w:bCs/>
          <w:b/>
        </w:rPr>
        <w:t xml:space="preserve">Tuzak:</w:t>
      </w:r>
      <w:r>
        <w:t xml:space="preserve"> </w:t>
      </w:r>
      <w:r>
        <w:t xml:space="preserve">2025’te eklenen fiyat tarifesi yükümlülüğünde muhatabı antreponun bağlı olduğu gümrük müdürlüğü sanmak ya da çift kilit şartını YGM bulunan antrepolar için zorunlu kabul etmek.</w:t>
      </w:r>
    </w:p>
    <w:p>
      <w:pPr>
        <w:pStyle w:val="BodyText"/>
      </w:pPr>
      <w:r>
        <w:rPr>
          <w:bCs/>
          <w:b/>
        </w:rPr>
        <w:t xml:space="preserve">Dayanak:</w:t>
      </w:r>
      <w:r>
        <w:t xml:space="preserve"> </w:t>
      </w:r>
      <w:r>
        <w:t xml:space="preserve">Gümrük Yönetmeliği md. 525/1, 525/11 (22.08.2025 tarihli ve 32994 sayılı RG ile eklenen), 553/5, 555/1</w:t>
      </w:r>
    </w:p>
    <w:bookmarkEnd w:id="55"/>
    <w:bookmarkStart w:id="56" w:name="soru-cevap-a-10"/>
    <w:p>
      <w:pPr>
        <w:pStyle w:val="Heading4"/>
      </w:pPr>
      <w:r>
        <w:t xml:space="preserve">35. soru — Cevap: A</w:t>
      </w:r>
    </w:p>
    <w:p>
      <w:pPr>
        <w:pStyle w:val="FirstParagraph"/>
      </w:pPr>
      <w:r>
        <w:rPr>
          <w:iCs/>
          <w:i/>
        </w:rPr>
        <w:t xml:space="preserve">GM · Antrepo · B2</w:t>
      </w:r>
    </w:p>
    <w:p>
      <w:pPr>
        <w:pStyle w:val="BodyText"/>
      </w:pPr>
      <w:r>
        <w:rPr>
          <w:bCs/>
          <w:b/>
        </w:rPr>
        <w:t xml:space="preserve">Doğru şık:</w:t>
      </w:r>
      <w:r>
        <w:t xml:space="preserve"> </w:t>
      </w:r>
      <w:r>
        <w:t xml:space="preserve">A) on beş gün – altmış gün – gümrük müdürlükleri</w:t>
      </w:r>
    </w:p>
    <w:p>
      <w:pPr>
        <w:pStyle w:val="BodyText"/>
      </w:pPr>
      <w:r>
        <w:t xml:space="preserve">Gümrük Yönetmeliğine göre serbest dolaşımda bulunan ve bulunmayan dökme eşyanın zorunluluk halinde aynı tankta bulunmasına izin verildiğinde, serbest dolaşıma girmiş eşyanın antrepodan çıkarılması akaryakıt antreposu tanklarındaki eşya için on beş gün, diğer eşya için altmış gün içinde tamamlanır. Bu süreleri otuz güne kadar uzatmaya gümrük müdürlükleri, bunun dışındaki farklı durumları inceleyip sonuçlandırmaya ise bölge müdürlükleri yetkilidir.</w:t>
      </w:r>
    </w:p>
    <w:p>
      <w:pPr>
        <w:pStyle w:val="BodyText"/>
      </w:pPr>
      <w:r>
        <w:rPr>
          <w:bCs/>
          <w:b/>
        </w:rPr>
        <w:t xml:space="preserve">Tuzak:</w:t>
      </w:r>
      <w:r>
        <w:t xml:space="preserve"> </w:t>
      </w:r>
      <w:r>
        <w:t xml:space="preserve">Aynı bentte farklı durumlar için yetkilendirilen bölge müdürlüklerini süre uzatma makamı sanmak.</w:t>
      </w:r>
    </w:p>
    <w:p>
      <w:pPr>
        <w:pStyle w:val="BodyText"/>
      </w:pPr>
      <w:r>
        <w:rPr>
          <w:bCs/>
          <w:b/>
        </w:rPr>
        <w:t xml:space="preserve">Dayanak:</w:t>
      </w:r>
      <w:r>
        <w:t xml:space="preserve"> </w:t>
      </w:r>
      <w:r>
        <w:t xml:space="preserve">Gümrük Yönetmeliği md. 542/6-d</w:t>
      </w:r>
    </w:p>
    <w:bookmarkEnd w:id="56"/>
    <w:bookmarkStart w:id="57" w:name="soru-cevap-b-4"/>
    <w:p>
      <w:pPr>
        <w:pStyle w:val="Heading4"/>
      </w:pPr>
      <w:r>
        <w:t xml:space="preserve">36. soru — Cevap: B</w:t>
      </w:r>
    </w:p>
    <w:p>
      <w:pPr>
        <w:pStyle w:val="FirstParagraph"/>
      </w:pPr>
      <w:r>
        <w:rPr>
          <w:iCs/>
          <w:i/>
        </w:rPr>
        <w:t xml:space="preserve">GM · Geçici ithalat · O2</w:t>
      </w:r>
    </w:p>
    <w:p>
      <w:pPr>
        <w:pStyle w:val="BodyText"/>
      </w:pPr>
      <w:r>
        <w:rPr>
          <w:bCs/>
          <w:b/>
        </w:rPr>
        <w:t xml:space="preserve">Doğru şık:</w:t>
      </w:r>
      <w:r>
        <w:t xml:space="preserve"> </w:t>
      </w:r>
      <w:r>
        <w:t xml:space="preserve">B) Yurt dışındaki sergi ve fuarlarda sergilenmek üzere geçici çıkışı yapılacak eşyaya ilişkin kesin satış faturasının beyannameye eklenmesi zorunludur.</w:t>
      </w:r>
    </w:p>
    <w:p>
      <w:pPr>
        <w:pStyle w:val="BodyText"/>
      </w:pPr>
      <w:r>
        <w:t xml:space="preserve">Tebliğin 11 inci maddesine göre sergi ve fuar eşyasının geçici çıkışında kesin satış faturası aranmaz; proforma fatura veya sevk irsaliyesinin beyannameye eklenmesi sağlanır. Bu nedenle kesin satış faturasını zorunlu tutan ifade yanlıştır. Ev eşyasının süre kısıtlamasına tabi olmaması 7 nci maddenin, müteahhitlik hizmetlerinde süre uzatım yazısının ek süre belgesi sayılması 8 inci maddenin, Tebliğde düzenlenmeyen geçici çıkışlarda eşyanın ayırt edici özelliklerinin beyannameye kaydedilmesi 12 nci maddenin, ekonomik gereklilikle ek süre verilmesi 17 nci maddenin hükmüdür.</w:t>
      </w:r>
    </w:p>
    <w:p>
      <w:pPr>
        <w:pStyle w:val="BodyText"/>
      </w:pPr>
      <w:r>
        <w:rPr>
          <w:bCs/>
          <w:b/>
        </w:rPr>
        <w:t xml:space="preserve">Tuzak:</w:t>
      </w:r>
      <w:r>
        <w:t xml:space="preserve"> </w:t>
      </w:r>
      <w:r>
        <w:t xml:space="preserve">Her ihracatta kesin satış faturası arandığını düşünen aday, geri gelecek sergi eşyasının satış konusu olmadığını gözden kaçırır.</w:t>
      </w:r>
    </w:p>
    <w:p>
      <w:pPr>
        <w:pStyle w:val="BodyText"/>
      </w:pPr>
      <w:r>
        <w:rPr>
          <w:bCs/>
          <w:b/>
        </w:rPr>
        <w:t xml:space="preserve">Dayanak:</w:t>
      </w:r>
      <w:r>
        <w:t xml:space="preserve"> </w:t>
      </w:r>
      <w:r>
        <w:t xml:space="preserve">Gümrük Genel Tebliği (Hariçte İşleme-Geçici İhracat) Seri No: 1 md. 7/3, 8/2, 11/2, 12/1, 17/3</w:t>
      </w:r>
    </w:p>
    <w:bookmarkEnd w:id="57"/>
    <w:bookmarkStart w:id="58" w:name="soru-cevap-b-5"/>
    <w:p>
      <w:pPr>
        <w:pStyle w:val="Heading4"/>
      </w:pPr>
      <w:r>
        <w:t xml:space="preserve">37. soru — Cevap: B</w:t>
      </w:r>
    </w:p>
    <w:p>
      <w:pPr>
        <w:pStyle w:val="FirstParagraph"/>
      </w:pPr>
      <w:r>
        <w:rPr>
          <w:iCs/>
          <w:i/>
        </w:rPr>
        <w:t xml:space="preserve">GM · Geçici ithalat · V1</w:t>
      </w:r>
    </w:p>
    <w:p>
      <w:pPr>
        <w:pStyle w:val="BodyText"/>
      </w:pPr>
      <w:r>
        <w:rPr>
          <w:bCs/>
          <w:b/>
        </w:rPr>
        <w:t xml:space="preserve">Doğru şık:</w:t>
      </w:r>
      <w:r>
        <w:t xml:space="preserve"> </w:t>
      </w:r>
      <w:r>
        <w:t xml:space="preserve">B) 24 aylık süre 14.01.2025 tarihinden başlar; rejime giriş gümrük idaresince izin süresi dokuz ay uzatılır.</w:t>
      </w:r>
    </w:p>
    <w:p>
      <w:pPr>
        <w:pStyle w:val="BodyText"/>
      </w:pPr>
      <w:r>
        <w:t xml:space="preserve">Gümrük Yönetmeliğinin 379 uncu maddesinin üçüncü fıkrasına göre rejimde kalış süresinin hesaplanmasında beyannamenin tescil tarihi değil, eşyanın yükümlüsüne teslim edildiği tarih (14.01.2025) esas alınır. 380 inci maddenin beşinci fıkrasına (09.01.2024 tarihli değişiklik) göre yetkilendirilmiş yükümlü sertifikası sahibince kısmi muafiyetle geçici ithal edilen ve üçüncü fıkra kapsamına girmeyen eşyanın 24 aydan uzun kullanımı söz konusu olduğunda rejime giriş gümrük idaresince izin süresi dokuz ay uzatılır; bu sürenin sonunda kullanım sürecekse yeni izin başvurusu yapılır. Tescil tarihini esas alan, on iki aylık uzatmayı öngören veya uzatma imkânını tümüyle reddeden seçenekler bu hükümlerle çelişir.</w:t>
      </w:r>
    </w:p>
    <w:p>
      <w:pPr>
        <w:pStyle w:val="BodyText"/>
      </w:pPr>
      <w:r>
        <w:rPr>
          <w:bCs/>
          <w:b/>
        </w:rPr>
        <w:t xml:space="preserve">Tuzak:</w:t>
      </w:r>
      <w:r>
        <w:t xml:space="preserve"> </w:t>
      </w:r>
      <w:r>
        <w:t xml:space="preserve">Kısmi muafiyetteki vergilendirmede beyanname tescil tarihinin esas alındığını bilen aday, süre başlangıcını da tescil tarihine bağlar.</w:t>
      </w:r>
    </w:p>
    <w:p>
      <w:pPr>
        <w:pStyle w:val="BodyText"/>
      </w:pPr>
      <w:r>
        <w:rPr>
          <w:bCs/>
          <w:b/>
        </w:rPr>
        <w:t xml:space="preserve">Dayanak:</w:t>
      </w:r>
      <w:r>
        <w:t xml:space="preserve"> </w:t>
      </w:r>
      <w:r>
        <w:t xml:space="preserve">Gümrük Yönetmeliği md. 379/3, 380/3 ve 380/5; 4458 sayılı Gümrük Kanunu md. 130/2</w:t>
      </w:r>
    </w:p>
    <w:bookmarkEnd w:id="58"/>
    <w:bookmarkStart w:id="59" w:name="soru-cevap-b-6"/>
    <w:p>
      <w:pPr>
        <w:pStyle w:val="Heading4"/>
      </w:pPr>
      <w:r>
        <w:t xml:space="preserve">38. soru — Cevap: B</w:t>
      </w:r>
    </w:p>
    <w:p>
      <w:pPr>
        <w:pStyle w:val="FirstParagraph"/>
      </w:pPr>
      <w:r>
        <w:rPr>
          <w:iCs/>
          <w:i/>
        </w:rPr>
        <w:t xml:space="preserve">GM · Dahilde işleme · K1</w:t>
      </w:r>
    </w:p>
    <w:p>
      <w:pPr>
        <w:pStyle w:val="BodyText"/>
      </w:pPr>
      <w:r>
        <w:rPr>
          <w:bCs/>
          <w:b/>
        </w:rPr>
        <w:t xml:space="preserve">Doğru şık:</w:t>
      </w:r>
      <w:r>
        <w:t xml:space="preserve"> </w:t>
      </w:r>
      <w:r>
        <w:t xml:space="preserve">B) Eşdeğer eşya</w:t>
      </w:r>
    </w:p>
    <w:p>
      <w:pPr>
        <w:pStyle w:val="BodyText"/>
      </w:pPr>
      <w:r>
        <w:t xml:space="preserve">Gümrük Yönetmeliğinin 349 uncu maddesi bu tanımı</w:t>
      </w:r>
      <w:r>
        <w:t xml:space="preserve"> </w:t>
      </w:r>
      <w:r>
        <w:t xml:space="preserve">“</w:t>
      </w:r>
      <w:r>
        <w:t xml:space="preserve">eşdeğer eşya</w:t>
      </w:r>
      <w:r>
        <w:t xml:space="preserve">”</w:t>
      </w:r>
      <w:r>
        <w:t xml:space="preserve"> </w:t>
      </w:r>
      <w:r>
        <w:t xml:space="preserve">için yapar; Kanunun 108 inci maddesi de eşdeğer eşyayı işlem görmüş ürünlerin imali için ithal eşyasının yerine kullanılan serbest dolaşımdaki eşya olarak tanımlar. İkame ürün hariçte işlemede geçici ihracat eşyasının yerine kullanılmak üzere getirilen yabancı menşeli eşyadır; değişmemiş eşya herhangi bir işleme tabi tutulmamış rejim eşyası, ikincil işlem görmüş ürün asıl ürün dışındaki ürünlerdir; benzer eşya ise gümrük kıymetine ilişkin bir kavramdır.</w:t>
      </w:r>
    </w:p>
    <w:p>
      <w:pPr>
        <w:pStyle w:val="BodyText"/>
      </w:pPr>
      <w:r>
        <w:rPr>
          <w:bCs/>
          <w:b/>
        </w:rPr>
        <w:t xml:space="preserve">Tuzak:</w:t>
      </w:r>
      <w:r>
        <w:t xml:space="preserve"> </w:t>
      </w:r>
      <w:r>
        <w:t xml:space="preserve">“</w:t>
      </w:r>
      <w:r>
        <w:t xml:space="preserve">Yerine kullanılan eşya</w:t>
      </w:r>
      <w:r>
        <w:t xml:space="preserve">”</w:t>
      </w:r>
      <w:r>
        <w:t xml:space="preserve"> </w:t>
      </w:r>
      <w:r>
        <w:t xml:space="preserve">ifadesinden standart değişim sistemini çağrıştıran aday ikame ürünü işaretler.</w:t>
      </w:r>
    </w:p>
    <w:p>
      <w:pPr>
        <w:pStyle w:val="BodyText"/>
      </w:pPr>
      <w:r>
        <w:rPr>
          <w:bCs/>
          <w:b/>
        </w:rPr>
        <w:t xml:space="preserve">Dayanak:</w:t>
      </w:r>
      <w:r>
        <w:t xml:space="preserve"> </w:t>
      </w:r>
      <w:r>
        <w:t xml:space="preserve">Gümrük Yönetmeliği md. 349/2-a, 395/2; 4458 sayılı Gümrük Kanunu md. 108/7</w:t>
      </w:r>
    </w:p>
    <w:bookmarkEnd w:id="59"/>
    <w:bookmarkStart w:id="60" w:name="soru-cevap-e-7"/>
    <w:p>
      <w:pPr>
        <w:pStyle w:val="Heading4"/>
      </w:pPr>
      <w:r>
        <w:t xml:space="preserve">39. soru — Cevap: E</w:t>
      </w:r>
    </w:p>
    <w:p>
      <w:pPr>
        <w:pStyle w:val="FirstParagraph"/>
      </w:pPr>
      <w:r>
        <w:rPr>
          <w:iCs/>
          <w:i/>
        </w:rPr>
        <w:t xml:space="preserve">GM · Hariçte işleme / GKAİR · Ö3</w:t>
      </w:r>
    </w:p>
    <w:p>
      <w:pPr>
        <w:pStyle w:val="BodyText"/>
      </w:pPr>
      <w:r>
        <w:rPr>
          <w:bCs/>
          <w:b/>
        </w:rPr>
        <w:t xml:space="preserve">Doğru şık:</w:t>
      </w:r>
      <w:r>
        <w:t xml:space="preserve"> </w:t>
      </w:r>
      <w:r>
        <w:t xml:space="preserve">E) I, II, III ve IV</w:t>
      </w:r>
    </w:p>
    <w:p>
      <w:pPr>
        <w:pStyle w:val="BodyText"/>
      </w:pPr>
      <w:r>
        <w:t xml:space="preserve">Kanunun 136 ncı maddesine göre hariçte işleme rejimi; ihracı ödenmiş ithalat vergilerinin geri verilmesine veya teminata bağlanmış vergilerin kaldırılmasına yol açan, nihai kullanım nedeniyle tam muafiyetle serbest dolaşıma girip koşulları taşımaya devam eden ve ihracı ihracat vergi iadesini gerektiren ya da tarım politikası çerçevesinde başka bir mali avantaj sağlayan eşyaya uygulanmaz. Nihai kullanım nedeniyle indirimli oranla serbest dolaşıma giren eşya bu listede değildir; Kanunun 141 inci maddesi bu eşya için indirilecek tutarın ilk girişteki gerçek vergiler olacağını düzenleyerek rejimin uygulanabileceğini kabul eder.</w:t>
      </w:r>
    </w:p>
    <w:p>
      <w:pPr>
        <w:pStyle w:val="BodyText"/>
      </w:pPr>
      <w:r>
        <w:rPr>
          <w:bCs/>
          <w:b/>
        </w:rPr>
        <w:t xml:space="preserve">Tuzak:</w:t>
      </w:r>
      <w:r>
        <w:t xml:space="preserve"> </w:t>
      </w:r>
      <w:r>
        <w:t xml:space="preserve">Tam muafiyet ile indirimli oranı aynı sonuca bağlayan aday beşinci öncülü de uygulanmayanlar arasına katar.</w:t>
      </w:r>
    </w:p>
    <w:p>
      <w:pPr>
        <w:pStyle w:val="BodyText"/>
      </w:pPr>
      <w:r>
        <w:rPr>
          <w:bCs/>
          <w:b/>
        </w:rPr>
        <w:t xml:space="preserve">Dayanak:</w:t>
      </w:r>
      <w:r>
        <w:t xml:space="preserve"> </w:t>
      </w:r>
      <w:r>
        <w:t xml:space="preserve">4458 sayılı Gümrük Kanunu md. 136, 141/2-b ve 141/3</w:t>
      </w:r>
    </w:p>
    <w:bookmarkEnd w:id="60"/>
    <w:bookmarkStart w:id="61" w:name="soru-cevap-a-11"/>
    <w:p>
      <w:pPr>
        <w:pStyle w:val="Heading4"/>
      </w:pPr>
      <w:r>
        <w:t xml:space="preserve">40. soru — Cevap: A</w:t>
      </w:r>
    </w:p>
    <w:p>
      <w:pPr>
        <w:pStyle w:val="FirstParagraph"/>
      </w:pPr>
      <w:r>
        <w:rPr>
          <w:iCs/>
          <w:i/>
        </w:rPr>
        <w:t xml:space="preserve">GM · Serbest dolaşım, nihai kullanım · O2</w:t>
      </w:r>
    </w:p>
    <w:p>
      <w:pPr>
        <w:pStyle w:val="BodyText"/>
      </w:pPr>
      <w:r>
        <w:rPr>
          <w:bCs/>
          <w:b/>
        </w:rPr>
        <w:t xml:space="preserve">Doğru şık:</w:t>
      </w:r>
      <w:r>
        <w:t xml:space="preserve"> </w:t>
      </w:r>
      <w:r>
        <w:t xml:space="preserve">A) Beyanname yerine ticari ve idari belge ile işlem yapılması durumunda, bir aylık işlemlere ilişkin tamamlayıcı beyanın izleyen ayın ilk on günü içinde verilmesi zorunludur.</w:t>
      </w:r>
    </w:p>
    <w:p>
      <w:pPr>
        <w:pStyle w:val="BodyText"/>
      </w:pPr>
      <w:r>
        <w:t xml:space="preserve">Tebliğin 18 inci maddesine göre beyanname yerine idari ve ticari belge üzerinden işlem yapılması durumunda bir ay içinde gerçekleştirilen işlemlere ilişkin tamamlayıcı beyanın izleyen ayın ilk üç günü içinde verilmesi zorunludur;</w:t>
      </w:r>
      <w:r>
        <w:t xml:space="preserve"> </w:t>
      </w:r>
      <w:r>
        <w:t xml:space="preserve">“</w:t>
      </w:r>
      <w:r>
        <w:t xml:space="preserve">ilk on günü</w:t>
      </w:r>
      <w:r>
        <w:t xml:space="preserve">”</w:t>
      </w:r>
      <w:r>
        <w:t xml:space="preserve"> </w:t>
      </w:r>
      <w:r>
        <w:t xml:space="preserve">ifadesi yanlıştır. Dökme eşya için izin yetkisinin gümrük müdürlüklerinde olması 3 üncü maddenin, eksik belgelerin bir ay içinde tamamlanması 16 ncı maddenin, kamu kuruluşlarından garanti mektubu alınması 15 inci maddenin, yılda üç kez süre aşımında üç ay yararlandırmama ise 19 uncu maddenin hükmüdür.</w:t>
      </w:r>
    </w:p>
    <w:p>
      <w:pPr>
        <w:pStyle w:val="BodyText"/>
      </w:pPr>
      <w:r>
        <w:rPr>
          <w:bCs/>
          <w:b/>
        </w:rPr>
        <w:t xml:space="preserve">Tuzak:</w:t>
      </w:r>
      <w:r>
        <w:t xml:space="preserve"> </w:t>
      </w:r>
      <w:r>
        <w:t xml:space="preserve">Eksik belgelerin tamamlanması için tanınan bir aylık süreyi hatırlayan ve tamamlayıcı beyan süresinin de daha uzun olacağını varsayan aday</w:t>
      </w:r>
      <w:r>
        <w:t xml:space="preserve"> </w:t>
      </w:r>
      <w:r>
        <w:t xml:space="preserve">“</w:t>
      </w:r>
      <w:r>
        <w:t xml:space="preserve">ilk on günü</w:t>
      </w:r>
      <w:r>
        <w:t xml:space="preserve">”</w:t>
      </w:r>
      <w:r>
        <w:t xml:space="preserve"> </w:t>
      </w:r>
      <w:r>
        <w:t xml:space="preserve">ifadesini doğru kabul eder.</w:t>
      </w:r>
    </w:p>
    <w:p>
      <w:pPr>
        <w:pStyle w:val="BodyText"/>
      </w:pPr>
      <w:r>
        <w:rPr>
          <w:bCs/>
          <w:b/>
        </w:rPr>
        <w:t xml:space="preserve">Dayanak:</w:t>
      </w:r>
      <w:r>
        <w:t xml:space="preserve"> </w:t>
      </w:r>
      <w:r>
        <w:t xml:space="preserve">Gümrük Genel Tebliği (Gümrük İşlemleri) Seri No: 16 md. 3, 15, 16, 18, 19</w:t>
      </w:r>
    </w:p>
    <w:bookmarkEnd w:id="61"/>
    <w:bookmarkStart w:id="62" w:name="soru-cevap-e-8"/>
    <w:p>
      <w:pPr>
        <w:pStyle w:val="Heading4"/>
      </w:pPr>
      <w:r>
        <w:t xml:space="preserve">41. soru — Cevap: E</w:t>
      </w:r>
    </w:p>
    <w:p>
      <w:pPr>
        <w:pStyle w:val="FirstParagraph"/>
      </w:pPr>
      <w:r>
        <w:rPr>
          <w:iCs/>
          <w:i/>
        </w:rPr>
        <w:t xml:space="preserve">GM · İhracat (gümrük) · O1</w:t>
      </w:r>
    </w:p>
    <w:p>
      <w:pPr>
        <w:pStyle w:val="BodyText"/>
      </w:pPr>
      <w:r>
        <w:rPr>
          <w:bCs/>
          <w:b/>
        </w:rPr>
        <w:t xml:space="preserve">Doğru şık:</w:t>
      </w:r>
      <w:r>
        <w:t xml:space="preserve"> </w:t>
      </w:r>
      <w:r>
        <w:t xml:space="preserve">E) TIR karnesi</w:t>
      </w:r>
    </w:p>
    <w:p>
      <w:pPr>
        <w:pStyle w:val="BodyText"/>
      </w:pPr>
      <w:r>
        <w:t xml:space="preserve">Gümrük Yönetmeliğinin 415 inci maddesinin ikinci fıkrasına göre sözlü beyan formu, özel fatura, kumanya listesi, ATA ve CPD karneleri ile Form 302 belgesi ile ihracına izin verilen eşyanın gümrük işlemleri bu belgeler ile yürütülür. TIR karnesi bu sayımda yer almaz; o, eşyanın uluslararası transit taşımasında kullanılan bir belgedir.</w:t>
      </w:r>
    </w:p>
    <w:p>
      <w:pPr>
        <w:pStyle w:val="BodyText"/>
      </w:pPr>
      <w:r>
        <w:rPr>
          <w:bCs/>
          <w:b/>
        </w:rPr>
        <w:t xml:space="preserve">Tuzak:</w:t>
      </w:r>
      <w:r>
        <w:t xml:space="preserve"> </w:t>
      </w:r>
      <w:r>
        <w:t xml:space="preserve">TIR karnesini ATA ve CPD karneleriyle aynı aileden sayan aday onu da beyanname yerine geçen ihracat belgelerinden sanır.</w:t>
      </w:r>
    </w:p>
    <w:p>
      <w:pPr>
        <w:pStyle w:val="BodyText"/>
      </w:pPr>
      <w:r>
        <w:rPr>
          <w:bCs/>
          <w:b/>
        </w:rPr>
        <w:t xml:space="preserve">Dayanak:</w:t>
      </w:r>
      <w:r>
        <w:t xml:space="preserve"> </w:t>
      </w:r>
      <w:r>
        <w:t xml:space="preserve">Gümrük Yönetmeliği md. 415/2</w:t>
      </w:r>
    </w:p>
    <w:bookmarkEnd w:id="62"/>
    <w:bookmarkStart w:id="63" w:name="soru-cevap-d-7"/>
    <w:p>
      <w:pPr>
        <w:pStyle w:val="Heading4"/>
      </w:pPr>
      <w:r>
        <w:t xml:space="preserve">42. soru — Cevap: D</w:t>
      </w:r>
    </w:p>
    <w:p>
      <w:pPr>
        <w:pStyle w:val="FirstParagraph"/>
      </w:pPr>
      <w:r>
        <w:rPr>
          <w:iCs/>
          <w:i/>
        </w:rPr>
        <w:t xml:space="preserve">GM · Geri gelen eşya · O2</w:t>
      </w:r>
    </w:p>
    <w:p>
      <w:pPr>
        <w:pStyle w:val="BodyText"/>
      </w:pPr>
      <w:r>
        <w:rPr>
          <w:bCs/>
          <w:b/>
        </w:rPr>
        <w:t xml:space="preserve">Doğru şık:</w:t>
      </w:r>
      <w:r>
        <w:t xml:space="preserve"> </w:t>
      </w:r>
      <w:r>
        <w:t xml:space="preserve">D) Serbest dolaşıma ilk girişi sırasında alınmış tutarın, yeniden serbest dolaşıma giriş sırasında alınacak tutardan fazla olması halinde aradaki fark beyan sahibine iade edilir.</w:t>
      </w:r>
    </w:p>
    <w:p>
      <w:pPr>
        <w:pStyle w:val="BodyText"/>
      </w:pPr>
      <w:r>
        <w:t xml:space="preserve">Kanunun 168 inci maddesinin birinci fıkrasına göre ithal amacı farklı olduğunda vergiler ilk girişte alınan tutar kadar indirilir; ancak ilk girişte alınan tutarın yeniden girişte alınacak tutardan fazla olması halinde hiçbir iade yapılmaz. Bu nedenle farkın iade edileceğini söyleyen ifade yanlıştır. Aynı amaçla yeniden girişte indirimli veya sıfır oranın uygulanması 168 inci maddenin, ayniyet şartı ve istisnasının Cumhurbaşkanınca belirlenmesi 169 uncu maddenin, dahilde işleme sonrası geri gelen ürünlerde yeniden ihraç tarihinin serbest dolaşıma giriş tarihi sayılması 170 inci maddenin hükmüdür.</w:t>
      </w:r>
    </w:p>
    <w:p>
      <w:pPr>
        <w:pStyle w:val="BodyText"/>
      </w:pPr>
      <w:r>
        <w:rPr>
          <w:bCs/>
          <w:b/>
        </w:rPr>
        <w:t xml:space="preserve">Tuzak:</w:t>
      </w:r>
      <w:r>
        <w:t xml:space="preserve"> </w:t>
      </w:r>
      <w:r>
        <w:t xml:space="preserve">Mahsup mantığını vergi iadesine kadar götüren aday, fazla ödenen tutarın iade edileceğini varsayar.</w:t>
      </w:r>
    </w:p>
    <w:p>
      <w:pPr>
        <w:pStyle w:val="BodyText"/>
      </w:pPr>
      <w:r>
        <w:rPr>
          <w:bCs/>
          <w:b/>
        </w:rPr>
        <w:t xml:space="preserve">Dayanak:</w:t>
      </w:r>
      <w:r>
        <w:t xml:space="preserve"> </w:t>
      </w:r>
      <w:r>
        <w:t xml:space="preserve">4458 sayılı Gümrük Kanunu md. 168/1, 169, 170</w:t>
      </w:r>
    </w:p>
    <w:bookmarkEnd w:id="63"/>
    <w:bookmarkStart w:id="64" w:name="soru-cevap-b-7"/>
    <w:p>
      <w:pPr>
        <w:pStyle w:val="Heading4"/>
      </w:pPr>
      <w:r>
        <w:t xml:space="preserve">43. soru — Cevap: B</w:t>
      </w:r>
    </w:p>
    <w:p>
      <w:pPr>
        <w:pStyle w:val="FirstParagraph"/>
      </w:pPr>
      <w:r>
        <w:rPr>
          <w:iCs/>
          <w:i/>
        </w:rPr>
        <w:t xml:space="preserve">GM · Geri gelen eşya · V2</w:t>
      </w:r>
    </w:p>
    <w:p>
      <w:pPr>
        <w:pStyle w:val="BodyText"/>
      </w:pPr>
      <w:r>
        <w:rPr>
          <w:bCs/>
          <w:b/>
        </w:rPr>
        <w:t xml:space="preserve">Doğru şık:</w:t>
      </w:r>
      <w:r>
        <w:t xml:space="preserve"> </w:t>
      </w:r>
      <w:r>
        <w:t xml:space="preserve">B) (K) firmasının eşyası için süre 03.02.2026 tarihinden başlar.</w:t>
      </w:r>
    </w:p>
    <w:p>
      <w:pPr>
        <w:pStyle w:val="BodyText"/>
      </w:pPr>
      <w:r>
        <w:t xml:space="preserve">Yönetmeliğin 452 nci maddesine göre geri getirilme süresinin başlangıcı eşyanın fiilen ihraç edildiği tarihtir ve partiler halinde çıkışta her parti için süre ayrı ayrı başlar. 416 ncı maddeye göre deniz yoluyla çıkışta fiili ihraç tarihi eşyanın yüklendiği taşıtın hareket ettiği tarih olduğundan (K) firması için süre yükleme tarihi olan 03.02.2026’dan değil 05.02.2026’dan başlar. Kara ve demir yoluyla çıkışta eşyanın kara sınırından fiilen çıktığı veya serbest bölgeye fiilen girdiği tarih esas alınır; (L) için beyanname tescil tarihi sürenin başlangıcı değildir.</w:t>
      </w:r>
    </w:p>
    <w:p>
      <w:pPr>
        <w:pStyle w:val="BodyText"/>
      </w:pPr>
      <w:r>
        <w:rPr>
          <w:bCs/>
          <w:b/>
        </w:rPr>
        <w:t xml:space="preserve">Tuzak:</w:t>
      </w:r>
      <w:r>
        <w:t xml:space="preserve"> </w:t>
      </w:r>
      <w:r>
        <w:t xml:space="preserve">Deniz yolunda yükleme anını eşyanın Türkiye’yi terk ettiği an sanan aday (K) firmasına ilişkin ifadeyi doğru kabul eder.</w:t>
      </w:r>
    </w:p>
    <w:p>
      <w:pPr>
        <w:pStyle w:val="BodyText"/>
      </w:pPr>
      <w:r>
        <w:rPr>
          <w:bCs/>
          <w:b/>
        </w:rPr>
        <w:t xml:space="preserve">Dayanak:</w:t>
      </w:r>
      <w:r>
        <w:t xml:space="preserve"> </w:t>
      </w:r>
      <w:r>
        <w:t xml:space="preserve">Gümrük Yönetmeliği md. 416, 452/1; 4458 sayılı Gümrük Kanunu md. 168/1</w:t>
      </w:r>
    </w:p>
    <w:bookmarkEnd w:id="64"/>
    <w:bookmarkStart w:id="65" w:name="soru-cevap-e-9"/>
    <w:p>
      <w:pPr>
        <w:pStyle w:val="Heading4"/>
      </w:pPr>
      <w:r>
        <w:t xml:space="preserve">44. soru — Cevap: E</w:t>
      </w:r>
    </w:p>
    <w:p>
      <w:pPr>
        <w:pStyle w:val="FirstParagraph"/>
      </w:pPr>
      <w:r>
        <w:rPr>
          <w:iCs/>
          <w:i/>
        </w:rPr>
        <w:t xml:space="preserve">SAİR · Tercihli ticaret, menşe belgeleri · Ö3</w:t>
      </w:r>
    </w:p>
    <w:p>
      <w:pPr>
        <w:pStyle w:val="BodyText"/>
      </w:pPr>
      <w:r>
        <w:rPr>
          <w:bCs/>
          <w:b/>
        </w:rPr>
        <w:t xml:space="preserve">Doğru şık:</w:t>
      </w:r>
      <w:r>
        <w:t xml:space="preserve"> </w:t>
      </w:r>
      <w:r>
        <w:t xml:space="preserve">E) I, II, III ve IV</w:t>
      </w:r>
    </w:p>
    <w:p>
      <w:pPr>
        <w:pStyle w:val="BodyText"/>
      </w:pPr>
      <w:r>
        <w:t xml:space="preserve">Karar’ın 6 ncı maddesi tamamen elde edilmiş ürünler arasında Faydalanan Ülkede doğmuş ve yetiştirilmiş canlı hayvanları, orada toplanmış ve yalnızca hammaddelerin geri kazanılmasına elverişli kullanılmış maddeleri, orada yapılan imalat işlemleri sonucu ortaya çıkan atık ve hurdaları ve karasuları dışında kendi gemileri tarafından denizden elde edilen balıkçılık ürünlerini saymaktadır. İmalatta kullanılan girdilerin menşei atık ve hurdanın tamamen elde edilmiş sayılmasına engel değildir; karasuları dışında elde edilen ürünler de</w:t>
      </w:r>
      <w:r>
        <w:t xml:space="preserve"> </w:t>
      </w:r>
      <w:r>
        <w:t xml:space="preserve">‘</w:t>
      </w:r>
      <w:r>
        <w:t xml:space="preserve">kendi gemileri</w:t>
      </w:r>
      <w:r>
        <w:t xml:space="preserve">’</w:t>
      </w:r>
      <w:r>
        <w:t xml:space="preserve"> </w:t>
      </w:r>
      <w:r>
        <w:t xml:space="preserve">koşulunun sağlanması halinde tamamen elde edilmiş sayılır.</w:t>
      </w:r>
    </w:p>
    <w:p>
      <w:pPr>
        <w:pStyle w:val="BodyText"/>
      </w:pPr>
      <w:r>
        <w:rPr>
          <w:bCs/>
          <w:b/>
        </w:rPr>
        <w:t xml:space="preserve">Tuzak:</w:t>
      </w:r>
      <w:r>
        <w:t xml:space="preserve"> </w:t>
      </w:r>
      <w:r>
        <w:t xml:space="preserve">Atık ve hurdanın ithal girdiden kaynaklanabileceğini, balığın karasuları dışında avlandığını düşünerek III ve IV’ü eleyen aday</w:t>
      </w:r>
      <w:r>
        <w:t xml:space="preserve"> </w:t>
      </w:r>
      <w:r>
        <w:t xml:space="preserve">‘</w:t>
      </w:r>
      <w:r>
        <w:t xml:space="preserve">hepsi olamaz</w:t>
      </w:r>
      <w:r>
        <w:t xml:space="preserve">’</w:t>
      </w:r>
      <w:r>
        <w:t xml:space="preserve"> </w:t>
      </w:r>
      <w:r>
        <w:t xml:space="preserve">önyargısıyla dar kümelere kayar.</w:t>
      </w:r>
    </w:p>
    <w:p>
      <w:pPr>
        <w:pStyle w:val="BodyText"/>
      </w:pPr>
      <w:r>
        <w:rPr>
          <w:bCs/>
          <w:b/>
        </w:rPr>
        <w:t xml:space="preserve">Dayanak:</w:t>
      </w:r>
      <w:r>
        <w:t xml:space="preserve"> </w:t>
      </w:r>
      <w:r>
        <w:t xml:space="preserve">2014/7064 sayılı Karar md. 6/1 (c), (g), (h), (ı) ve 6/2</w:t>
      </w:r>
    </w:p>
    <w:bookmarkEnd w:id="65"/>
    <w:bookmarkStart w:id="66" w:name="soru-cevap-e-10"/>
    <w:p>
      <w:pPr>
        <w:pStyle w:val="Heading4"/>
      </w:pPr>
      <w:r>
        <w:t xml:space="preserve">45. soru — Cevap: E</w:t>
      </w:r>
    </w:p>
    <w:p>
      <w:pPr>
        <w:pStyle w:val="FirstParagraph"/>
      </w:pPr>
      <w:r>
        <w:rPr>
          <w:iCs/>
          <w:i/>
        </w:rPr>
        <w:t xml:space="preserve">SAİR · Tercihli ticaret, menşe belgeleri · O1</w:t>
      </w:r>
    </w:p>
    <w:p>
      <w:pPr>
        <w:pStyle w:val="BodyText"/>
      </w:pPr>
      <w:r>
        <w:rPr>
          <w:bCs/>
          <w:b/>
        </w:rPr>
        <w:t xml:space="preserve">Doğru şık:</w:t>
      </w:r>
      <w:r>
        <w:t xml:space="preserve"> </w:t>
      </w:r>
      <w:r>
        <w:t xml:space="preserve">E) 5 sayılı Genel Kural uyarınca sınıflandırmada ürüne dahil edilen ambalaj</w:t>
      </w:r>
    </w:p>
    <w:p>
      <w:pPr>
        <w:pStyle w:val="BodyText"/>
      </w:pPr>
      <w:r>
        <w:t xml:space="preserve">Karar’ın 13 üncü maddesine göre enerji ve yakıt, tesis ve teçhizat, makine ve aletler ile ürünün nihai bileşimine girmeyen ve girmesi amaçlanmayan eşyanın menşeinin belirlenmesi gerekmez. Buna karşılık 10 uncu maddeye göre Armonize Sistemin 5 sayılı Genel Kuralı çerçevesinde sınıflandırma açısından ürüne dahil edilen ambalaj, menşe tespiti açısından da ürüne dahil edilir; bu nedenle etkisiz unsur sayılmaz.</w:t>
      </w:r>
    </w:p>
    <w:p>
      <w:pPr>
        <w:pStyle w:val="BodyText"/>
      </w:pPr>
      <w:r>
        <w:rPr>
          <w:bCs/>
          <w:b/>
        </w:rPr>
        <w:t xml:space="preserve">Tuzak:</w:t>
      </w:r>
      <w:r>
        <w:t xml:space="preserve"> </w:t>
      </w:r>
      <w:r>
        <w:t xml:space="preserve">Ambalajı ürünün özüne girmeyen yardımcı bir unsur olarak gören aday onu enerji ve makine gibi etkisiz unsurlar arasında sayar.</w:t>
      </w:r>
    </w:p>
    <w:p>
      <w:pPr>
        <w:pStyle w:val="BodyText"/>
      </w:pPr>
      <w:r>
        <w:rPr>
          <w:bCs/>
          <w:b/>
        </w:rPr>
        <w:t xml:space="preserve">Dayanak:</w:t>
      </w:r>
      <w:r>
        <w:t xml:space="preserve"> </w:t>
      </w:r>
      <w:r>
        <w:t xml:space="preserve">2014/7064 sayılı Karar md. 10/3, 13</w:t>
      </w:r>
    </w:p>
    <w:bookmarkEnd w:id="66"/>
    <w:bookmarkStart w:id="67" w:name="soru-cevap-b-8"/>
    <w:p>
      <w:pPr>
        <w:pStyle w:val="Heading4"/>
      </w:pPr>
      <w:r>
        <w:t xml:space="preserve">46. soru — Cevap: B</w:t>
      </w:r>
    </w:p>
    <w:p>
      <w:pPr>
        <w:pStyle w:val="FirstParagraph"/>
      </w:pPr>
      <w:r>
        <w:rPr>
          <w:iCs/>
          <w:i/>
        </w:rPr>
        <w:t xml:space="preserve">SAİR · Tercihli ticaret, menşe belgeleri · E3</w:t>
      </w:r>
    </w:p>
    <w:p>
      <w:pPr>
        <w:pStyle w:val="BodyText"/>
      </w:pPr>
      <w:r>
        <w:rPr>
          <w:bCs/>
          <w:b/>
        </w:rPr>
        <w:t xml:space="preserve">Doğru şık:</w:t>
      </w:r>
      <w:r>
        <w:t xml:space="preserve"> </w:t>
      </w:r>
      <w:r>
        <w:t xml:space="preserve">B) İkinci nüshadır – Sonradan verilmiştir – Basitleştirilmiş işlem</w:t>
      </w:r>
    </w:p>
    <w:p>
      <w:pPr>
        <w:pStyle w:val="BodyText"/>
      </w:pPr>
      <w:r>
        <w:t xml:space="preserve">Karar’ın 17 nci maddesine göre çalınma, kayıp veya hasar halinde düzenlenen ikinci nüsha belgenin (8) numaralı kutusuna</w:t>
      </w:r>
      <w:r>
        <w:t xml:space="preserve"> </w:t>
      </w:r>
      <w:r>
        <w:t xml:space="preserve">‘</w:t>
      </w:r>
      <w:r>
        <w:t xml:space="preserve">DUPLICADO</w:t>
      </w:r>
      <w:r>
        <w:t xml:space="preserve">’</w:t>
      </w:r>
      <w:r>
        <w:t xml:space="preserve"> </w:t>
      </w:r>
      <w:r>
        <w:t xml:space="preserve">veya</w:t>
      </w:r>
      <w:r>
        <w:t xml:space="preserve"> </w:t>
      </w:r>
      <w:r>
        <w:t xml:space="preserve">‘</w:t>
      </w:r>
      <w:r>
        <w:t xml:space="preserve">İKİNCİ NÜSHADIR</w:t>
      </w:r>
      <w:r>
        <w:t xml:space="preserve">’</w:t>
      </w:r>
      <w:r>
        <w:t xml:space="preserve"> </w:t>
      </w:r>
      <w:r>
        <w:t xml:space="preserve">ibaresi; 16 ncı maddeye göre ihracattan sonra düzenlenen belgeye</w:t>
      </w:r>
      <w:r>
        <w:t xml:space="preserve"> </w:t>
      </w:r>
      <w:r>
        <w:t xml:space="preserve">‘</w:t>
      </w:r>
      <w:r>
        <w:t xml:space="preserve">ISSUED RETROSPECTIVELY</w:t>
      </w:r>
      <w:r>
        <w:t xml:space="preserve">’</w:t>
      </w:r>
      <w:r>
        <w:t xml:space="preserve"> </w:t>
      </w:r>
      <w:r>
        <w:t xml:space="preserve">veya</w:t>
      </w:r>
      <w:r>
        <w:t xml:space="preserve"> </w:t>
      </w:r>
      <w:r>
        <w:t xml:space="preserve">‘</w:t>
      </w:r>
      <w:r>
        <w:t xml:space="preserve">SONRADAN VERİLMİŞTİR</w:t>
      </w:r>
      <w:r>
        <w:t xml:space="preserve">’</w:t>
      </w:r>
      <w:r>
        <w:t xml:space="preserve"> </w:t>
      </w:r>
      <w:r>
        <w:t xml:space="preserve">ibaresi; 22 nci maddeye göre gümrük vizesi önceden onaylanarak onaylanmış ihracatçıya verilen belgeye</w:t>
      </w:r>
      <w:r>
        <w:t xml:space="preserve"> </w:t>
      </w:r>
      <w:r>
        <w:t xml:space="preserve">‘</w:t>
      </w:r>
      <w:r>
        <w:t xml:space="preserve">Simplified procedure</w:t>
      </w:r>
      <w:r>
        <w:t xml:space="preserve">’</w:t>
      </w:r>
      <w:r>
        <w:t xml:space="preserve"> </w:t>
      </w:r>
      <w:r>
        <w:t xml:space="preserve">veya</w:t>
      </w:r>
      <w:r>
        <w:t xml:space="preserve"> </w:t>
      </w:r>
      <w:r>
        <w:t xml:space="preserve">‘</w:t>
      </w:r>
      <w:r>
        <w:t xml:space="preserve">Basitleştirilmiş işlem</w:t>
      </w:r>
      <w:r>
        <w:t xml:space="preserve">’</w:t>
      </w:r>
      <w:r>
        <w:t xml:space="preserve"> </w:t>
      </w:r>
      <w:r>
        <w:t xml:space="preserve">ibaresi yazılır.</w:t>
      </w:r>
      <w:r>
        <w:t xml:space="preserve"> </w:t>
      </w:r>
      <w:r>
        <w:t xml:space="preserve">‘</w:t>
      </w:r>
      <w:r>
        <w:t xml:space="preserve">Müfrez belgedir</w:t>
      </w:r>
      <w:r>
        <w:t xml:space="preserve">’</w:t>
      </w:r>
      <w:r>
        <w:t xml:space="preserve"> </w:t>
      </w:r>
      <w:r>
        <w:t xml:space="preserve">ibaresi ise GTS kapsamında düzenlenen müfrez Form A Menşe Belgelerine özgüdür.</w:t>
      </w:r>
    </w:p>
    <w:p>
      <w:pPr>
        <w:pStyle w:val="BodyText"/>
      </w:pPr>
      <w:r>
        <w:rPr>
          <w:bCs/>
          <w:b/>
        </w:rPr>
        <w:t xml:space="preserve">Tuzak:</w:t>
      </w:r>
      <w:r>
        <w:t xml:space="preserve"> </w:t>
      </w:r>
      <w:r>
        <w:t xml:space="preserve">Kaybolan belgenin yerine yenisi de ihracattan sonra düzenlendiği için I. durumu</w:t>
      </w:r>
      <w:r>
        <w:t xml:space="preserve"> </w:t>
      </w:r>
      <w:r>
        <w:t xml:space="preserve">‘</w:t>
      </w:r>
      <w:r>
        <w:t xml:space="preserve">sonradan verilmiştir</w:t>
      </w:r>
      <w:r>
        <w:t xml:space="preserve">’</w:t>
      </w:r>
      <w:r>
        <w:t xml:space="preserve"> </w:t>
      </w:r>
      <w:r>
        <w:t xml:space="preserve">ibaresiyle karıştıran aday ilk iki ibarenin yerini değiştirir.</w:t>
      </w:r>
    </w:p>
    <w:p>
      <w:pPr>
        <w:pStyle w:val="BodyText"/>
      </w:pPr>
      <w:r>
        <w:rPr>
          <w:bCs/>
          <w:b/>
        </w:rPr>
        <w:t xml:space="preserve">Dayanak:</w:t>
      </w:r>
      <w:r>
        <w:t xml:space="preserve"> </w:t>
      </w:r>
      <w:r>
        <w:t xml:space="preserve">2006/10895 sayılı Karar md. 16, 17, 20, 22; 2014/7064 sayılı Karar md. 28</w:t>
      </w:r>
    </w:p>
    <w:bookmarkEnd w:id="67"/>
    <w:bookmarkStart w:id="68" w:name="soru-cevap-c-6"/>
    <w:p>
      <w:pPr>
        <w:pStyle w:val="Heading4"/>
      </w:pPr>
      <w:r>
        <w:t xml:space="preserve">47. soru — Cevap: C</w:t>
      </w:r>
    </w:p>
    <w:p>
      <w:pPr>
        <w:pStyle w:val="FirstParagraph"/>
      </w:pPr>
      <w:r>
        <w:rPr>
          <w:iCs/>
          <w:i/>
        </w:rPr>
        <w:t xml:space="preserve">SAİR · Incoterms, ödeme şekilleri · O1</w:t>
      </w:r>
    </w:p>
    <w:p>
      <w:pPr>
        <w:pStyle w:val="BodyText"/>
      </w:pPr>
      <w:r>
        <w:rPr>
          <w:bCs/>
          <w:b/>
        </w:rPr>
        <w:t xml:space="preserve">Doğru şık:</w:t>
      </w:r>
      <w:r>
        <w:t xml:space="preserve"> </w:t>
      </w:r>
      <w:r>
        <w:t xml:space="preserve">C) DAT (Terminalde Teslim)</w:t>
      </w:r>
    </w:p>
    <w:p>
      <w:pPr>
        <w:pStyle w:val="BodyText"/>
      </w:pPr>
      <w:r>
        <w:t xml:space="preserve">INCOTERMS 2020’de 11 teslim şekli yer alır: tüm taşıma türlerinde kullanılan EXW, FCA, CPT, CIP, DAP, DPU ve DDP ile yalnız deniz ve iç su yolu taşımalarında kullanılan FAS, FOB, CFR ve CIF. Incoterms 2010’da yer alan DAT (Terminalde Teslim), teslim yerinin yalnız terminal değil herhangi bir yer olabileceğini vurgulamak amacıyla Incoterms 2020’de DPU olarak yeniden adlandırılmıştır.</w:t>
      </w:r>
    </w:p>
    <w:p>
      <w:pPr>
        <w:pStyle w:val="BodyText"/>
      </w:pPr>
      <w:r>
        <w:rPr>
          <w:bCs/>
          <w:b/>
        </w:rPr>
        <w:t xml:space="preserve">Tuzak:</w:t>
      </w:r>
      <w:r>
        <w:t xml:space="preserve"> </w:t>
      </w:r>
      <w:r>
        <w:t xml:space="preserve">Incoterms 2010 bilgisiyle hareket eden aday DAT’ı hâlâ yürürlükte sanıp yeni kısaltma olan DPU’yu eler.</w:t>
      </w:r>
    </w:p>
    <w:p>
      <w:pPr>
        <w:pStyle w:val="BodyText"/>
      </w:pPr>
      <w:r>
        <w:rPr>
          <w:bCs/>
          <w:b/>
        </w:rPr>
        <w:t xml:space="preserve">Dayanak:</w:t>
      </w:r>
      <w:r>
        <w:t xml:space="preserve"> </w:t>
      </w:r>
      <w:r>
        <w:t xml:space="preserve">INCOTERMS 2020 (ICC) – kural listesi</w:t>
      </w:r>
    </w:p>
    <w:bookmarkEnd w:id="68"/>
    <w:bookmarkStart w:id="69" w:name="soru-cevap-a-12"/>
    <w:p>
      <w:pPr>
        <w:pStyle w:val="Heading4"/>
      </w:pPr>
      <w:r>
        <w:t xml:space="preserve">48. soru — Cevap: A</w:t>
      </w:r>
    </w:p>
    <w:p>
      <w:pPr>
        <w:pStyle w:val="FirstParagraph"/>
      </w:pPr>
      <w:r>
        <w:rPr>
          <w:iCs/>
          <w:i/>
        </w:rPr>
        <w:t xml:space="preserve">SAİR · Incoterms, ödeme şekilleri · E1</w:t>
      </w:r>
    </w:p>
    <w:p>
      <w:pPr>
        <w:pStyle w:val="BodyText"/>
      </w:pPr>
      <w:r>
        <w:rPr>
          <w:bCs/>
          <w:b/>
        </w:rPr>
        <w:t xml:space="preserve">Doğru şık:</w:t>
      </w:r>
      <w:r>
        <w:t xml:space="preserve"> </w:t>
      </w:r>
      <w:r>
        <w:t xml:space="preserve">A) Kırmızı şartlı akreditif – Malların depolanması ve depo makbuzunun ibrazı karşılığında lehtara ödeme yapılmasına yetki veren akreditiftir.</w:t>
      </w:r>
    </w:p>
    <w:p>
      <w:pPr>
        <w:pStyle w:val="BodyText"/>
      </w:pPr>
      <w:r>
        <w:t xml:space="preserve">Kırmızı şartlı akreditif, satıcının malları hazırlaması için ön finansman ihtiyacı olduğu durumlarda akreditif tutarının bir kısmının sevkiyattan önce avans olarak lehtara ödenmesine imkân verir. Malların depolanması ve depo makbuzunun ibrazı karşılığında ödeme yapılmasına yetki veren akreditif yeşil şartlı akreditiftir. Peşin ödemenin ihracatçı için en avantajlı, mal mukabili ödemenin ihracatçı için en riskli olduğu; kabul kredili ödemede poliçenin araç olduğu ve rotatif akreditifin kendiliğinden yenilendiği ifadeleri doğrudur.</w:t>
      </w:r>
    </w:p>
    <w:p>
      <w:pPr>
        <w:pStyle w:val="BodyText"/>
      </w:pPr>
      <w:r>
        <w:rPr>
          <w:bCs/>
          <w:b/>
        </w:rPr>
        <w:t xml:space="preserve">Tuzak:</w:t>
      </w:r>
      <w:r>
        <w:t xml:space="preserve"> </w:t>
      </w:r>
      <w:r>
        <w:t xml:space="preserve">Peşin ödemeye imkân veren iki akreditif türünü (kırmızı şartlı ve yeşil şartlı) birbirinden ayırt edemeyen aday bu eşleşmeyi doğru sanır.</w:t>
      </w:r>
    </w:p>
    <w:p>
      <w:pPr>
        <w:pStyle w:val="BodyText"/>
      </w:pPr>
      <w:r>
        <w:rPr>
          <w:bCs/>
          <w:b/>
        </w:rPr>
        <w:t xml:space="preserve">Dayanak:</w:t>
      </w:r>
      <w:r>
        <w:t xml:space="preserve"> </w:t>
      </w:r>
      <w:r>
        <w:t xml:space="preserve">Ödeme şekilleri – peşin, mal mukabili, kabul kredili ödeme ve akreditif çeşitleri</w:t>
      </w:r>
    </w:p>
    <w:bookmarkEnd w:id="69"/>
    <w:bookmarkStart w:id="70" w:name="soru-cevap-d-8"/>
    <w:p>
      <w:pPr>
        <w:pStyle w:val="Heading4"/>
      </w:pPr>
      <w:r>
        <w:t xml:space="preserve">49. soru — Cevap: D</w:t>
      </w:r>
    </w:p>
    <w:p>
      <w:pPr>
        <w:pStyle w:val="FirstParagraph"/>
      </w:pPr>
      <w:r>
        <w:rPr>
          <w:iCs/>
          <w:i/>
        </w:rPr>
        <w:t xml:space="preserve">SAİR · DTÖ, TFA, DGÖ · D2</w:t>
      </w:r>
    </w:p>
    <w:p>
      <w:pPr>
        <w:pStyle w:val="BodyText"/>
      </w:pPr>
      <w:r>
        <w:rPr>
          <w:bCs/>
          <w:b/>
        </w:rPr>
        <w:t xml:space="preserve">Doğru şık:</w:t>
      </w:r>
      <w:r>
        <w:t xml:space="preserve"> </w:t>
      </w:r>
      <w:r>
        <w:t xml:space="preserve">D) Dünya Gümrük Örgütü</w:t>
      </w:r>
    </w:p>
    <w:p>
      <w:pPr>
        <w:pStyle w:val="BodyText"/>
      </w:pPr>
      <w:r>
        <w:t xml:space="preserve">Anlaşmanın 18 inci maddesine göre DTÖ üyelerinin temsilcilerinden oluşan Gümrük Kıymeti Komitesi DTÖ bünyesinde yer alırken, Gümrük Kıymeti Teknik Komitesi Gümrük İşbirliği Konseyi’nin (Dünya Gümrük Örgütü) himayesinde kurulmuştur. Teknik Komite, kıymet uygulamasında tekdüzeliği sağlamak amacıyla tavsiye görüşleri, açıklamalar ve vaka çalışmaları hazırlar.</w:t>
      </w:r>
    </w:p>
    <w:p>
      <w:pPr>
        <w:pStyle w:val="BodyText"/>
      </w:pPr>
      <w:r>
        <w:rPr>
          <w:bCs/>
          <w:b/>
        </w:rPr>
        <w:t xml:space="preserve">Tuzak:</w:t>
      </w:r>
      <w:r>
        <w:t xml:space="preserve"> </w:t>
      </w:r>
      <w:r>
        <w:t xml:space="preserve">Anlaşmanın bir DTÖ anlaşması olmasından hareketle her iki komitenin de DTÖ bünyesinde olduğunu düşünen aday DTÖ’yü işaretler.</w:t>
      </w:r>
    </w:p>
    <w:p>
      <w:pPr>
        <w:pStyle w:val="BodyText"/>
      </w:pPr>
      <w:r>
        <w:rPr>
          <w:bCs/>
          <w:b/>
        </w:rPr>
        <w:t xml:space="preserve">Dayanak:</w:t>
      </w:r>
      <w:r>
        <w:t xml:space="preserve"> </w:t>
      </w:r>
      <w:r>
        <w:t xml:space="preserve">DTÖ Gümrük Kıymeti Anlaşması md. 18 ve Ek II</w:t>
      </w:r>
    </w:p>
    <w:bookmarkEnd w:id="70"/>
    <w:bookmarkStart w:id="71" w:name="soru-cevap-e-11"/>
    <w:p>
      <w:pPr>
        <w:pStyle w:val="Heading4"/>
      </w:pPr>
      <w:r>
        <w:t xml:space="preserve">50. soru — Cevap: E</w:t>
      </w:r>
    </w:p>
    <w:p>
      <w:pPr>
        <w:pStyle w:val="FirstParagraph"/>
      </w:pPr>
      <w:r>
        <w:rPr>
          <w:iCs/>
          <w:i/>
        </w:rPr>
        <w:t xml:space="preserve">SAİR · DTÖ, TFA, DGÖ · K1</w:t>
      </w:r>
    </w:p>
    <w:p>
      <w:pPr>
        <w:pStyle w:val="BodyText"/>
      </w:pPr>
      <w:r>
        <w:rPr>
          <w:bCs/>
          <w:b/>
        </w:rPr>
        <w:t xml:space="preserve">Doğru şık:</w:t>
      </w:r>
      <w:r>
        <w:t xml:space="preserve"> </w:t>
      </w:r>
      <w:r>
        <w:t xml:space="preserve">E) Emsallere uygunluk ilkesi</w:t>
      </w:r>
    </w:p>
    <w:p>
      <w:pPr>
        <w:pStyle w:val="BodyText"/>
      </w:pPr>
      <w:r>
        <w:t xml:space="preserve">Kurumlar Vergisi Kanununun 13 üncü maddesine göre emsallere uygunluk ilkesi, ilişkili kişilerle mal veya hizmet alım ya da satımında uygulanan fiyat veya bedelin, aralarında böyle bir ilişki bulunmasaydı oluşacak fiyat veya bedele uygun olmasını ifade eder; bu ilkeye aykırılık halinde kazanç transfer fiyatlandırması yoluyla örtülü olarak dağıtılmış sayılır. Karşılaştırılabilir fiyat yöntemi emsal fiyatın belirlenmesinde kullanılan yöntemlerden biri, peşin fiyatlandırma anlaşması yöntemin İdare ile önceden belirlendiği anlaşma, örtülü sermaye ise ilişkili kişilerden borçlanmaya ilişkin ayrı bir müessesedir; işlem değeri yöntemi gümrük kıymetine ilişkindir.</w:t>
      </w:r>
    </w:p>
    <w:p>
      <w:pPr>
        <w:pStyle w:val="BodyText"/>
      </w:pPr>
      <w:r>
        <w:rPr>
          <w:bCs/>
          <w:b/>
        </w:rPr>
        <w:t xml:space="preserve">Tuzak:</w:t>
      </w:r>
      <w:r>
        <w:t xml:space="preserve"> </w:t>
      </w:r>
      <w:r>
        <w:t xml:space="preserve">Tanımdaki karşılaştırma unsurundan hareketle ilkeyi uygulama yöntemlerinden biriyle karıştıran aday karşılaştırılabilir fiyat yöntemini seçer.</w:t>
      </w:r>
    </w:p>
    <w:p>
      <w:pPr>
        <w:pStyle w:val="BodyText"/>
      </w:pPr>
      <w:r>
        <w:rPr>
          <w:bCs/>
          <w:b/>
        </w:rPr>
        <w:t xml:space="preserve">Dayanak:</w:t>
      </w:r>
      <w:r>
        <w:t xml:space="preserve"> </w:t>
      </w:r>
      <w:r>
        <w:t xml:space="preserve">5520 sayılı Kurumlar Vergisi Kanunu md. 13 (transfer fiyatlandırması), md. 12 (örtülü sermaye)</w:t>
      </w:r>
    </w:p>
    <w:bookmarkEnd w:id="71"/>
    <w:bookmarkStart w:id="72" w:name="soru-cevap-a-13"/>
    <w:p>
      <w:pPr>
        <w:pStyle w:val="Heading4"/>
      </w:pPr>
      <w:r>
        <w:t xml:space="preserve">51. soru — Cevap: A</w:t>
      </w:r>
    </w:p>
    <w:p>
      <w:pPr>
        <w:pStyle w:val="FirstParagraph"/>
      </w:pPr>
      <w:r>
        <w:rPr>
          <w:iCs/>
          <w:i/>
        </w:rPr>
        <w:t xml:space="preserve">GM · Muafiyetler · O2</w:t>
      </w:r>
    </w:p>
    <w:p>
      <w:pPr>
        <w:pStyle w:val="BodyText"/>
      </w:pPr>
      <w:r>
        <w:rPr>
          <w:bCs/>
          <w:b/>
        </w:rPr>
        <w:t xml:space="preserve">Doğru şık:</w:t>
      </w:r>
      <w:r>
        <w:t xml:space="preserve"> </w:t>
      </w:r>
      <w:r>
        <w:t xml:space="preserve">A) Basılı reklamcılık malzemesi gönderisinde göndericinin ve alıcının aynı kişi olması, diğer koşulların sağlanması hâlinde muafiyetin uygulanmasına engel teşkil etmez.</w:t>
      </w:r>
    </w:p>
    <w:p>
      <w:pPr>
        <w:pStyle w:val="BodyText"/>
      </w:pPr>
      <w:r>
        <w:t xml:space="preserve">Karar’ın 88 inci maddesine göre basılı reklamcılık malzemesine ilişkin muafiyet; müteşebbisin adının eşya üzerinde açıkça yer alması, sevkiyatta tek basılı materyal ya da her çeşitten birer adet bulunması (aynı çeşitten birden fazla ise toplam brüt ağırlığın bir kilogramı aşmaması) ve gönderici veya alıcısının aynı kişi olmaması koşullarıyla uygulanır. Gönderici ile alıcının aynı kişi olmasının engel olmadığını söyleyen ifade bu koşulu tersine çevirmektedir. Satış amaçlı özel sergilerin kapsam dışı olması 89 uncu, yakıt istisnası 90 ıncı maddede aynen yer alır.</w:t>
      </w:r>
    </w:p>
    <w:p>
      <w:pPr>
        <w:pStyle w:val="BodyText"/>
      </w:pPr>
      <w:r>
        <w:rPr>
          <w:bCs/>
          <w:b/>
        </w:rPr>
        <w:t xml:space="preserve">Tuzak:</w:t>
      </w:r>
      <w:r>
        <w:t xml:space="preserve"> </w:t>
      </w:r>
      <w:r>
        <w:t xml:space="preserve">Reklam malzemesinin kimden kime gönderildiğini önemsiz sayan aday üçüncü koşulu bilmediği için yanlış ifadeyi doğru kabul eder; teknik görünen yakıt istisnasından şüphelenir.</w:t>
      </w:r>
    </w:p>
    <w:p>
      <w:pPr>
        <w:pStyle w:val="BodyText"/>
      </w:pPr>
      <w:r>
        <w:rPr>
          <w:bCs/>
          <w:b/>
        </w:rPr>
        <w:t xml:space="preserve">Dayanak:</w:t>
      </w:r>
      <w:r>
        <w:t xml:space="preserve"> </w:t>
      </w:r>
      <w:r>
        <w:t xml:space="preserve">2009/15481 sayılı Karar md. 87-90</w:t>
      </w:r>
    </w:p>
    <w:bookmarkEnd w:id="72"/>
    <w:bookmarkStart w:id="73" w:name="soru-cevap-c-7"/>
    <w:p>
      <w:pPr>
        <w:pStyle w:val="Heading4"/>
      </w:pPr>
      <w:r>
        <w:t xml:space="preserve">52. soru — Cevap: C</w:t>
      </w:r>
    </w:p>
    <w:p>
      <w:pPr>
        <w:pStyle w:val="FirstParagraph"/>
      </w:pPr>
      <w:r>
        <w:rPr>
          <w:iCs/>
          <w:i/>
        </w:rPr>
        <w:t xml:space="preserve">GM · Muafiyetler · G1</w:t>
      </w:r>
    </w:p>
    <w:p>
      <w:pPr>
        <w:pStyle w:val="BodyText"/>
      </w:pPr>
      <w:r>
        <w:rPr>
          <w:bCs/>
          <w:b/>
        </w:rPr>
        <w:t xml:space="preserve">Doğru şık:</w:t>
      </w:r>
      <w:r>
        <w:t xml:space="preserve"> </w:t>
      </w:r>
      <w:r>
        <w:t xml:space="preserve">C) Bir hayır kurumunca Türkiye’deki bir sağlık kuruluşuna bağışlanan tıbbi teşhis ve tedavi cihazlarının muafen serbest dolaşıma girişi, Sağlık Bakanlığınca insan sağlığı yönünden uygun bulunmasına bağlıdır.</w:t>
      </w:r>
    </w:p>
    <w:p>
      <w:pPr>
        <w:pStyle w:val="BodyText"/>
      </w:pPr>
      <w:r>
        <w:t xml:space="preserve">Karar’ın 73 üncü maddesine göre bir hayır veya insani yardım kurumunca ya da gerçek kişice Türkiye’deki sağlık kuruluşuna bağışlanan tıbbi araştırma, teşhis veya tedavi alet ve cihazlarının muafen serbest dolaşıma girişinde insan sağlığı yönünden Sağlık Bakanlığınca uygun bulunması gerekir. Diğer ifadeler tahrif edilmiştir: Ek-10 kitap ve yayınları herhangi bir kişi veya kurum tarafından gönderilebilir (md. 69); bilimsel araştırma hayvanlarında Türkiye’de üretiminin bulunmadığının tevsiki şarttır (md. 74); bağışlayanın üretici ile herhangi bir ilgisinin olmaması gerekir (md. 73); kalite kontrol referans maddelerinde izin veren makam Sağlık Bakanlığıdır (md. 77).</w:t>
      </w:r>
    </w:p>
    <w:p>
      <w:pPr>
        <w:pStyle w:val="BodyText"/>
      </w:pPr>
      <w:r>
        <w:rPr>
          <w:bCs/>
          <w:b/>
        </w:rPr>
        <w:t xml:space="preserve">Tuzak:</w:t>
      </w:r>
      <w:r>
        <w:t xml:space="preserve"> </w:t>
      </w:r>
      <w:r>
        <w:t xml:space="preserve">Bilimsel muafiyetlerde yetkili kurumu TÜBİTAK sanan aday makamı kaydırılmış ifadeye;</w:t>
      </w:r>
      <w:r>
        <w:t xml:space="preserve"> </w:t>
      </w:r>
      <w:r>
        <w:t xml:space="preserve">“</w:t>
      </w:r>
      <w:r>
        <w:t xml:space="preserve">yalnızca kamu kurumları</w:t>
      </w:r>
      <w:r>
        <w:t xml:space="preserve">”</w:t>
      </w:r>
      <w:r>
        <w:t xml:space="preserve"> </w:t>
      </w:r>
      <w:r>
        <w:t xml:space="preserve">sınırlamasını makul bulan aday mutlaklaştırılmış ifadeye kayar.</w:t>
      </w:r>
    </w:p>
    <w:p>
      <w:pPr>
        <w:pStyle w:val="BodyText"/>
      </w:pPr>
      <w:r>
        <w:rPr>
          <w:bCs/>
          <w:b/>
        </w:rPr>
        <w:t xml:space="preserve">Dayanak:</w:t>
      </w:r>
      <w:r>
        <w:t xml:space="preserve"> </w:t>
      </w:r>
      <w:r>
        <w:t xml:space="preserve">2009/15481 sayılı Karar md. 69, 73, 74, 77</w:t>
      </w:r>
    </w:p>
    <w:bookmarkEnd w:id="73"/>
    <w:bookmarkStart w:id="74" w:name="soru-cevap-d-9"/>
    <w:p>
      <w:pPr>
        <w:pStyle w:val="Heading4"/>
      </w:pPr>
      <w:r>
        <w:t xml:space="preserve">53. soru — Cevap: D</w:t>
      </w:r>
    </w:p>
    <w:p>
      <w:pPr>
        <w:pStyle w:val="FirstParagraph"/>
      </w:pPr>
      <w:r>
        <w:rPr>
          <w:iCs/>
          <w:i/>
        </w:rPr>
        <w:t xml:space="preserve">GM · Muafiyetler · O1</w:t>
      </w:r>
    </w:p>
    <w:p>
      <w:pPr>
        <w:pStyle w:val="BodyText"/>
      </w:pPr>
      <w:r>
        <w:rPr>
          <w:bCs/>
          <w:b/>
        </w:rPr>
        <w:t xml:space="preserve">Doğru şık:</w:t>
      </w:r>
      <w:r>
        <w:t xml:space="preserve"> </w:t>
      </w:r>
      <w:r>
        <w:t xml:space="preserve">D) Kara yolu ile yük taşımacılığı yapan şirketlerin ithal ettiği çekiciler</w:t>
      </w:r>
    </w:p>
    <w:p>
      <w:pPr>
        <w:pStyle w:val="BodyText"/>
      </w:pPr>
      <w:r>
        <w:t xml:space="preserve">GK 167 nci maddesinin birinci fıkrasının (9) numaralı bendinde ulaştırmacılıkta kullanılan eşya; taşıma sırasında istif ve koruma için yardımcı maddeler, canlı hayvan nakli sırasında kullanılan kuru ot, yem, yiyecek maddeleri ve ilaçlar, ulaşım araçları ve özel konteynerlerdeki akaryakıt ve madeni yağlar, deniz ve hava ulaşım araçlarına ait donatım ve işletme malzemesi ile yolcu ve yük taşımacılığı yapan hava yolu şirketlerinin bu faaliyetlerinde kullanacakları hava taşıtları, motorları ve aksam-parçaları olarak sayılmıştır. Kara yolu şirketlerinin ithal ettiği çekiciler bu sayımda yer almaz.</w:t>
      </w:r>
    </w:p>
    <w:p>
      <w:pPr>
        <w:pStyle w:val="BodyText"/>
      </w:pPr>
      <w:r>
        <w:rPr>
          <w:bCs/>
          <w:b/>
        </w:rPr>
        <w:t xml:space="preserve">Tuzak:</w:t>
      </w:r>
      <w:r>
        <w:t xml:space="preserve"> </w:t>
      </w:r>
      <w:r>
        <w:t xml:space="preserve">Hava yolu şirketlerine tanınan taşıt muafiyetini kara yolu taşımacılarına genişleten aday çekici seçeneğini listede sanır.</w:t>
      </w:r>
    </w:p>
    <w:p>
      <w:pPr>
        <w:pStyle w:val="BodyText"/>
      </w:pPr>
      <w:r>
        <w:rPr>
          <w:bCs/>
          <w:b/>
        </w:rPr>
        <w:t xml:space="preserve">Dayanak:</w:t>
      </w:r>
      <w:r>
        <w:t xml:space="preserve"> </w:t>
      </w:r>
      <w:r>
        <w:t xml:space="preserve">GK md. 167/1-9</w:t>
      </w:r>
    </w:p>
    <w:bookmarkEnd w:id="74"/>
    <w:bookmarkStart w:id="75" w:name="soru-cevap-b-9"/>
    <w:p>
      <w:pPr>
        <w:pStyle w:val="Heading4"/>
      </w:pPr>
      <w:r>
        <w:t xml:space="preserve">54. soru — Cevap: B</w:t>
      </w:r>
    </w:p>
    <w:p>
      <w:pPr>
        <w:pStyle w:val="FirstParagraph"/>
      </w:pPr>
      <w:r>
        <w:rPr>
          <w:iCs/>
          <w:i/>
        </w:rPr>
        <w:t xml:space="preserve">GM · Gümrük kıymeti · G1</w:t>
      </w:r>
    </w:p>
    <w:p>
      <w:pPr>
        <w:pStyle w:val="BodyText"/>
      </w:pPr>
      <w:r>
        <w:rPr>
          <w:bCs/>
          <w:b/>
        </w:rPr>
        <w:t xml:space="preserve">Doğru şık:</w:t>
      </w:r>
      <w:r>
        <w:t xml:space="preserve"> </w:t>
      </w:r>
      <w:r>
        <w:t xml:space="preserve">B) Kıymeti belirlenecek eşya ile aynı ülkede üretilmemiş eşya, teknik özellikleri ve işlevleri aynı olsa dahi aynı veya benzer eşya sayılmaz.</w:t>
      </w:r>
    </w:p>
    <w:p>
      <w:pPr>
        <w:pStyle w:val="BodyText"/>
      </w:pPr>
      <w:r>
        <w:t xml:space="preserve">Aynı veya benzer eşya, kıymeti belirlenecek eşya ile aynı ülkede üretilmiş olmalıdır; teknik özellikleri aynı olsa dahi başka bir ülkede üretilen eşya emsal alınamaz (2023/66, 2025/18). Diğer ifadeler yanlıştır: görünüşteki küçük farklılıklar aynı eşya sayılmaya engel değildir; benzer eşyada marka farklı olabilir; farklı bir üreticinin eşyası ancak aynı üreticinin aynı veya benzer eşyası bulunmadığında dikkate alınır; farklı miktarda yapılan satışlar miktar farkı (satıcının fiyat listesiyle) düzeltilerek kullanılabilir.</w:t>
      </w:r>
    </w:p>
    <w:p>
      <w:pPr>
        <w:pStyle w:val="BodyText"/>
      </w:pPr>
      <w:r>
        <w:rPr>
          <w:bCs/>
          <w:b/>
        </w:rPr>
        <w:t xml:space="preserve">Tuzak:</w:t>
      </w:r>
      <w:r>
        <w:t xml:space="preserve"> </w:t>
      </w:r>
      <w:r>
        <w:t xml:space="preserve">Teknik özdeşliği yeterli sayan aday üretim ülkesi şartını gözden kaçırır;</w:t>
      </w:r>
      <w:r>
        <w:t xml:space="preserve"> </w:t>
      </w:r>
      <w:r>
        <w:t xml:space="preserve">“</w:t>
      </w:r>
      <w:r>
        <w:t xml:space="preserve">aynı marka = benzer eşya</w:t>
      </w:r>
      <w:r>
        <w:t xml:space="preserve">”</w:t>
      </w:r>
      <w:r>
        <w:t xml:space="preserve"> </w:t>
      </w:r>
      <w:r>
        <w:t xml:space="preserve">yanılgısıyla marka şartı içeren ifadeyi doğru sanır.</w:t>
      </w:r>
    </w:p>
    <w:p>
      <w:pPr>
        <w:pStyle w:val="BodyText"/>
      </w:pPr>
      <w:r>
        <w:rPr>
          <w:bCs/>
          <w:b/>
        </w:rPr>
        <w:t xml:space="preserve">Dayanak:</w:t>
      </w:r>
      <w:r>
        <w:t xml:space="preserve"> </w:t>
      </w:r>
      <w:r>
        <w:t xml:space="preserve">GK md. 25/1-a, b; Gümrük Yönetmeliği aynı ve benzer eşya tanımları (DTÖ Kıymet Anlaşması md. 2, 3, 15/2)</w:t>
      </w:r>
    </w:p>
    <w:bookmarkEnd w:id="75"/>
    <w:bookmarkStart w:id="76" w:name="soru-cevap-e-12"/>
    <w:p>
      <w:pPr>
        <w:pStyle w:val="Heading4"/>
      </w:pPr>
      <w:r>
        <w:t xml:space="preserve">55. soru — Cevap: E</w:t>
      </w:r>
    </w:p>
    <w:p>
      <w:pPr>
        <w:pStyle w:val="FirstParagraph"/>
      </w:pPr>
      <w:r>
        <w:rPr>
          <w:iCs/>
          <w:i/>
        </w:rPr>
        <w:t xml:space="preserve">GM · Gümrük kıymeti · O2</w:t>
      </w:r>
    </w:p>
    <w:p>
      <w:pPr>
        <w:pStyle w:val="BodyText"/>
      </w:pPr>
      <w:r>
        <w:rPr>
          <w:bCs/>
          <w:b/>
        </w:rPr>
        <w:t xml:space="preserve">Doğru şık:</w:t>
      </w:r>
      <w:r>
        <w:t xml:space="preserve"> </w:t>
      </w:r>
      <w:r>
        <w:t xml:space="preserve">E) Hesaplanmış kıymette kâr ve genel giderler, ithalatçının eşyayı Türkiye’de yeniden satışında elde ettiği mutat kâr ve genel giderler esas alınarak belirlenir.</w:t>
      </w:r>
    </w:p>
    <w:p>
      <w:pPr>
        <w:pStyle w:val="BodyText"/>
      </w:pPr>
      <w:r>
        <w:t xml:space="preserve">Hesaplanmış kıymette kâr ve genel giderler, Türkiye’ye ihraç edilmek üzere ihraç ülkesindeki üreticiler tarafından üretilen aynı sınıf veya cins eşyanın satışında mutat olan kâr ve genel giderlere eşit bir tutardır; ithalatçının Türkiye’deki yeniden satış kârı ise tümdengelim yönteminde birim fiyattan düşülen bir unsurdur. Tümdengelimde Türkiye’de satıcılarla ilişkili olmayan kişilere en büyük toplam miktarda yapılan satışın birim fiyatı esas alınır ve bu fiyattan Türkiye’deki komisyon veya kâr ve genel giderler, Türkiye içi nakliye-sigorta giderleri ile ithalat vergileri düşülür. Hesaplanmış kıymetin bileşenleri ve beyan sahibinin bilgilendirilmesi 2021/19’daki doğru ifadelerle aynıdır.</w:t>
      </w:r>
    </w:p>
    <w:p>
      <w:pPr>
        <w:pStyle w:val="BodyText"/>
      </w:pPr>
      <w:r>
        <w:rPr>
          <w:bCs/>
          <w:b/>
        </w:rPr>
        <w:t xml:space="preserve">Tuzak:</w:t>
      </w:r>
      <w:r>
        <w:t xml:space="preserve"> </w:t>
      </w:r>
      <w:r>
        <w:t xml:space="preserve">İki yöntemde de</w:t>
      </w:r>
      <w:r>
        <w:t xml:space="preserve"> </w:t>
      </w:r>
      <w:r>
        <w:t xml:space="preserve">“</w:t>
      </w:r>
      <w:r>
        <w:t xml:space="preserve">kâr ve genel gider</w:t>
      </w:r>
      <w:r>
        <w:t xml:space="preserve">”</w:t>
      </w:r>
      <w:r>
        <w:t xml:space="preserve"> </w:t>
      </w:r>
      <w:r>
        <w:t xml:space="preserve">geçtiği için, tümdengelimde Türkiye’deki satış kârının, hesaplanmış kıymette ise ihraç ülkesindeki üretici kârının esas alındığını ayırt edemeyen aday yanlış ifadeyi doğru sanır.</w:t>
      </w:r>
    </w:p>
    <w:p>
      <w:pPr>
        <w:pStyle w:val="BodyText"/>
      </w:pPr>
      <w:r>
        <w:rPr>
          <w:bCs/>
          <w:b/>
        </w:rPr>
        <w:t xml:space="preserve">Dayanak:</w:t>
      </w:r>
      <w:r>
        <w:t xml:space="preserve"> </w:t>
      </w:r>
      <w:r>
        <w:t xml:space="preserve">GK md. 25/1-c, d (DTÖ Kıymet Anlaşması md. 5-6)</w:t>
      </w:r>
    </w:p>
    <w:bookmarkEnd w:id="76"/>
    <w:bookmarkStart w:id="77" w:name="soru-cevap-c-8"/>
    <w:p>
      <w:pPr>
        <w:pStyle w:val="Heading4"/>
      </w:pPr>
      <w:r>
        <w:t xml:space="preserve">56. soru — Cevap: C</w:t>
      </w:r>
    </w:p>
    <w:p>
      <w:pPr>
        <w:pStyle w:val="FirstParagraph"/>
      </w:pPr>
      <w:r>
        <w:rPr>
          <w:iCs/>
          <w:i/>
        </w:rPr>
        <w:t xml:space="preserve">GM · Gümrük kıymeti · Ö3</w:t>
      </w:r>
    </w:p>
    <w:p>
      <w:pPr>
        <w:pStyle w:val="BodyText"/>
      </w:pPr>
      <w:r>
        <w:rPr>
          <w:bCs/>
          <w:b/>
        </w:rPr>
        <w:t xml:space="preserve">Doğru şık:</w:t>
      </w:r>
      <w:r>
        <w:t xml:space="preserve"> </w:t>
      </w:r>
      <w:r>
        <w:t xml:space="preserve">C) Yalnız III</w:t>
      </w:r>
    </w:p>
    <w:p>
      <w:pPr>
        <w:pStyle w:val="BodyText"/>
      </w:pPr>
      <w:r>
        <w:t xml:space="preserve">Ticaretin Kolaylaştırılması Anlaşmasının 3 üncü maddesine göre ön karar, ithalattan önce eşyanın tarife sınıflandırması ve menşei konusunda üyelerin vermekle yükümlü olduğu yazılı karardır. Gümrük kıymetinin belirlenmesinde kullanılacak uygun yöntem veya kriterler ise gümrük vergisi muafiyeti şartları ve kota uygulaması gibi, üyelerin ön karar vermeleri için teşvik edildikleri konular arasındadır (2025/6).</w:t>
      </w:r>
    </w:p>
    <w:p>
      <w:pPr>
        <w:pStyle w:val="BodyText"/>
      </w:pPr>
      <w:r>
        <w:rPr>
          <w:bCs/>
          <w:b/>
        </w:rPr>
        <w:t xml:space="preserve">Tuzak:</w:t>
      </w:r>
      <w:r>
        <w:t xml:space="preserve"> </w:t>
      </w:r>
      <w:r>
        <w:t xml:space="preserve">Ön kararın kıymet konusunda da zorunlu olduğunu sanan aday</w:t>
      </w:r>
      <w:r>
        <w:t xml:space="preserve"> </w:t>
      </w:r>
      <w:r>
        <w:t xml:space="preserve">“</w:t>
      </w:r>
      <w:r>
        <w:t xml:space="preserve">Yalnız</w:t>
      </w:r>
      <w:r>
        <w:t xml:space="preserve">”</w:t>
      </w:r>
      <w:r>
        <w:t xml:space="preserve"> </w:t>
      </w:r>
      <w:r>
        <w:t xml:space="preserve">seçeneklerinden uzaklaşır; tarife ve menşei teşvik edilen konu sayan aday</w:t>
      </w:r>
      <w:r>
        <w:t xml:space="preserve"> </w:t>
      </w:r>
      <w:r>
        <w:t xml:space="preserve">“</w:t>
      </w:r>
      <w:r>
        <w:t xml:space="preserve">I ve II</w:t>
      </w:r>
      <w:r>
        <w:t xml:space="preserve">”</w:t>
      </w:r>
      <w:r>
        <w:t xml:space="preserve"> </w:t>
      </w:r>
      <w:r>
        <w:t xml:space="preserve">seçeneğine kayar.</w:t>
      </w:r>
    </w:p>
    <w:p>
      <w:pPr>
        <w:pStyle w:val="BodyText"/>
      </w:pPr>
      <w:r>
        <w:rPr>
          <w:bCs/>
          <w:b/>
        </w:rPr>
        <w:t xml:space="preserve">Dayanak:</w:t>
      </w:r>
      <w:r>
        <w:t xml:space="preserve"> </w:t>
      </w:r>
      <w:r>
        <w:t xml:space="preserve">DTÖ Ticaretin Kolaylaştırılması Anlaşması md. 3/9</w:t>
      </w:r>
    </w:p>
    <w:bookmarkEnd w:id="77"/>
    <w:bookmarkStart w:id="78" w:name="soru-cevap-b-10"/>
    <w:p>
      <w:pPr>
        <w:pStyle w:val="Heading4"/>
      </w:pPr>
      <w:r>
        <w:t xml:space="preserve">57. soru — Cevap: B</w:t>
      </w:r>
    </w:p>
    <w:p>
      <w:pPr>
        <w:pStyle w:val="FirstParagraph"/>
      </w:pPr>
      <w:r>
        <w:rPr>
          <w:iCs/>
          <w:i/>
        </w:rPr>
        <w:t xml:space="preserve">GM · Menşe, BTB/BMB · Ö1</w:t>
      </w:r>
    </w:p>
    <w:p>
      <w:pPr>
        <w:pStyle w:val="BodyText"/>
      </w:pPr>
      <w:r>
        <w:rPr>
          <w:bCs/>
          <w:b/>
        </w:rPr>
        <w:t xml:space="preserve">Doğru şık:</w:t>
      </w:r>
      <w:r>
        <w:t xml:space="preserve"> </w:t>
      </w:r>
      <w:r>
        <w:t xml:space="preserve">B) II ve IV</w:t>
      </w:r>
    </w:p>
    <w:p>
      <w:pPr>
        <w:pStyle w:val="BodyText"/>
      </w:pPr>
      <w:r>
        <w:t xml:space="preserve">Birden fazla ülkenin yer aldığı üretimde menşe, ekonomik olarak haklı nedeni olan ve yeni bir ürünle sonuçlanan ya da önemli bir imalat aşamasını temsil eden son esaslı işlemin yapıldığı ülkedir (GK 18; II doğru). Gümrük Yönetmeliğinin liste kuralları ekinde yer almayan tekstil ürünlerinde tarife pozisyonu değişikliği kuralı uygulanır (2022/24; IV doğru). 56.01 pozisyonundaki eşya için aranan işlem iplikten değil liflerden imalattır (2024/6; I yanlış). Başka bir ülke ürünü izlenimi uyandıran ibareler taşıyan eşyanın transitine, antrepoya konulmasına ve yeniden ihracına izin verilebilir; ancak ithaline izin verilmez (2021/11; III yanlış).</w:t>
      </w:r>
    </w:p>
    <w:p>
      <w:pPr>
        <w:pStyle w:val="BodyText"/>
      </w:pPr>
      <w:r>
        <w:rPr>
          <w:bCs/>
          <w:b/>
        </w:rPr>
        <w:t xml:space="preserve">Tuzak:</w:t>
      </w:r>
      <w:r>
        <w:t xml:space="preserve"> </w:t>
      </w:r>
      <w:r>
        <w:t xml:space="preserve">Tekstilde menşe kazandıran işlemi her pozisyon için</w:t>
      </w:r>
      <w:r>
        <w:t xml:space="preserve"> </w:t>
      </w:r>
      <w:r>
        <w:t xml:space="preserve">“</w:t>
      </w:r>
      <w:r>
        <w:t xml:space="preserve">iplikten imalat</w:t>
      </w:r>
      <w:r>
        <w:t xml:space="preserve">”</w:t>
      </w:r>
      <w:r>
        <w:t xml:space="preserve"> </w:t>
      </w:r>
      <w:r>
        <w:t xml:space="preserve">sanan aday I’i; yanıltıcı ibareli eşyaya transitle birlikte ithal izni de verilebileceğini sanan aday III’ü kümeye ekler.</w:t>
      </w:r>
    </w:p>
    <w:p>
      <w:pPr>
        <w:pStyle w:val="BodyText"/>
      </w:pPr>
      <w:r>
        <w:rPr>
          <w:bCs/>
          <w:b/>
        </w:rPr>
        <w:t xml:space="preserve">Dayanak:</w:t>
      </w:r>
      <w:r>
        <w:t xml:space="preserve"> </w:t>
      </w:r>
      <w:r>
        <w:t xml:space="preserve">GK md. 17-18; Gümrük Yönetmeliği tercihli olmayan menşe hükümleri ve liste kuralları eki</w:t>
      </w:r>
    </w:p>
    <w:bookmarkEnd w:id="78"/>
    <w:bookmarkStart w:id="79" w:name="soru-cevap-b-11"/>
    <w:p>
      <w:pPr>
        <w:pStyle w:val="Heading4"/>
      </w:pPr>
      <w:r>
        <w:t xml:space="preserve">58. soru — Cevap: B</w:t>
      </w:r>
    </w:p>
    <w:p>
      <w:pPr>
        <w:pStyle w:val="FirstParagraph"/>
      </w:pPr>
      <w:r>
        <w:rPr>
          <w:iCs/>
          <w:i/>
        </w:rPr>
        <w:t xml:space="preserve">GM · Geri verme – kaldırma · D1</w:t>
      </w:r>
    </w:p>
    <w:p>
      <w:pPr>
        <w:pStyle w:val="BodyText"/>
      </w:pPr>
      <w:r>
        <w:rPr>
          <w:bCs/>
          <w:b/>
        </w:rPr>
        <w:t xml:space="preserve">Doğru şık:</w:t>
      </w:r>
      <w:r>
        <w:t xml:space="preserve"> </w:t>
      </w:r>
      <w:r>
        <w:t xml:space="preserve">B) 30 gün</w:t>
      </w:r>
    </w:p>
    <w:p>
      <w:pPr>
        <w:pStyle w:val="BodyText"/>
      </w:pPr>
      <w:r>
        <w:t xml:space="preserve">Gümrük Yönetmeliğinin 504 üncü maddesine göre geri verme veya kaldırma talebi yetkili gümrük idaresince incelenerek otuz gün içerisinde idare amirince karara bağlanır; Tahsilat İşlemleri Tebliğine göre bu süreye uyulamıyorsa süre dolmadan gerekçe ve ek süre belirtilerek yükümlüye bildirimde bulunulur. Dört ay, verilmiş bir geri verme kararının tebliğinden itibaren idarece uygulanmaması hâlinde ilgilinin talebiyle kanuni faiz ödenmesine yol açan süredir (GK 216); kararın verilme süresi değil, verilen kararın uygulanma süresidir. On beş gün hatalı geri verilen vergilerin tebliğden itibaren ödenme süresi (GK 217), kırk beş gün deniz yoluyla gelen eşyada beyannamenin teslimden önce iptali hâlinde geri verme talebinin özet beyan tarihinden itibaren yapılabileceği süre, bir yıl ise kusurlu eşya ve uluslararası anlaşmalara dayalı geri vermede başvuru süresidir.</w:t>
      </w:r>
    </w:p>
    <w:p>
      <w:pPr>
        <w:pStyle w:val="BodyText"/>
      </w:pPr>
      <w:r>
        <w:rPr>
          <w:bCs/>
          <w:b/>
        </w:rPr>
        <w:t xml:space="preserve">Tuzak:</w:t>
      </w:r>
      <w:r>
        <w:t xml:space="preserve"> </w:t>
      </w:r>
      <w:r>
        <w:t xml:space="preserve">Hatalı geri vermede öngörülen on beş günlük ödeme süresini ya da başvuru sürelerini karar verme süresiyle karıştıran aday komşu değerlere kayar.</w:t>
      </w:r>
    </w:p>
    <w:p>
      <w:pPr>
        <w:pStyle w:val="BodyText"/>
      </w:pPr>
      <w:r>
        <w:rPr>
          <w:bCs/>
          <w:b/>
        </w:rPr>
        <w:t xml:space="preserve">Dayanak:</w:t>
      </w:r>
      <w:r>
        <w:t xml:space="preserve"> </w:t>
      </w:r>
      <w:r>
        <w:t xml:space="preserve">Gümrük Yönetmeliği md. 504/2; Gümrük Genel Tebliği (Tahsilat İşlemleri) (Seri No: 2) md. 31/4</w:t>
      </w:r>
    </w:p>
    <w:bookmarkEnd w:id="79"/>
    <w:bookmarkStart w:id="80" w:name="soru-cevap-e-13"/>
    <w:p>
      <w:pPr>
        <w:pStyle w:val="Heading4"/>
      </w:pPr>
      <w:r>
        <w:t xml:space="preserve">59. soru — Cevap: E</w:t>
      </w:r>
    </w:p>
    <w:p>
      <w:pPr>
        <w:pStyle w:val="FirstParagraph"/>
      </w:pPr>
      <w:r>
        <w:rPr>
          <w:iCs/>
          <w:i/>
        </w:rPr>
        <w:t xml:space="preserve">HESAP · Hesap · H3</w:t>
      </w:r>
    </w:p>
    <w:p>
      <w:pPr>
        <w:pStyle w:val="BodyText"/>
      </w:pPr>
      <w:r>
        <w:rPr>
          <w:bCs/>
          <w:b/>
        </w:rPr>
        <w:t xml:space="preserve">Doğru şık:</w:t>
      </w:r>
      <w:r>
        <w:t xml:space="preserve"> </w:t>
      </w:r>
      <w:r>
        <w:t xml:space="preserve">E) 1.300.000</w:t>
      </w:r>
    </w:p>
    <w:p>
      <w:pPr>
        <w:pStyle w:val="BodyText"/>
      </w:pPr>
      <w:r>
        <w:t xml:space="preserve">Çözüm: FOB bedele giriş yerine kadar navlun ve sigorta ile satış şartı olan marka lisans ücreti eklenir: 45.000 + 3.000 + 500 + 1.500 = 50.000 ABD Doları; kur, beyannamenin tescil tarihindeki kurdur: 50.000 × 40 = 2.000.000 TL | GV = 100.000 | İGV = 400.000 | ÖTV matrahı = 2.500.000 → ÖTV = 250.000 | KDV matrahı = 2.750.000 → KDV = 550.000 | Toplam = 1.300.000. Şık türetimleri: 1.300.000 → doğru tutar. 1.209.000 → navlun ve sigorta kıymete eklenmemiş (kıymet 46.500 × 40 = 1.860.000). 1.235.000 → peşin ödeme günündeki kur (38) kullanılmış (kıymet 1.900.000). 1.250.000 → ÖTV, KDV matrahına eklenmemiş (KDV 500.000). 1.261.000 → satış şartı lisans ücreti kıymete eklenmemiş (kıymet 1.940.000).</w:t>
      </w:r>
    </w:p>
    <w:p>
      <w:pPr>
        <w:pStyle w:val="BodyText"/>
      </w:pPr>
      <w:r>
        <w:rPr>
          <w:bCs/>
          <w:b/>
        </w:rPr>
        <w:t xml:space="preserve">Tuzak:</w:t>
      </w:r>
      <w:r>
        <w:t xml:space="preserve"> </w:t>
      </w:r>
      <w:r>
        <w:t xml:space="preserve">Bedelin ödendiği günün kurunu kullanan aday 1.235.000’e, satış şartı marka lisansını kıymet dışı sayan aday 1.261.000’e kayar.</w:t>
      </w:r>
    </w:p>
    <w:p>
      <w:pPr>
        <w:pStyle w:val="BodyText"/>
      </w:pPr>
      <w:r>
        <w:rPr>
          <w:bCs/>
          <w:b/>
        </w:rPr>
        <w:t xml:space="preserve">Dayanak:</w:t>
      </w:r>
      <w:r>
        <w:t xml:space="preserve"> </w:t>
      </w:r>
      <w:r>
        <w:t xml:space="preserve">4458 sayılı GK md. 27 (giriş yerine kadar taşıma-sigorta, satış şartı lisans ücreti); 3065 sayılı KDV Kanunu md. 21; 4760 sayılı ÖTV Kanunu md. 11/3; İGV Kararı md. 2/5</w:t>
      </w:r>
    </w:p>
    <w:bookmarkEnd w:id="80"/>
    <w:bookmarkStart w:id="81" w:name="soru-cevap-c-9"/>
    <w:p>
      <w:pPr>
        <w:pStyle w:val="Heading4"/>
      </w:pPr>
      <w:r>
        <w:t xml:space="preserve">60. soru — Cevap: C</w:t>
      </w:r>
    </w:p>
    <w:p>
      <w:pPr>
        <w:pStyle w:val="FirstParagraph"/>
      </w:pPr>
      <w:r>
        <w:rPr>
          <w:iCs/>
          <w:i/>
        </w:rPr>
        <w:t xml:space="preserve">HESAP · Hesap · H3</w:t>
      </w:r>
    </w:p>
    <w:p>
      <w:pPr>
        <w:pStyle w:val="BodyText"/>
      </w:pPr>
      <w:r>
        <w:rPr>
          <w:bCs/>
          <w:b/>
        </w:rPr>
        <w:t xml:space="preserve">Doğru şık:</w:t>
      </w:r>
      <w:r>
        <w:t xml:space="preserve"> </w:t>
      </w:r>
      <w:r>
        <w:t xml:space="preserve">C) 1.250.000</w:t>
      </w:r>
    </w:p>
    <w:p>
      <w:pPr>
        <w:pStyle w:val="BodyText"/>
      </w:pPr>
      <w:r>
        <w:t xml:space="preserve">Çözüm: ÖTVK geçici 6 ncı madde uyarınca cep telefonlarında orana göre hesaplanan vergi her bir adet için belirlenen tutardan az olamaz; karşılaştırma adet başına yapılır (soruda 500 TL varsayılmıştır; tebliğe göre 1/1/2026’dan itibaren uygulanan tutar 456 TL’dir). 1. kalem: adet başına 8.000 × %25 = 2.000 TL &gt; 500 → 200 × 2.000 = 400.000 | 2. kalem: adet başına 1.500 × %25 = 375 TL &lt; 500 → 500 × 500 = 250.000 | ÖTV = 650.000 | KDV matrahı = 2.350.000 + 650.000 = 3.000.000 → KDV = 600.000 | ÖTV + KDV = 1.250.000. Şık türetimleri: 1.250.000 → doğru tutar. 1.120.000 → ÖTV, KDV matrahına eklenmemiş (650.000 + 470.000). 1.175.000 → adet başı alt tutar dikkate alınmamış (ÖTV 587.500 + KDV 587.500); alt tutarın beyanname toplamına uygulanması (700 × 500 = 350.000 &lt; 587.500) da aynı sonucu verir. 1.475.000 → ikinci kalemde alt tutar nispi vergiye ilave edilmiş (ÖTV 837.500, KDV 637.500). 1.595.000 → alt tutar her iki kalemde nispi vergiye ilave edilmiş (ÖTV 937.500, KDV 657.500).</w:t>
      </w:r>
    </w:p>
    <w:p>
      <w:pPr>
        <w:pStyle w:val="BodyText"/>
      </w:pPr>
      <w:r>
        <w:rPr>
          <w:bCs/>
          <w:b/>
        </w:rPr>
        <w:t xml:space="preserve">Tuzak:</w:t>
      </w:r>
      <w:r>
        <w:t xml:space="preserve"> </w:t>
      </w:r>
      <w:r>
        <w:t xml:space="preserve">Adet başı asgari tutarı beyanname toplamıyla karşılaştıran ya da hiç uygulamayan aday 1.175.000’e, asgari tutarı nispi vergiye eklenecek ayrı bir vergi sanan aday 1.475.000’e kayar.</w:t>
      </w:r>
    </w:p>
    <w:p>
      <w:pPr>
        <w:pStyle w:val="BodyText"/>
      </w:pPr>
      <w:r>
        <w:rPr>
          <w:bCs/>
          <w:b/>
        </w:rPr>
        <w:t xml:space="preserve">Dayanak:</w:t>
      </w:r>
      <w:r>
        <w:t xml:space="preserve"> </w:t>
      </w:r>
      <w:r>
        <w:t xml:space="preserve">4760 sayılı ÖTV Kanunu geçici md. 6 ve md. 11/3; ÖTV (IV) Sayılı Liste Uygulama Genel Tebliği III/B-1; 3065 sayılı KDV Kanunu md. 21</w:t>
      </w:r>
    </w:p>
    <w:bookmarkEnd w:id="81"/>
    <w:bookmarkStart w:id="82" w:name="soru-cevap-d-10"/>
    <w:p>
      <w:pPr>
        <w:pStyle w:val="Heading4"/>
      </w:pPr>
      <w:r>
        <w:t xml:space="preserve">61. soru — Cevap: D</w:t>
      </w:r>
    </w:p>
    <w:p>
      <w:pPr>
        <w:pStyle w:val="FirstParagraph"/>
      </w:pPr>
      <w:r>
        <w:rPr>
          <w:iCs/>
          <w:i/>
        </w:rPr>
        <w:t xml:space="preserve">HESAP · Hesap · H4</w:t>
      </w:r>
    </w:p>
    <w:p>
      <w:pPr>
        <w:pStyle w:val="BodyText"/>
      </w:pPr>
      <w:r>
        <w:rPr>
          <w:bCs/>
          <w:b/>
        </w:rPr>
        <w:t xml:space="preserve">Doğru şık:</w:t>
      </w:r>
      <w:r>
        <w:t xml:space="preserve"> </w:t>
      </w:r>
      <w:r>
        <w:t xml:space="preserve">D) 480.000</w:t>
      </w:r>
    </w:p>
    <w:p>
      <w:pPr>
        <w:pStyle w:val="BodyText"/>
      </w:pPr>
      <w:r>
        <w:t xml:space="preserve">Çözüm: I. kalem: maddi hesap hatasından doğan noksan kıymet beyanı GK 234/1-(c) kapsamındadır, ceza vergi farkının yarısıdır. Kıymet farkı 8.000.000 − 7.800.000 = 200.000 (fark %2,5 olduğundan (c) bendindeki %5 ölçütü bakımından da tereddüt doğmaz) | GV 20.000 | KDV (220.000 × %20) 44.000 | Fark 64.000 | Ceza 32.000. II. kalem: satış şartı patent ücretinin kıymete dahil edilmemesi noksan kıymet beyanıdır, GK 234/1-(b) uyarınca ceza üç kattır. Kıymet farkı 300.000 | GV 30.000 | KDV 66.000 | Fark 96.000 | Ceza 288.000. Ek tahakkuk 160.000 + ceza 320.000 = 480.000. Şık türetimleri: 480.000 → doğru tutar. 240.000 → her iki kaleme yarısı oranında ceza uygulanmış (160.000 + 80.000). 260.000 → KDV farkı ceza matrahına alınmamış (ceza 10.000 + 90.000). 400.000 → fıkralar ters uygulanmış (I. kaleme üç kat 192.000, II. kaleme yarısı 48.000). 640.000 → maddi hesap hatası da üç kat cezaya tabi tutulmuş (160.000 × 4).</w:t>
      </w:r>
    </w:p>
    <w:p>
      <w:pPr>
        <w:pStyle w:val="BodyText"/>
      </w:pPr>
      <w:r>
        <w:rPr>
          <w:bCs/>
          <w:b/>
        </w:rPr>
        <w:t xml:space="preserve">Tuzak:</w:t>
      </w:r>
      <w:r>
        <w:t xml:space="preserve"> </w:t>
      </w:r>
      <w:r>
        <w:t xml:space="preserve">Maddi hesap hatasını da noksan kıymet sayıp iki kaleme birden üç kat ceza uygulayan aday 640.000’e kayar.</w:t>
      </w:r>
    </w:p>
    <w:p>
      <w:pPr>
        <w:pStyle w:val="BodyText"/>
      </w:pPr>
      <w:r>
        <w:rPr>
          <w:bCs/>
          <w:b/>
        </w:rPr>
        <w:t xml:space="preserve">Dayanak:</w:t>
      </w:r>
      <w:r>
        <w:t xml:space="preserve"> </w:t>
      </w:r>
      <w:r>
        <w:t xml:space="preserve">4458 sayılı Gümrük Kanunu md. 234/1-(b) ve (c), 234/6</w:t>
      </w:r>
    </w:p>
    <w:bookmarkEnd w:id="82"/>
    <w:bookmarkStart w:id="83" w:name="soru-cevap-b-12"/>
    <w:p>
      <w:pPr>
        <w:pStyle w:val="Heading4"/>
      </w:pPr>
      <w:r>
        <w:t xml:space="preserve">62. soru — Cevap: B</w:t>
      </w:r>
    </w:p>
    <w:p>
      <w:pPr>
        <w:pStyle w:val="FirstParagraph"/>
      </w:pPr>
      <w:r>
        <w:rPr>
          <w:iCs/>
          <w:i/>
        </w:rPr>
        <w:t xml:space="preserve">HESAP · Hesap · H7</w:t>
      </w:r>
    </w:p>
    <w:p>
      <w:pPr>
        <w:pStyle w:val="BodyText"/>
      </w:pPr>
      <w:r>
        <w:rPr>
          <w:bCs/>
          <w:b/>
        </w:rPr>
        <w:t xml:space="preserve">Doğru şık:</w:t>
      </w:r>
      <w:r>
        <w:t xml:space="preserve"> </w:t>
      </w:r>
      <w:r>
        <w:t xml:space="preserve">B) 120.000</w:t>
      </w:r>
    </w:p>
    <w:p>
      <w:pPr>
        <w:pStyle w:val="BodyText"/>
      </w:pPr>
      <w:r>
        <w:t xml:space="preserve">Çözüm: GK 244/6 ve Gümrük Uzlaşma Yönetmeliğinin 23 üncü maddesi uyarınca, üzerinde uzlaşılan cezalar hakkında Kabahatler Kanununun 17 nci maddesi uyarınca ayrıca peşin ödeme indiriminden yararlanılamaz. Gecikme faizi (GK 244/5; Yönetmelik md. 24/3) yalnız uzlaşılan vergilere uygulanır. Bu nedenle uzlaşılan para cezası için ödenecek tutar uzlaşılan tutarın kendisidir: 120.000 TL; hesap gerekmez. Şık türetimleri: 120.000 → doğru tutar. 90.000 → uzlaşılan cezaya 1/4 peşin ödeme indirimi uygulanmış. 134.400 → vergilere uygulanan %12 gecikme faizi cezaya da uygulanmış. 225.000 → uzlaşma yok sayılıp asıl cezaya 1/4 indirim uygulanmış. 300.000 → uzlaşma öncesindeki asıl ceza tutarı.</w:t>
      </w:r>
    </w:p>
    <w:p>
      <w:pPr>
        <w:pStyle w:val="BodyText"/>
      </w:pPr>
      <w:r>
        <w:rPr>
          <w:bCs/>
          <w:b/>
        </w:rPr>
        <w:t xml:space="preserve">Tuzak:</w:t>
      </w:r>
      <w:r>
        <w:t xml:space="preserve"> </w:t>
      </w:r>
      <w:r>
        <w:t xml:space="preserve">Uzlaşmanın ardından peşin ödeme indiriminin de uygulanabileceğini düşünen aday 90.000’e kayar.</w:t>
      </w:r>
    </w:p>
    <w:p>
      <w:pPr>
        <w:pStyle w:val="BodyText"/>
      </w:pPr>
      <w:r>
        <w:rPr>
          <w:bCs/>
          <w:b/>
        </w:rPr>
        <w:t xml:space="preserve">Dayanak:</w:t>
      </w:r>
      <w:r>
        <w:t xml:space="preserve"> </w:t>
      </w:r>
      <w:r>
        <w:t xml:space="preserve">4458 sayılı Gümrük Kanunu md. 244/5 ve 244/6; Gümrük Uzlaşma Yönetmeliği md. 23 ve 24/3</w:t>
      </w:r>
    </w:p>
    <w:bookmarkEnd w:id="83"/>
    <w:bookmarkStart w:id="84" w:name="soru-cevap-c-10"/>
    <w:p>
      <w:pPr>
        <w:pStyle w:val="Heading4"/>
      </w:pPr>
      <w:r>
        <w:t xml:space="preserve">63. soru — Cevap: C</w:t>
      </w:r>
    </w:p>
    <w:p>
      <w:pPr>
        <w:pStyle w:val="FirstParagraph"/>
      </w:pPr>
      <w:r>
        <w:rPr>
          <w:iCs/>
          <w:i/>
        </w:rPr>
        <w:t xml:space="preserve">HESAP · Hesap · H6</w:t>
      </w:r>
    </w:p>
    <w:p>
      <w:pPr>
        <w:pStyle w:val="BodyText"/>
      </w:pPr>
      <w:r>
        <w:rPr>
          <w:bCs/>
          <w:b/>
        </w:rPr>
        <w:t xml:space="preserve">Doğru şık:</w:t>
      </w:r>
      <w:r>
        <w:t xml:space="preserve"> </w:t>
      </w:r>
      <w:r>
        <w:t xml:space="preserve">C) 278.000</w:t>
      </w:r>
    </w:p>
    <w:p>
      <w:pPr>
        <w:pStyle w:val="BodyText"/>
      </w:pPr>
      <w:r>
        <w:t xml:space="preserve">Çözüm: Giderler toplamı = 200.000 + 30.000 + 15.000 + 10.000 + 25.000 = 280.000 TL; net kâr = 400.000 − 280.000 = 120.000 TL; satıcıya intikal eden hasıla payı = 120.000 × %40 = 48.000 TL (dahil; yeniden satıştan elde edilen hasılatın satıcıya intikal eden kısmı). Gümrük kıymeti = FOB 200.000 + giriş yerine kadar navlun ve sigorta 30.000 + hasıla payı 48.000 = 278.000 TL. Yurt içi taşıma, depolama ve satış giderleri yalnız net kârın hesabında kullanılır; kıymete eklenmez.</w:t>
      </w:r>
      <w:r>
        <w:t xml:space="preserve"> </w:t>
      </w:r>
      <w:r>
        <w:t xml:space="preserve">Şık türetimleri: 230.000 → satıcıya intikal eden hasıla payı eklenmemiş · 248.000 → navlun ve sigorta eklenmemiş · 278.000 → doğru · 298.000 → pay, yurt içi giderler düşülmeden brüt kâr (170.000) üzerinden hesaplanmış · 328.000 → yurt içi giderler (50.000) kıymete de eklenmiş.</w:t>
      </w:r>
    </w:p>
    <w:p>
      <w:pPr>
        <w:pStyle w:val="BodyText"/>
      </w:pPr>
      <w:r>
        <w:rPr>
          <w:bCs/>
          <w:b/>
        </w:rPr>
        <w:t xml:space="preserve">Tuzak:</w:t>
      </w:r>
      <w:r>
        <w:t xml:space="preserve"> </w:t>
      </w:r>
      <w:r>
        <w:t xml:space="preserve">Yeniden satış sonrası satıcıya gönderilen payı kâr paylaşımı sayıp kıymet dışında bırakan aday 230.000’e, sözleşmedeki giderleri düşmeden payı hesaplayan aday 298.000’e kayar.</w:t>
      </w:r>
    </w:p>
    <w:p>
      <w:pPr>
        <w:pStyle w:val="BodyText"/>
      </w:pPr>
      <w:r>
        <w:rPr>
          <w:bCs/>
          <w:b/>
        </w:rPr>
        <w:t xml:space="preserve">Dayanak:</w:t>
      </w:r>
      <w:r>
        <w:t xml:space="preserve"> </w:t>
      </w:r>
      <w:r>
        <w:t xml:space="preserve">4458 sayılı Gümrük Kanunu md. 27/1-d (yeniden satış hasılatının satıcıya intikal eden kısmı), 27/1-e</w:t>
      </w:r>
    </w:p>
    <w:bookmarkEnd w:id="84"/>
    <w:bookmarkStart w:id="85" w:name="soru-cevap-d-11"/>
    <w:p>
      <w:pPr>
        <w:pStyle w:val="Heading4"/>
      </w:pPr>
      <w:r>
        <w:t xml:space="preserve">64. soru — Cevap: D</w:t>
      </w:r>
    </w:p>
    <w:p>
      <w:pPr>
        <w:pStyle w:val="FirstParagraph"/>
      </w:pPr>
      <w:r>
        <w:rPr>
          <w:iCs/>
          <w:i/>
        </w:rPr>
        <w:t xml:space="preserve">HESAP · Hesap · H6</w:t>
      </w:r>
    </w:p>
    <w:p>
      <w:pPr>
        <w:pStyle w:val="BodyText"/>
      </w:pPr>
      <w:r>
        <w:rPr>
          <w:bCs/>
          <w:b/>
        </w:rPr>
        <w:t xml:space="preserve">Doğru şık:</w:t>
      </w:r>
      <w:r>
        <w:t xml:space="preserve"> </w:t>
      </w:r>
      <w:r>
        <w:t xml:space="preserve">D) 3.095.000</w:t>
      </w:r>
    </w:p>
    <w:p>
      <w:pPr>
        <w:pStyle w:val="BodyText"/>
      </w:pPr>
      <w:r>
        <w:t xml:space="preserve">Çözüm: Kendi kendini taşıyan eşyada giriş yerine kadar taşıma gideri, eşyanın kendi gücüyle getirilmesi için fiilen yapılan masraflardır (yakıt, personel, yol üzerindeki liman giderleri). Bedel 3.000.000 + akaryakıt 60.000 + mürettebat ücreti 25.000 + Valletta liman ücreti 4.000 + yolculuk sigortası 6.000 (hepsi dahil; giriş yerine kadar taşıma ve sigorta) = 3.095.000 Avro. Tuzla’ya varıştan sonra tescile kadar ödenen bağlama ücreti (3.000) ve Türkiye’de yaptırılan klas sörvey (8.000) giriş yerinden sonraki giderlerdir; kıymete eklenmez.</w:t>
      </w:r>
      <w:r>
        <w:t xml:space="preserve"> </w:t>
      </w:r>
      <w:r>
        <w:t xml:space="preserve">Şık türetimleri: 3.070.000 → navlun faturası bulunmadığından mürettebat ücreti taşıma gideri sayılmamış · 3.089.000 → römorkörün yolculuk sigortası eklenmemiş · 3.091.000 → yol üzerindeki Valletta liman ücreti taşıma gideri sayılmayıp eklenmemiş · 3.095.000 → doğru · 3.098.000 → Tuzla’ya varıştan sonra tescile kadar ödenen bağlama ücreti, KDV matrahındaki tescil kesim çizgisiyle karıştırılarak kıymete eklenmiş.</w:t>
      </w:r>
    </w:p>
    <w:p>
      <w:pPr>
        <w:pStyle w:val="BodyText"/>
      </w:pPr>
      <w:r>
        <w:rPr>
          <w:bCs/>
          <w:b/>
        </w:rPr>
        <w:t xml:space="preserve">Tuzak:</w:t>
      </w:r>
      <w:r>
        <w:t xml:space="preserve"> </w:t>
      </w:r>
      <w:r>
        <w:t xml:space="preserve">Kendi gücüyle gelen taşıtta navlun faturası bulunmadığı için mürettebat ücretini taşıma gideri saymayan aday 3.070.000’e, Tuzla’da tescile kadar ödenen bağlama ücretini kıymete katan aday 3.098.000’e kayar.</w:t>
      </w:r>
    </w:p>
    <w:p>
      <w:pPr>
        <w:pStyle w:val="BodyText"/>
      </w:pPr>
      <w:r>
        <w:rPr>
          <w:bCs/>
          <w:b/>
        </w:rPr>
        <w:t xml:space="preserve">Dayanak:</w:t>
      </w:r>
      <w:r>
        <w:t xml:space="preserve"> </w:t>
      </w:r>
      <w:r>
        <w:t xml:space="preserve">4458 sayılı Gümrük Kanunu md. 27/1-e (giriş yerine kadar taşıma ve sigorta giderleri), md. 28 (giriş yerinden sonraki giderler)</w:t>
      </w:r>
    </w:p>
    <w:bookmarkEnd w:id="85"/>
    <w:bookmarkStart w:id="86" w:name="soru-cevap-d-12"/>
    <w:p>
      <w:pPr>
        <w:pStyle w:val="Heading4"/>
      </w:pPr>
      <w:r>
        <w:t xml:space="preserve">65. soru — Cevap: D</w:t>
      </w:r>
    </w:p>
    <w:p>
      <w:pPr>
        <w:pStyle w:val="FirstParagraph"/>
      </w:pPr>
      <w:r>
        <w:rPr>
          <w:iCs/>
          <w:i/>
        </w:rPr>
        <w:t xml:space="preserve">HESAP · Hesap · H6</w:t>
      </w:r>
    </w:p>
    <w:p>
      <w:pPr>
        <w:pStyle w:val="BodyText"/>
      </w:pPr>
      <w:r>
        <w:rPr>
          <w:bCs/>
          <w:b/>
        </w:rPr>
        <w:t xml:space="preserve">Doğru şık:</w:t>
      </w:r>
      <w:r>
        <w:t xml:space="preserve"> </w:t>
      </w:r>
      <w:r>
        <w:t xml:space="preserve">D) 220.000</w:t>
      </w:r>
    </w:p>
    <w:p>
      <w:pPr>
        <w:pStyle w:val="BodyText"/>
      </w:pPr>
      <w:r>
        <w:t xml:space="preserve">Çözüm: CIF bedel 200.000 · satıcının talebi ve satış koşulu gereği üçüncü kişiye (Z) ödenen patent royaltisi 1.000 × 8 = 8.000 (dahil; ödemenin satıcı dışındaki hak sahibine yapılması sonucu değiştirmez) · satış koşulu olan ve ithal setlerin satış hasılatına bağlı hesaplanan marka lisansı 240.000 × %5 = 12.000 (dahil) · ithal edilen setlerle ilgisi olmayan dental ürün markası için ödeme 15.000 (hariç; değeri belirlenen eşyaya ilişkin değil) · satıştan bağımsız, üçüncü kişiden alınan yazılım lisansı 5.000 (hariç; satış şartı değil). Kıymet = 220.000 ABD Doları.</w:t>
      </w:r>
      <w:r>
        <w:t xml:space="preserve"> </w:t>
      </w:r>
      <w:r>
        <w:t xml:space="preserve">Şık türetimleri: 200.000 → royalti ve lisans ödemelerinin eşya bedelinden ayrı olduğu düşünülerek hiçbiri eklenmemiş · 208.000 → hasılata bağlı marka lisansı, tutarı ithalattan sonra belli olduğu için eklenmemiş · 212.000 → satıcıya değil üçüncü kişiye ödendiği için patent royaltisi eklenmemiş · 220.000 → doğru · 235.000 → ithal eşyasıyla ilgisi olmayan dental ürün markası ödemesi eklenmiş.</w:t>
      </w:r>
    </w:p>
    <w:p>
      <w:pPr>
        <w:pStyle w:val="BodyText"/>
      </w:pPr>
      <w:r>
        <w:rPr>
          <w:bCs/>
          <w:b/>
        </w:rPr>
        <w:t xml:space="preserve">Tuzak:</w:t>
      </w:r>
      <w:r>
        <w:t xml:space="preserve"> </w:t>
      </w:r>
      <w:r>
        <w:t xml:space="preserve">Royaltinin yalnız satıcıya ödendiğinde ekleneceğini sanan aday 212.000’e, satıcıya yapılan her lisans ödemesini ekleyen aday 235.000’e kayar.</w:t>
      </w:r>
    </w:p>
    <w:p>
      <w:pPr>
        <w:pStyle w:val="BodyText"/>
      </w:pPr>
      <w:r>
        <w:rPr>
          <w:bCs/>
          <w:b/>
        </w:rPr>
        <w:t xml:space="preserve">Dayanak:</w:t>
      </w:r>
      <w:r>
        <w:t xml:space="preserve"> </w:t>
      </w:r>
      <w:r>
        <w:t xml:space="preserve">4458 sayılı Gümrük Kanunu md. 27/1-c (değeri belirlenen eşyaya ilişkin, satış şartı olarak doğrudan veya dolaylı ödenen royalti ve lisans ücretleri)</w:t>
      </w:r>
    </w:p>
    <w:bookmarkEnd w:id="86"/>
    <w:bookmarkStart w:id="87" w:name="soru-cevap-c-11"/>
    <w:p>
      <w:pPr>
        <w:pStyle w:val="Heading4"/>
      </w:pPr>
      <w:r>
        <w:t xml:space="preserve">66. soru — Cevap: C</w:t>
      </w:r>
    </w:p>
    <w:p>
      <w:pPr>
        <w:pStyle w:val="FirstParagraph"/>
      </w:pPr>
      <w:r>
        <w:rPr>
          <w:iCs/>
          <w:i/>
        </w:rPr>
        <w:t xml:space="preserve">HESAP · Hesap · H1</w:t>
      </w:r>
    </w:p>
    <w:p>
      <w:pPr>
        <w:pStyle w:val="BodyText"/>
      </w:pPr>
      <w:r>
        <w:rPr>
          <w:bCs/>
          <w:b/>
        </w:rPr>
        <w:t xml:space="preserve">Doğru şık:</w:t>
      </w:r>
      <w:r>
        <w:t xml:space="preserve"> </w:t>
      </w:r>
      <w:r>
        <w:t xml:space="preserve">C) 25.856.000</w:t>
      </w:r>
    </w:p>
    <w:p>
      <w:pPr>
        <w:pStyle w:val="BodyText"/>
      </w:pPr>
      <w:r>
        <w:t xml:space="preserve">Çözüm (ABD Doları): CFR fiyatı 50 × 16.000 = 800.000 (dahil; avans da fiilen ödenen fiyatın parçasıdır) · CFR teslimde navlun fiyatın içindedir, sigorta içinde değildir; ayrıca ödenen nakliye sigortası 2.000 (dahil) · satıcıya ayrıca ödenen boyama bedeli 6.000 (dahil; eşya için satıcıya yapılan ödeme) · ithalat sonrası Türkiye’de verilecek eğitim 3.000 (hariç; ayrıca gösterilmiş) · Gemlik’te tahliye (hariç; giriş yerinden sonra) · banka transfer masrafı (hariç). Toplam 808.000 ABD Doları, tamamı beyannamenin tescil tarihindeki kurla çevrilir: 808.000 × 32 = 25.856.000 TL.</w:t>
      </w:r>
      <w:r>
        <w:t xml:space="preserve"> </w:t>
      </w:r>
      <w:r>
        <w:t xml:space="preserve">Şık türetimleri: 25.456.000 → avansla ödenen 200.000 ABD Doları ödeme tarihindeki 30 TL kuruyla çevrilmiş (6.000.000 + 608.000 × 32) · 25.792.000 → CFR teslim CIF sanılıp sigorta eklenmemiş · 25.856.000 → doğru · 25.896.000 → tescil öncesi tahliye ücreti eklenmiş · 25.952.000 → ithalat sonrası eğitim bedeli (3.000 × 32) eklenmiş.</w:t>
      </w:r>
    </w:p>
    <w:p>
      <w:pPr>
        <w:pStyle w:val="BodyText"/>
      </w:pPr>
      <w:r>
        <w:rPr>
          <w:bCs/>
          <w:b/>
        </w:rPr>
        <w:t xml:space="preserve">Tuzak:</w:t>
      </w:r>
      <w:r>
        <w:t xml:space="preserve"> </w:t>
      </w:r>
      <w:r>
        <w:t xml:space="preserve">Avans kısmını ödeme günündeki kurla çeviren aday 25.456.000’e, CFR’yi CIF gibi okuyup sigortayı eklemeyen aday 25.792.000’e kayar.</w:t>
      </w:r>
    </w:p>
    <w:p>
      <w:pPr>
        <w:pStyle w:val="BodyText"/>
      </w:pPr>
      <w:r>
        <w:rPr>
          <w:bCs/>
          <w:b/>
        </w:rPr>
        <w:t xml:space="preserve">Dayanak:</w:t>
      </w:r>
      <w:r>
        <w:t xml:space="preserve"> </w:t>
      </w:r>
      <w:r>
        <w:t xml:space="preserve">4458 sayılı Gümrük Kanunu md. 24, 27/1-e, 28; dövizin beyannamenin tescil tarihindeki kurla çevrilmesi kuralı</w:t>
      </w:r>
    </w:p>
    <w:bookmarkEnd w:id="87"/>
    <w:bookmarkStart w:id="88" w:name="soru-cevap-d-13"/>
    <w:p>
      <w:pPr>
        <w:pStyle w:val="Heading4"/>
      </w:pPr>
      <w:r>
        <w:t xml:space="preserve">67. soru — Cevap: D</w:t>
      </w:r>
    </w:p>
    <w:p>
      <w:pPr>
        <w:pStyle w:val="FirstParagraph"/>
      </w:pPr>
      <w:r>
        <w:rPr>
          <w:iCs/>
          <w:i/>
        </w:rPr>
        <w:t xml:space="preserve">HESAP · Hesap · H1</w:t>
      </w:r>
    </w:p>
    <w:p>
      <w:pPr>
        <w:pStyle w:val="BodyText"/>
      </w:pPr>
      <w:r>
        <w:rPr>
          <w:bCs/>
          <w:b/>
        </w:rPr>
        <w:t xml:space="preserve">Doğru şık:</w:t>
      </w:r>
      <w:r>
        <w:t xml:space="preserve"> </w:t>
      </w:r>
      <w:r>
        <w:t xml:space="preserve">D) 20.520.000</w:t>
      </w:r>
    </w:p>
    <w:p>
      <w:pPr>
        <w:pStyle w:val="BodyText"/>
      </w:pPr>
      <w:r>
        <w:t xml:space="preserve">Çözüm (Avro): DAP Kapıkule fiyatı 40 × 25.000 = 1.000.000 (dahil; giriş yerine kadar taşıma fiyatın içinde) · satış şartı olarak satıcıya ödenen kabul testi bedeli 5.000 (dahil; fiilen ödenen fiyatın parçası) · bedelsiz sağlanan kalıplar 20.000 (dahil; üretimde kullanılan kalıp, assist) · kalıpların satıcıya taşınma bedeli 1.000 (dahil; assist’in satıcıya ulaştırılma maliyeti) · Kapıkule–Halkalı taşıması 4.000 (hariç; giriş yerinden sonra) · depolama, tahliye, Bursa nakliyesi (hariç) · ithalat sonrası montaj 10.000 (hariç; ayrıca gösterilmiş). Kıymet = 1.026.000 Avro × 20 = 20.520.000 TL.</w:t>
      </w:r>
      <w:r>
        <w:t xml:space="preserve"> </w:t>
      </w:r>
      <w:r>
        <w:t xml:space="preserve">Şık türetimleri: 20.120.000 → kalıp bedeli eklenmemiş, yalnız taşıması eklenmiş · 20.420.000 → satıcıya ödenen kabul testi bedeli eklenmemiş · 20.500.000 → kalıpların satıcıya taşınma bedeli eklenmemiş · 20.520.000 → doğru · 20.600.000 → giriş yerinden sonraki Kapıkule–Halkalı taşıması eklenmiş.</w:t>
      </w:r>
    </w:p>
    <w:p>
      <w:pPr>
        <w:pStyle w:val="BodyText"/>
      </w:pPr>
      <w:r>
        <w:rPr>
          <w:bCs/>
          <w:b/>
        </w:rPr>
        <w:t xml:space="preserve">Tuzak:</w:t>
      </w:r>
      <w:r>
        <w:t xml:space="preserve"> </w:t>
      </w:r>
      <w:r>
        <w:t xml:space="preserve">Assist’in satıcıya taşınma bedelini unutan aday 20.500.000’e, Kapıkule’den sonraki taşımayı navlun sayarak kıymete katan aday 20.600.000’e kayar.</w:t>
      </w:r>
    </w:p>
    <w:p>
      <w:pPr>
        <w:pStyle w:val="BodyText"/>
      </w:pPr>
      <w:r>
        <w:rPr>
          <w:bCs/>
          <w:b/>
        </w:rPr>
        <w:t xml:space="preserve">Dayanak:</w:t>
      </w:r>
      <w:r>
        <w:t xml:space="preserve"> </w:t>
      </w:r>
      <w:r>
        <w:t xml:space="preserve">4458 sayılı Gümrük Kanunu md. 24, 27/1-b (kalıp; assist), 27/1-e (giriş yerine kadar taşıma), 28</w:t>
      </w:r>
    </w:p>
    <w:bookmarkEnd w:id="88"/>
    <w:bookmarkStart w:id="89" w:name="soru-cevap-b-13"/>
    <w:p>
      <w:pPr>
        <w:pStyle w:val="Heading4"/>
      </w:pPr>
      <w:r>
        <w:t xml:space="preserve">68. soru — Cevap: B</w:t>
      </w:r>
    </w:p>
    <w:p>
      <w:pPr>
        <w:pStyle w:val="FirstParagraph"/>
      </w:pPr>
      <w:r>
        <w:rPr>
          <w:iCs/>
          <w:i/>
        </w:rPr>
        <w:t xml:space="preserve">HESAP · Hesap · H2</w:t>
      </w:r>
    </w:p>
    <w:p>
      <w:pPr>
        <w:pStyle w:val="BodyText"/>
      </w:pPr>
      <w:r>
        <w:rPr>
          <w:bCs/>
          <w:b/>
        </w:rPr>
        <w:t xml:space="preserve">Doğru şık:</w:t>
      </w:r>
      <w:r>
        <w:t xml:space="preserve"> </w:t>
      </w:r>
      <w:r>
        <w:t xml:space="preserve">B) 20.642.000</w:t>
      </w:r>
    </w:p>
    <w:p>
      <w:pPr>
        <w:pStyle w:val="BodyText"/>
      </w:pPr>
      <w:r>
        <w:t xml:space="preserve">KDV matrahı = gümrük kıymeti 20.520.000 + giriş yerinden sonra ancak tescilden önce ödenen Kapıkule–Halkalı taşıması 80.000 (4.000 × 20) + tescil öncesine ait depolama 30.000 + tescilden önce ödenen tahliye 12.000 = 20.642.000 TL (KDVK md. 21: gümrük beyannamesinin tescil tarihine kadar yapılan diğer giderler). Tescil sonrasına ait depolama (20.000), tescilden sonraki Bursa nakliyesi (40.000) ve ithalat sonrası montaj matraha girmez.</w:t>
      </w:r>
      <w:r>
        <w:t xml:space="preserve"> </w:t>
      </w:r>
      <w:r>
        <w:t xml:space="preserve">Şık türetimleri: 20.562.000 → giriş yerinden sonra yapıldığı için kıymete girmeyen Kapıkule–Halkalı taşımasının KDV matrahına da girmeyeceği sanılmış (80.000 eksik) · 20.642.000 → doğru · 20.662.000 → depolamanın tescil sonrasına ait kısmı da eklenmiş · 20.682.000 → tescilden sonraki Bursa nakliyesi eklenmiş · 20.842.000 → ithalat sonrası montaj (10.000 × 20) eklenmiş.</w:t>
      </w:r>
    </w:p>
    <w:p>
      <w:pPr>
        <w:pStyle w:val="BodyText"/>
      </w:pPr>
      <w:r>
        <w:rPr>
          <w:bCs/>
          <w:b/>
        </w:rPr>
        <w:t xml:space="preserve">Tuzak:</w:t>
      </w:r>
      <w:r>
        <w:t xml:space="preserve"> </w:t>
      </w:r>
      <w:r>
        <w:t xml:space="preserve">Kıymete girmeyen Kapıkule–Halkalı taşımasını KDV matrahının da dışında bırakan aday 20.562.000’e, depolama ve taşıma giderlerini tescil tarihine göre ayırmadan tümüyle ekleyen aday 20.662.000 ya da 20.682.000’e kayar.</w:t>
      </w:r>
    </w:p>
    <w:p>
      <w:pPr>
        <w:pStyle w:val="BodyText"/>
      </w:pPr>
      <w:r>
        <w:rPr>
          <w:bCs/>
          <w:b/>
        </w:rPr>
        <w:t xml:space="preserve">Dayanak:</w:t>
      </w:r>
      <w:r>
        <w:t xml:space="preserve"> </w:t>
      </w:r>
      <w:r>
        <w:t xml:space="preserve">3065 sayılı KDV Kanunu md. 21</w:t>
      </w:r>
    </w:p>
    <w:bookmarkEnd w:id="89"/>
    <w:bookmarkStart w:id="90" w:name="soru-cevap-c-12"/>
    <w:p>
      <w:pPr>
        <w:pStyle w:val="Heading4"/>
      </w:pPr>
      <w:r>
        <w:t xml:space="preserve">69. soru — Cevap: C</w:t>
      </w:r>
    </w:p>
    <w:p>
      <w:pPr>
        <w:pStyle w:val="FirstParagraph"/>
      </w:pPr>
      <w:r>
        <w:rPr>
          <w:iCs/>
          <w:i/>
        </w:rPr>
        <w:t xml:space="preserve">HESAP · Hesap · H8</w:t>
      </w:r>
    </w:p>
    <w:p>
      <w:pPr>
        <w:pStyle w:val="BodyText"/>
      </w:pPr>
      <w:r>
        <w:rPr>
          <w:bCs/>
          <w:b/>
        </w:rPr>
        <w:t xml:space="preserve">Doğru şık:</w:t>
      </w:r>
      <w:r>
        <w:t xml:space="preserve"> </w:t>
      </w:r>
      <w:r>
        <w:t xml:space="preserve">C) 684.000</w:t>
      </w:r>
    </w:p>
    <w:p>
      <w:pPr>
        <w:pStyle w:val="BodyText"/>
      </w:pPr>
      <w:r>
        <w:t xml:space="preserve">Çözüm: GK 133/1 uyarınca kısmi muafiyetle geçici ithal edilen eşyadan, rejimden yararlanılan her ay için, beyannamenin tescil tarihinde serbest dolaşıma girmiş olsaydı alınacak vergilerin %3’ü alınır; bir aydan az süreler tam ay sayılır. GK 133/2 uyarınca alınacak tutar, uygulanacak faizler hariç, eşyanın rejime tabi tutulduğu tarihte serbest dolaşıma girmesi hâlinde alınacak vergileri aşamaz; sınır her eşyanın kendi vergisi itibarıyla uygulanır. Eşya tescil günü teslim edildiğinden süre hesabı (GY 379/3) 10/02/2023’ten başlar. Tünel açma makinesi: vergi 7.500.000 × %8 = 600.000; aylık 18.000; 10/02/2023–22/12/2025 = 34 ay 12 gün → 35 ay → 630.000, vergiyi aştığından 600.000 (tavan). Yirmi dört ayı aşan süre uzatımı GY 380/3-(b) (yirmi dört aydan uzun süreli yatırımlarda kullanılan eşya) kapsamındadır. Beton santrali: vergi 2.500.000 × %8 = 200.000; aylık 6.000; 10/02/2023–25/03/2024 = 13 ay 15 gün → 14 ay → 84.000. Toplam = 600.000 + 84.000 = 684.000. Teminat bilgisi (GY 385/2) hesaba etki etmez. Şık türetimleri: 684.000 → doğru tutar. 516.000 → makinenin rejim süresi azami 24 ay sanılmış (432.000 + 84.000). 678.000 → ay kesirleri dikkate alınmamış (makine 34 ay = 612.000, tavanla 600.000; santral 13 ay = 78.000). 714.000 → tavan uygulanmamış (630.000 + 84.000). 800.000 → kısmi muafiyet dikkate alınmayıp vergilerin tamamı alınmış (600.000 + 200.000).</w:t>
      </w:r>
    </w:p>
    <w:p>
      <w:pPr>
        <w:pStyle w:val="BodyText"/>
      </w:pPr>
      <w:r>
        <w:rPr>
          <w:bCs/>
          <w:b/>
        </w:rPr>
        <w:t xml:space="preserve">Tuzak:</w:t>
      </w:r>
      <w:r>
        <w:t xml:space="preserve"> </w:t>
      </w:r>
      <w:r>
        <w:t xml:space="preserve">Ay kesirlerini doğru tamamlayıp</w:t>
      </w:r>
      <w:r>
        <w:t xml:space="preserve"> </w:t>
      </w:r>
      <w:r>
        <w:t xml:space="preserve">‘</w:t>
      </w:r>
      <w:r>
        <w:t xml:space="preserve">vergileri aşamaz</w:t>
      </w:r>
      <w:r>
        <w:t xml:space="preserve">’</w:t>
      </w:r>
      <w:r>
        <w:t xml:space="preserve"> </w:t>
      </w:r>
      <w:r>
        <w:t xml:space="preserve">sınırını unutan aday 714.000’e, kısmi muafiyette vergilerin tamamının alınacağını sanan aday 800.000’e kayar.</w:t>
      </w:r>
    </w:p>
    <w:p>
      <w:pPr>
        <w:pStyle w:val="BodyText"/>
      </w:pPr>
      <w:r>
        <w:rPr>
          <w:bCs/>
          <w:b/>
        </w:rPr>
        <w:t xml:space="preserve">Dayanak:</w:t>
      </w:r>
      <w:r>
        <w:t xml:space="preserve"> </w:t>
      </w:r>
      <w:r>
        <w:t xml:space="preserve">4458 sayılı Gümrük Kanunu md. 133/1-2; Gümrük Yönetmeliği md. 380/3-(b) ve 385/2</w:t>
      </w:r>
    </w:p>
    <w:bookmarkEnd w:id="90"/>
    <w:bookmarkStart w:id="91" w:name="soru-cevap-c-13"/>
    <w:p>
      <w:pPr>
        <w:pStyle w:val="Heading4"/>
      </w:pPr>
      <w:r>
        <w:t xml:space="preserve">70. soru — Cevap: C</w:t>
      </w:r>
    </w:p>
    <w:p>
      <w:pPr>
        <w:pStyle w:val="FirstParagraph"/>
      </w:pPr>
      <w:r>
        <w:rPr>
          <w:iCs/>
          <w:i/>
        </w:rPr>
        <w:t xml:space="preserve">SAİR · İhracat rejimi · B1</w:t>
      </w:r>
    </w:p>
    <w:p>
      <w:pPr>
        <w:pStyle w:val="BodyText"/>
      </w:pPr>
      <w:r>
        <w:rPr>
          <w:bCs/>
          <w:b/>
        </w:rPr>
        <w:t xml:space="preserve">Doğru şık:</w:t>
      </w:r>
      <w:r>
        <w:t xml:space="preserve"> </w:t>
      </w:r>
      <w:r>
        <w:t xml:space="preserve">C) %10 – 6</w:t>
      </w:r>
    </w:p>
    <w:p>
      <w:pPr>
        <w:pStyle w:val="BodyText"/>
      </w:pPr>
      <w:r>
        <w:t xml:space="preserve">İhracat sayılan satış ve teslimlere ilişkin dahilde işleme izin belgelerinde, gerçekleştirilen satış ve teslim değerinin taahhüde oranının en az %10 olması ve belge süresi sonundan itibaren üç ay içinde elektronik ortamda Bakanlığa başvurulması hâlinde, toplam altı ayı geçmemek üzere belge orijinal süresinin yarısı kadar ek süre verilebilir. %25 oranı, Dahilde İşleme Rejimi Tebliğinde performansa dayalı ek süre için aranan orandır; üç ay ilk ithalat tarihine göre verilen ek sürenin, on iki ay ise azami belge süresinin değeridir.</w:t>
      </w:r>
    </w:p>
    <w:p>
      <w:pPr>
        <w:pStyle w:val="BodyText"/>
      </w:pPr>
      <w:r>
        <w:rPr>
          <w:bCs/>
          <w:b/>
        </w:rPr>
        <w:t xml:space="preserve">Tuzak:</w:t>
      </w:r>
      <w:r>
        <w:t xml:space="preserve"> </w:t>
      </w:r>
      <w:r>
        <w:t xml:space="preserve">Aday Dahilde İşleme Rejimi Tebliğindeki %25 performans oranını ihracat sayılan satış ve teslimlere taşır.</w:t>
      </w:r>
    </w:p>
    <w:p>
      <w:pPr>
        <w:pStyle w:val="BodyText"/>
      </w:pPr>
      <w:r>
        <w:rPr>
          <w:bCs/>
          <w:b/>
        </w:rPr>
        <w:t xml:space="preserve">Dayanak:</w:t>
      </w:r>
      <w:r>
        <w:t xml:space="preserve"> </w:t>
      </w:r>
      <w:r>
        <w:t xml:space="preserve">İhracat Sayılan Satış ve Teslimler Hakkında Tebliğ (İhracat: 2005/2) md. 7 ve md. 8 (31.12.2014 tarihli değişiklikle); DİR Tebliği md. 22/2 (çeldirici)</w:t>
      </w:r>
    </w:p>
    <w:bookmarkEnd w:id="91"/>
    <w:bookmarkStart w:id="92" w:name="soru-cevap-a-14"/>
    <w:p>
      <w:pPr>
        <w:pStyle w:val="Heading4"/>
      </w:pPr>
      <w:r>
        <w:t xml:space="preserve">71. soru — Cevap: A</w:t>
      </w:r>
    </w:p>
    <w:p>
      <w:pPr>
        <w:pStyle w:val="FirstParagraph"/>
      </w:pPr>
      <w:r>
        <w:rPr>
          <w:iCs/>
          <w:i/>
        </w:rPr>
        <w:t xml:space="preserve">SAİR · İhracat rejimi · O1</w:t>
      </w:r>
    </w:p>
    <w:p>
      <w:pPr>
        <w:pStyle w:val="BodyText"/>
      </w:pPr>
      <w:r>
        <w:rPr>
          <w:bCs/>
          <w:b/>
        </w:rPr>
        <w:t xml:space="preserve">Doğru şık:</w:t>
      </w:r>
      <w:r>
        <w:t xml:space="preserve"> </w:t>
      </w:r>
      <w:r>
        <w:t xml:space="preserve">A) Ticari kiralama yoluyla yapılacak ihracat</w:t>
      </w:r>
    </w:p>
    <w:p>
      <w:pPr>
        <w:pStyle w:val="BodyText"/>
      </w:pPr>
      <w:r>
        <w:t xml:space="preserve">Yönetmeliğin</w:t>
      </w:r>
      <w:r>
        <w:t xml:space="preserve"> </w:t>
      </w:r>
      <w:r>
        <w:t xml:space="preserve">“</w:t>
      </w:r>
      <w:r>
        <w:t xml:space="preserve">Diğer ihracat şekilleri ve transit ticaret</w:t>
      </w:r>
      <w:r>
        <w:t xml:space="preserve">”</w:t>
      </w:r>
      <w:r>
        <w:t xml:space="preserve"> </w:t>
      </w:r>
      <w:r>
        <w:t xml:space="preserve">maddesine göre kayda bağlı ihracat, bedelsiz ihracat, savunma sanayii dışındaki alanlarda offset kapsamında yapılacak ihracat ile yurt dışı müteahhitlik ve teknik müşavirlik kapsamında yapılacak ihracata ilişkin usul ve esaslar Bakanlıkça belirlenir. Ticari kiralama yoluyla yapılacak ihracat ise gümrük mevzuatı hükümlerine tabidir. Ticari kiralama, 12.07.2008 tarihli değişiklikten önceki metinde Bakanlıkça çıkarılacak tebliğlerle düzenlenecek ihracat şekilleri arasındaydı.</w:t>
      </w:r>
    </w:p>
    <w:p>
      <w:pPr>
        <w:pStyle w:val="BodyText"/>
      </w:pPr>
      <w:r>
        <w:rPr>
          <w:bCs/>
          <w:b/>
        </w:rPr>
        <w:t xml:space="preserve">Tuzak:</w:t>
      </w:r>
      <w:r>
        <w:t xml:space="preserve"> </w:t>
      </w:r>
      <w:r>
        <w:t xml:space="preserve">Eski metni bilen aday ticari kiralamayı hâlâ Bakanlık tebliğleriyle düzenlenen ihracat şekli sanır.</w:t>
      </w:r>
    </w:p>
    <w:p>
      <w:pPr>
        <w:pStyle w:val="BodyText"/>
      </w:pPr>
      <w:r>
        <w:rPr>
          <w:bCs/>
          <w:b/>
        </w:rPr>
        <w:t xml:space="preserve">Dayanak:</w:t>
      </w:r>
      <w:r>
        <w:t xml:space="preserve"> </w:t>
      </w:r>
      <w:r>
        <w:t xml:space="preserve">İhracat Yönetmeliği md. 13/1 ve 13/2 (12.07.2008 tarihli değişiklikle)</w:t>
      </w:r>
    </w:p>
    <w:bookmarkEnd w:id="92"/>
    <w:bookmarkStart w:id="93" w:name="soru-cevap-e-14"/>
    <w:p>
      <w:pPr>
        <w:pStyle w:val="Heading4"/>
      </w:pPr>
      <w:r>
        <w:t xml:space="preserve">72. soru — Cevap: E</w:t>
      </w:r>
    </w:p>
    <w:p>
      <w:pPr>
        <w:pStyle w:val="FirstParagraph"/>
      </w:pPr>
      <w:r>
        <w:rPr>
          <w:iCs/>
          <w:i/>
        </w:rPr>
        <w:t xml:space="preserve">SAİR · İhracat rejimi · Ö1</w:t>
      </w:r>
    </w:p>
    <w:p>
      <w:pPr>
        <w:pStyle w:val="BodyText"/>
      </w:pPr>
      <w:r>
        <w:rPr>
          <w:bCs/>
          <w:b/>
        </w:rPr>
        <w:t xml:space="preserve">Doğru şık:</w:t>
      </w:r>
      <w:r>
        <w:t xml:space="preserve"> </w:t>
      </w:r>
      <w:r>
        <w:t xml:space="preserve">E) I, II, III ve IV</w:t>
      </w:r>
    </w:p>
    <w:p>
      <w:pPr>
        <w:pStyle w:val="BodyText"/>
      </w:pPr>
      <w:r>
        <w:t xml:space="preserve">19.12.2025 tarihli Tebliğe göre statü için bir önceki takvim yılında en az 100 milyon ABD Doları (FOB) ihracat gerekir (I) ve statü, her yılın ocak ayının son gününe kadar başvurulması kaydıyla verilebilir veya yenilenebilir (II). Sahte ve yanıltıcı belgeyle statü alındığı tespit edilirse statü verildiği tarih itibarıyla geri alınır ve iki takvim yılı yeniden başvuru yapılamaz; diğer geri alma hâllerinde ise geri alma Resmî Gazete yayımı itibarıyla olur ve yasak süresi bir takvim yılıdır (III). Aracılı ihracatta, sözleşmede aksine hüküm yoksa imalatçı ve tedarikçi şirketler doğrudan ve münhasıran sorumludur (IV). Dört ifade de doğrudur.</w:t>
      </w:r>
    </w:p>
    <w:p>
      <w:pPr>
        <w:pStyle w:val="BodyText"/>
      </w:pPr>
      <w:r>
        <w:rPr>
          <w:bCs/>
          <w:b/>
        </w:rPr>
        <w:t xml:space="preserve">Tuzak:</w:t>
      </w:r>
      <w:r>
        <w:t xml:space="preserve"> </w:t>
      </w:r>
      <w:r>
        <w:t xml:space="preserve">Aday</w:t>
      </w:r>
      <w:r>
        <w:t xml:space="preserve"> </w:t>
      </w:r>
      <w:r>
        <w:t xml:space="preserve">“</w:t>
      </w:r>
      <w:r>
        <w:t xml:space="preserve">biri mutlaka yanlıştır</w:t>
      </w:r>
      <w:r>
        <w:t xml:space="preserve">”</w:t>
      </w:r>
      <w:r>
        <w:t xml:space="preserve"> </w:t>
      </w:r>
      <w:r>
        <w:t xml:space="preserve">önyargısıyla III’teki iki takvim yılı ile verildiği tarih itibarıyla geri almayı diğer geri alma hâlinin süresiyle karıştırır.</w:t>
      </w:r>
    </w:p>
    <w:p>
      <w:pPr>
        <w:pStyle w:val="BodyText"/>
      </w:pPr>
      <w:r>
        <w:rPr>
          <w:bCs/>
          <w:b/>
        </w:rPr>
        <w:t xml:space="preserve">Dayanak:</w:t>
      </w:r>
      <w:r>
        <w:t xml:space="preserve"> </w:t>
      </w:r>
      <w:r>
        <w:t xml:space="preserve">Dış Ticaret Sermaye Şirketi Statüsüne İlişkin Tebliğ (İhracat: 2025/7) md. 4/1, 4/2, 8/2, 9/1-a ve 9/2</w:t>
      </w:r>
    </w:p>
    <w:bookmarkEnd w:id="93"/>
    <w:bookmarkStart w:id="94" w:name="soru-cevap-d-14"/>
    <w:p>
      <w:pPr>
        <w:pStyle w:val="Heading4"/>
      </w:pPr>
      <w:r>
        <w:t xml:space="preserve">73. soru — Cevap: D</w:t>
      </w:r>
    </w:p>
    <w:p>
      <w:pPr>
        <w:pStyle w:val="FirstParagraph"/>
      </w:pPr>
      <w:r>
        <w:rPr>
          <w:iCs/>
          <w:i/>
        </w:rPr>
        <w:t xml:space="preserve">SAİR · İthalat rejimi · Ö1</w:t>
      </w:r>
    </w:p>
    <w:p>
      <w:pPr>
        <w:pStyle w:val="BodyText"/>
      </w:pPr>
      <w:r>
        <w:rPr>
          <w:bCs/>
          <w:b/>
        </w:rPr>
        <w:t xml:space="preserve">Doğru şık:</w:t>
      </w:r>
      <w:r>
        <w:t xml:space="preserve"> </w:t>
      </w:r>
      <w:r>
        <w:t xml:space="preserve">D) I, II ve IV</w:t>
      </w:r>
    </w:p>
    <w:p>
      <w:pPr>
        <w:pStyle w:val="BodyText"/>
      </w:pPr>
      <w:r>
        <w:t xml:space="preserve">Elektronik Kimlik Bilgisini Haiz Eşyanın İthalatı Hakkında Tebliğe göre IMEI numarası beyan edilmezse gümrük idaresince eşyanın IMEI numarası içerip içermediğine dair ayrıca araştırma yapılmaz (I doğru). Yurt İçinde Düzenlenen Uluslararası Fuarlara İlişkin Tebliğe göre yabancı ülke veya firmalar fuarlara yalnız teşhir amacıyla katılabilir ve perakende satış yapamaz (III yanlış); teşhir edilen malların fuar bitiminden sonra gümrük mevzuatı çerçevesinde kesin ithalatı yapılabilir (II doğru). Kullanılmış veya yenileştirilmiş eşyanın serbest dolaşıma giriş rejimine tabi tutulmak suretiyle ithalatı izne tabidir (IV doğru).</w:t>
      </w:r>
    </w:p>
    <w:p>
      <w:pPr>
        <w:pStyle w:val="BodyText"/>
      </w:pPr>
      <w:r>
        <w:rPr>
          <w:bCs/>
          <w:b/>
        </w:rPr>
        <w:t xml:space="preserve">Tuzak:</w:t>
      </w:r>
      <w:r>
        <w:t xml:space="preserve"> </w:t>
      </w:r>
      <w:r>
        <w:t xml:space="preserve">Aday I’deki</w:t>
      </w:r>
      <w:r>
        <w:t xml:space="preserve"> </w:t>
      </w:r>
      <w:r>
        <w:t xml:space="preserve">“</w:t>
      </w:r>
      <w:r>
        <w:t xml:space="preserve">araştırma yapılmaz</w:t>
      </w:r>
      <w:r>
        <w:t xml:space="preserve">”</w:t>
      </w:r>
      <w:r>
        <w:t xml:space="preserve"> </w:t>
      </w:r>
      <w:r>
        <w:t xml:space="preserve">ifadesini gümrük denetimini zayıflattığı için yanlış sanır; fuar hükmünde kesin ithalat ile perakende satışı karıştırır.</w:t>
      </w:r>
    </w:p>
    <w:p>
      <w:pPr>
        <w:pStyle w:val="BodyText"/>
      </w:pPr>
      <w:r>
        <w:rPr>
          <w:bCs/>
          <w:b/>
        </w:rPr>
        <w:t xml:space="preserve">Dayanak:</w:t>
      </w:r>
      <w:r>
        <w:t xml:space="preserve"> </w:t>
      </w:r>
      <w:r>
        <w:t xml:space="preserve">Yurt İçinde Düzenlenen Uluslararası Fuarlara İlişkin Tebliğ (İthalat: 2026/1) md. 3; Elektronik Kimlik Bilgisini Haiz Eşyanın İthalatı Hakkında Tebliğ md. 4/1; Kullanılmış veya Yenileştirilmiş Eşya İthalatına İlişkin Tebliğ md. 4/1</w:t>
      </w:r>
    </w:p>
    <w:bookmarkEnd w:id="94"/>
    <w:bookmarkStart w:id="95" w:name="soru-cevap-c-14"/>
    <w:p>
      <w:pPr>
        <w:pStyle w:val="Heading4"/>
      </w:pPr>
      <w:r>
        <w:t xml:space="preserve">74. soru — Cevap: C</w:t>
      </w:r>
    </w:p>
    <w:p>
      <w:pPr>
        <w:pStyle w:val="FirstParagraph"/>
      </w:pPr>
      <w:r>
        <w:rPr>
          <w:iCs/>
          <w:i/>
        </w:rPr>
        <w:t xml:space="preserve">SAİR · DİR (Ticaret) · O1</w:t>
      </w:r>
    </w:p>
    <w:p>
      <w:pPr>
        <w:pStyle w:val="BodyText"/>
      </w:pPr>
      <w:r>
        <w:rPr>
          <w:bCs/>
          <w:b/>
        </w:rPr>
        <w:t xml:space="preserve">Doğru şık:</w:t>
      </w:r>
      <w:r>
        <w:t xml:space="preserve"> </w:t>
      </w:r>
      <w:r>
        <w:t xml:space="preserve">C) Kesme çiçek yetiştirilmesinde kullanılacak fideler</w:t>
      </w:r>
    </w:p>
    <w:p>
      <w:pPr>
        <w:pStyle w:val="BodyText"/>
      </w:pPr>
      <w:r>
        <w:t xml:space="preserve">Tebliğe göre süs hayvanları, canlı balık (orkinos balığı ve larva hariç), küçük ve büyükbaş hayvanlar ile çevre kirliliğine neden olan eşyalar dahilde işleme rejimi kapsamında değerlendirilmez. Fide ithalatını müteakip ihraç edilmek üzere kesme çiçek yetiştirilmesi ise Tebliğde dahilde işleme izni verilecek işlemler arasında açıkça sayılmıştır.</w:t>
      </w:r>
    </w:p>
    <w:p>
      <w:pPr>
        <w:pStyle w:val="BodyText"/>
      </w:pPr>
      <w:r>
        <w:rPr>
          <w:bCs/>
          <w:b/>
        </w:rPr>
        <w:t xml:space="preserve">Tuzak:</w:t>
      </w:r>
      <w:r>
        <w:t xml:space="preserve"> </w:t>
      </w:r>
      <w:r>
        <w:t xml:space="preserve">Aday, canlı hayvanların rejim dışında olmasından hareketle bitkisel üretim materyali olan fideyi de kapsam dışı sanır.</w:t>
      </w:r>
    </w:p>
    <w:p>
      <w:pPr>
        <w:pStyle w:val="BodyText"/>
      </w:pPr>
      <w:r>
        <w:rPr>
          <w:bCs/>
          <w:b/>
        </w:rPr>
        <w:t xml:space="preserve">Dayanak:</w:t>
      </w:r>
      <w:r>
        <w:t xml:space="preserve"> </w:t>
      </w:r>
      <w:r>
        <w:t xml:space="preserve">Dahilde İşleme Rejimi Tebliği md. 17/2 ve md. 14/1-g</w:t>
      </w:r>
    </w:p>
    <w:bookmarkEnd w:id="95"/>
    <w:bookmarkStart w:id="96" w:name="soru-cevap-c-15"/>
    <w:p>
      <w:pPr>
        <w:pStyle w:val="Heading4"/>
      </w:pPr>
      <w:r>
        <w:t xml:space="preserve">75. soru — Cevap: C</w:t>
      </w:r>
    </w:p>
    <w:p>
      <w:pPr>
        <w:pStyle w:val="FirstParagraph"/>
      </w:pPr>
      <w:r>
        <w:rPr>
          <w:iCs/>
          <w:i/>
        </w:rPr>
        <w:t xml:space="preserve">SAİR · 1/95 OKK, Gümrük Birliği · Ö5</w:t>
      </w:r>
    </w:p>
    <w:p>
      <w:pPr>
        <w:pStyle w:val="BodyText"/>
      </w:pPr>
      <w:r>
        <w:rPr>
          <w:bCs/>
          <w:b/>
        </w:rPr>
        <w:t xml:space="preserve">Doğru şık:</w:t>
      </w:r>
      <w:r>
        <w:t xml:space="preserve"> </w:t>
      </w:r>
      <w:r>
        <w:t xml:space="preserve">C) I ve II</w:t>
      </w:r>
    </w:p>
    <w:p>
      <w:pPr>
        <w:pStyle w:val="BodyText"/>
      </w:pPr>
      <w:r>
        <w:t xml:space="preserve">Karara göre serbest dolaşımdaki eşya, Türkiye veya Toplulukta ithal işlemleri tamamlanmış, gümrük vergisi ve eş etkili vergileri tahsil edilmiş ve bunlar için tam veya kısmi iadeden yararlanmamış eşyadır; I bu tanıma uyar, IV ise vergileri tamamen iade edildiği için serbest dolaşımdaki eşya sayılmaz. Doğrudan nakil şartı, tek sevkiyat kapsamındaki eşyanın üçüncü ülkenin gümrük gözetiminde yalnızca boşaltma ve yeniden yüklemeye tabi tutularak aktarılmasıyla bozulmaz (II). İhraç ve dolaşım belgelerinden üçüncü ülkeye gönderileceği anlaşılan eşya için A.TR Dolaşım Belgesi onaylanamaz ve vize edilemez (III).</w:t>
      </w:r>
    </w:p>
    <w:p>
      <w:pPr>
        <w:pStyle w:val="BodyText"/>
      </w:pPr>
      <w:r>
        <w:rPr>
          <w:bCs/>
          <w:b/>
        </w:rPr>
        <w:t xml:space="preserve">Tuzak:</w:t>
      </w:r>
      <w:r>
        <w:t xml:space="preserve"> </w:t>
      </w:r>
      <w:r>
        <w:t xml:space="preserve">Aday üçüncü ülke üzerinden aktarmayı doğrudan nakil şartının ihlali sayar ya da bir kez serbest dolaşıma girmiş eşyanın sonradan vergi iadesi alsa da statüsünü koruduğunu düşünür.</w:t>
      </w:r>
    </w:p>
    <w:p>
      <w:pPr>
        <w:pStyle w:val="BodyText"/>
      </w:pPr>
      <w:r>
        <w:rPr>
          <w:bCs/>
          <w:b/>
        </w:rPr>
        <w:t xml:space="preserve">Dayanak:</w:t>
      </w:r>
      <w:r>
        <w:t xml:space="preserve"> </w:t>
      </w:r>
      <w:r>
        <w:t xml:space="preserve">2006/10895 sayılı Karar md. 3 (</w:t>
      </w:r>
      <w:r>
        <w:t xml:space="preserve">“</w:t>
      </w:r>
      <w:r>
        <w:t xml:space="preserve">serbest dolaşımdaki eşya</w:t>
      </w:r>
      <w:r>
        <w:t xml:space="preserve">”</w:t>
      </w:r>
      <w:r>
        <w:t xml:space="preserve"> </w:t>
      </w:r>
      <w:r>
        <w:t xml:space="preserve">tanımı), md. 5/1-2, md. 8/3, md. 10/2</w:t>
      </w:r>
    </w:p>
    <w:bookmarkEnd w:id="96"/>
    <w:bookmarkStart w:id="97" w:name="soru-cevap-b-14"/>
    <w:p>
      <w:pPr>
        <w:pStyle w:val="Heading4"/>
      </w:pPr>
      <w:r>
        <w:t xml:space="preserve">76. soru — Cevap: B</w:t>
      </w:r>
    </w:p>
    <w:p>
      <w:pPr>
        <w:pStyle w:val="FirstParagraph"/>
      </w:pPr>
      <w:r>
        <w:rPr>
          <w:iCs/>
          <w:i/>
        </w:rPr>
        <w:t xml:space="preserve">SAİR · Ürün güvenliği, TAREKS · O2</w:t>
      </w:r>
    </w:p>
    <w:p>
      <w:pPr>
        <w:pStyle w:val="BodyText"/>
      </w:pPr>
      <w:r>
        <w:rPr>
          <w:bCs/>
          <w:b/>
        </w:rPr>
        <w:t xml:space="preserve">Doğru şık:</w:t>
      </w:r>
      <w:r>
        <w:t xml:space="preserve"> </w:t>
      </w:r>
      <w:r>
        <w:t xml:space="preserve">B) Avrupa Birliği üyesi ülkelere ihraç edilen ürünler, 7223 sayılı Ürün Güvenliği ve Teknik Düzenlemeler Kanunu kapsamında piyasaya arz edilmiş sayılmaz.</w:t>
      </w:r>
    </w:p>
    <w:p>
      <w:pPr>
        <w:pStyle w:val="BodyText"/>
      </w:pPr>
      <w:r>
        <w:t xml:space="preserve">Yönetmeliğe göre Avrupa Birliği üyesi ülkelere ihraç edilen ürünler 7223 sayılı Kanunun 2 nci maddesinin ikinci fıkrası kapsamında piyasaya arz edilmiş sayılır ve denetimleri iç piyasada piyasa gözetimi ve denetimi yoluyla yapılır; şıkta hüküm tersine çevrilmiştir. Tarım ve gıda ürünlerinin ticaret denetmenlerince denetlenmesi, denetimin en geç yirmi dört saat içinde yapılması, dört takımı geçmeyen numune alınması ve AB dışına ihraç edilen ürünlere ilişkin güvenlik, tağşiş ve etiketleme zorunluluğu Yönetmelikte aynen yer alır.</w:t>
      </w:r>
    </w:p>
    <w:p>
      <w:pPr>
        <w:pStyle w:val="BodyText"/>
      </w:pPr>
      <w:r>
        <w:rPr>
          <w:bCs/>
          <w:b/>
        </w:rPr>
        <w:t xml:space="preserve">Tuzak:</w:t>
      </w:r>
      <w:r>
        <w:t xml:space="preserve"> </w:t>
      </w:r>
      <w:r>
        <w:t xml:space="preserve">Aday, AB dışı ülkelere yönelik özel düzenlemeyi görünce AB’ye ihracatın Kanun kapsamında olmadığını sanır.</w:t>
      </w:r>
    </w:p>
    <w:p>
      <w:pPr>
        <w:pStyle w:val="BodyText"/>
      </w:pPr>
      <w:r>
        <w:rPr>
          <w:bCs/>
          <w:b/>
        </w:rPr>
        <w:t xml:space="preserve">Dayanak:</w:t>
      </w:r>
      <w:r>
        <w:t xml:space="preserve"> </w:t>
      </w:r>
      <w:r>
        <w:t xml:space="preserve">Dış Ticarette Teknik Düzenlemeler ve Standardizasyon Yönetmeliği md. 5/1, 5/3, 5/4, 11/1, 12/1; Teknik Düzenlemeler Rejimi Kararı md. 8/1</w:t>
      </w:r>
    </w:p>
    <w:bookmarkEnd w:id="97"/>
    <w:bookmarkStart w:id="98" w:name="soru-cevap-d-15"/>
    <w:p>
      <w:pPr>
        <w:pStyle w:val="Heading4"/>
      </w:pPr>
      <w:r>
        <w:t xml:space="preserve">77. soru — Cevap: D</w:t>
      </w:r>
    </w:p>
    <w:p>
      <w:pPr>
        <w:pStyle w:val="FirstParagraph"/>
      </w:pPr>
      <w:r>
        <w:rPr>
          <w:iCs/>
          <w:i/>
        </w:rPr>
        <w:t xml:space="preserve">SAİR · Ürün güvenliği, TAREKS · D3</w:t>
      </w:r>
    </w:p>
    <w:p>
      <w:pPr>
        <w:pStyle w:val="BodyText"/>
      </w:pPr>
      <w:r>
        <w:rPr>
          <w:bCs/>
          <w:b/>
        </w:rPr>
        <w:t xml:space="preserve">Doğru şık:</w:t>
      </w:r>
      <w:r>
        <w:t xml:space="preserve"> </w:t>
      </w:r>
      <w:r>
        <w:t xml:space="preserve">D) Firmanın ithalatının veya ihracatının süreli veya süresiz durdurulması</w:t>
      </w:r>
    </w:p>
    <w:p>
      <w:pPr>
        <w:pStyle w:val="BodyText"/>
      </w:pPr>
      <w:r>
        <w:t xml:space="preserve">Karara göre müeyyidelerden yalnız firmanın ithalatının veya ihracatının süreli veya süresiz durdurulması ile uluslararası gözetim şirketlerinin faaliyetten men edilmesi veya statüsünün geri alınması Resmî Gazete’de yayımlanır. Yazılı uyarı, muafiyetlerden men ve taahhütname kapsamında %60 tahsil müeyyideleri ile uygunsuz ürünün imhası veya işlevsiz hâle getirilmesi önlemi için yayım öngörülmemiştir.</w:t>
      </w:r>
    </w:p>
    <w:p>
      <w:pPr>
        <w:pStyle w:val="BodyText"/>
      </w:pPr>
      <w:r>
        <w:rPr>
          <w:bCs/>
          <w:b/>
        </w:rPr>
        <w:t xml:space="preserve">Tuzak:</w:t>
      </w:r>
      <w:r>
        <w:t xml:space="preserve"> </w:t>
      </w:r>
      <w:r>
        <w:t xml:space="preserve">Aday en ağır görünen parasal müeyyidenin (%60 tahsil) ilan edileceğini düşünür.</w:t>
      </w:r>
    </w:p>
    <w:p>
      <w:pPr>
        <w:pStyle w:val="BodyText"/>
      </w:pPr>
      <w:r>
        <w:rPr>
          <w:bCs/>
          <w:b/>
        </w:rPr>
        <w:t xml:space="preserve">Dayanak:</w:t>
      </w:r>
      <w:r>
        <w:t xml:space="preserve"> </w:t>
      </w:r>
      <w:r>
        <w:t xml:space="preserve">Teknik Düzenlemeler Rejimi Kararı (2022/6038) md. 12/1 ve md. 13/1, 13/3</w:t>
      </w:r>
    </w:p>
    <w:bookmarkEnd w:id="98"/>
    <w:bookmarkStart w:id="99" w:name="soru-cevap-a-15"/>
    <w:p>
      <w:pPr>
        <w:pStyle w:val="Heading4"/>
      </w:pPr>
      <w:r>
        <w:t xml:space="preserve">78. soru — Cevap: A</w:t>
      </w:r>
    </w:p>
    <w:p>
      <w:pPr>
        <w:pStyle w:val="FirstParagraph"/>
      </w:pPr>
      <w:r>
        <w:rPr>
          <w:iCs/>
          <w:i/>
        </w:rPr>
        <w:t xml:space="preserve">SAİR · TIR, ATA · K1</w:t>
      </w:r>
    </w:p>
    <w:p>
      <w:pPr>
        <w:pStyle w:val="BodyText"/>
      </w:pPr>
      <w:r>
        <w:rPr>
          <w:bCs/>
          <w:b/>
        </w:rPr>
        <w:t xml:space="preserve">Doğru şık:</w:t>
      </w:r>
      <w:r>
        <w:t xml:space="preserve"> </w:t>
      </w:r>
      <w:r>
        <w:t xml:space="preserve">A) Geçici İthalat Sözleşmesi (İstanbul Sözleşmesi)</w:t>
      </w:r>
    </w:p>
    <w:p>
      <w:pPr>
        <w:pStyle w:val="BodyText"/>
      </w:pPr>
      <w:r>
        <w:t xml:space="preserve">Geçici İthalat Sözleşmesi, geçici kabule ilişkin çok sayıda sözleşmeyi tek metinde birleştirmek üzere 1990 yılında İstanbul’da Gümrük İşbirliği Konseyi (DGÖ) himayesinde kabul edildiğinden İstanbul Sözleşmesi olarak da anılır; Ek A geçici kabul belgelerini (ATA karnesi gibi), B1–B9 ekleri eşya gruplarını, Ek C taşıma araçlarını, Ek D hayvanları düzenler. Türkiye Sözleşmeyi ve eklerini 5108 sayılı Kanunla onaylamayı uygun bulmuş ve 2004/7905 sayılı Bakanlar Kurulu Kararıyla çekincelerle onaylamıştır. 1961 tarihli ATA Sözleşmesi yalnız ATA karnesinin kullanımını düzenler ve eşya gruplarına, taşıma araçlarına ve hayvanlara ilişkin ekler içermez; Revize Kyoto Sözleşmesi gümrük işlemlerinin basitleştirilmesine, TIR Sözleşmesi karnelerle uluslararası taşımaya, Armonize Sistem Sözleşmesi ise eşyanın sınıflandırılmasına ilişkindir.</w:t>
      </w:r>
    </w:p>
    <w:p>
      <w:pPr>
        <w:pStyle w:val="BodyText"/>
      </w:pPr>
      <w:r>
        <w:rPr>
          <w:bCs/>
          <w:b/>
        </w:rPr>
        <w:t xml:space="preserve">Tuzak:</w:t>
      </w:r>
      <w:r>
        <w:t xml:space="preserve"> </w:t>
      </w:r>
      <w:r>
        <w:t xml:space="preserve">Kökteki</w:t>
      </w:r>
      <w:r>
        <w:t xml:space="preserve"> </w:t>
      </w:r>
      <w:r>
        <w:t xml:space="preserve">‘</w:t>
      </w:r>
      <w:r>
        <w:t xml:space="preserve">geçici kabul</w:t>
      </w:r>
      <w:r>
        <w:t xml:space="preserve">’</w:t>
      </w:r>
      <w:r>
        <w:t xml:space="preserve"> </w:t>
      </w:r>
      <w:r>
        <w:t xml:space="preserve">ifadesinden ATA karnesini çağrıştıran aday 1961 tarihli ATA Sözleşmesini işaretler.</w:t>
      </w:r>
    </w:p>
    <w:p>
      <w:pPr>
        <w:pStyle w:val="BodyText"/>
      </w:pPr>
      <w:r>
        <w:rPr>
          <w:bCs/>
          <w:b/>
        </w:rPr>
        <w:t xml:space="preserve">Dayanak:</w:t>
      </w:r>
      <w:r>
        <w:t xml:space="preserve"> </w:t>
      </w:r>
      <w:r>
        <w:t xml:space="preserve">Geçici İthalat Sözleşmesi (İstanbul, 1990); GGT (Geçici İthalat) Seri No: 4 md. 3</w:t>
      </w:r>
    </w:p>
    <w:bookmarkEnd w:id="99"/>
    <w:bookmarkStart w:id="100" w:name="soru-cevap-c-16"/>
    <w:p>
      <w:pPr>
        <w:pStyle w:val="Heading4"/>
      </w:pPr>
      <w:r>
        <w:t xml:space="preserve">79. soru — Cevap: C</w:t>
      </w:r>
    </w:p>
    <w:p>
      <w:pPr>
        <w:pStyle w:val="FirstParagraph"/>
      </w:pPr>
      <w:r>
        <w:rPr>
          <w:iCs/>
          <w:i/>
        </w:rPr>
        <w:t xml:space="preserve">SAİR · TIR, ATA · G1</w:t>
      </w:r>
    </w:p>
    <w:p>
      <w:pPr>
        <w:pStyle w:val="BodyText"/>
      </w:pPr>
      <w:r>
        <w:rPr>
          <w:bCs/>
          <w:b/>
        </w:rPr>
        <w:t xml:space="preserve">Doğru şık:</w:t>
      </w:r>
      <w:r>
        <w:t xml:space="preserve"> </w:t>
      </w:r>
      <w:r>
        <w:t xml:space="preserve">C) TIR rejimi altında taşınan eşya için yol boyu gümrük idarelerinde ithalat veya ihracat vergi ve resimlerinin ödenmesi veya depo edilmesi istenmez.</w:t>
      </w:r>
    </w:p>
    <w:p>
      <w:pPr>
        <w:pStyle w:val="BodyText"/>
      </w:pPr>
      <w:r>
        <w:t xml:space="preserve">Sözleşmenin 4 üncü maddesine göre TIR rejimi altında taşınan eşya, yol boyu gümrük idarelerinde ithalat veya ihracat vergi ve resimlerinin ödenmesine veya depo edilmesine tabi tutulmaz. Gümrük mühürlü taşıtlarla taşınan eşya kural olarak yol boyu gümrük idarelerinde muayene edilmez (md. 5); Sözleşme, taşımanın bir kısmının karayoluyla yapılması kaydıyla uygulanır (md. 2); gümrük makamları kendi topraklarında güzergâh ve süre belirleyebilir (md. 20); TIR işleminin ibrası gümrük makamlarınca yapılır (md. 1).</w:t>
      </w:r>
    </w:p>
    <w:p>
      <w:pPr>
        <w:pStyle w:val="BodyText"/>
      </w:pPr>
      <w:r>
        <w:rPr>
          <w:bCs/>
          <w:b/>
        </w:rPr>
        <w:t xml:space="preserve">Tuzak:</w:t>
      </w:r>
      <w:r>
        <w:t xml:space="preserve"> </w:t>
      </w:r>
      <w:r>
        <w:t xml:space="preserve">Ulusal transit rejimindeki yol boyu kontrolleri TIR’a taşıyan aday mühürlü taşıtların da kural olarak muayene edildiğini sanır.</w:t>
      </w:r>
    </w:p>
    <w:p>
      <w:pPr>
        <w:pStyle w:val="BodyText"/>
      </w:pPr>
      <w:r>
        <w:rPr>
          <w:bCs/>
          <w:b/>
        </w:rPr>
        <w:t xml:space="preserve">Dayanak:</w:t>
      </w:r>
      <w:r>
        <w:t xml:space="preserve"> </w:t>
      </w:r>
      <w:r>
        <w:t xml:space="preserve">TIR Sözleşmesi (1975) md. 1, 2, 4, 5, 20</w:t>
      </w:r>
    </w:p>
    <w:bookmarkEnd w:id="100"/>
    <w:bookmarkStart w:id="101" w:name="soru-cevap-d-16"/>
    <w:p>
      <w:pPr>
        <w:pStyle w:val="Heading4"/>
      </w:pPr>
      <w:r>
        <w:t xml:space="preserve">80. soru — Cevap: D</w:t>
      </w:r>
    </w:p>
    <w:p>
      <w:pPr>
        <w:pStyle w:val="FirstParagraph"/>
      </w:pPr>
      <w:r>
        <w:rPr>
          <w:iCs/>
          <w:i/>
        </w:rPr>
        <w:t xml:space="preserve">SAİR · Tercihli ticaret, menşe belgeleri · E1</w:t>
      </w:r>
    </w:p>
    <w:p>
      <w:pPr>
        <w:pStyle w:val="BodyText"/>
      </w:pPr>
      <w:r>
        <w:rPr>
          <w:bCs/>
          <w:b/>
        </w:rPr>
        <w:t xml:space="preserve">Doğru şık:</w:t>
      </w:r>
      <w:r>
        <w:t xml:space="preserve"> </w:t>
      </w:r>
      <w:r>
        <w:t xml:space="preserve">D) INF 3 Bilgi Formu – Eşyanın yeniden ithal edildiği gümrük idaresince düzenlenir.</w:t>
      </w:r>
    </w:p>
    <w:p>
      <w:pPr>
        <w:pStyle w:val="BodyText"/>
      </w:pPr>
      <w:r>
        <w:t xml:space="preserve">2006/10895 sayılı Karar’ın tanımlar maddesi ile 61 inci maddesine göre INF 3 Bilgi Formu, geri gelen eşyanın vergi muafiyetinden yararlanması amacıyla ihracatçının talebi üzerine ihracatın yapıldığı gümrük idaresince düzenlenir; yeniden ithalatın yapıldığı gümrük idaresi formu düzenlemez, serbest dolaşıma giriş beyannamesiyle birlikte kendisine ibraz edilen formu işleme alır. A.TR’nin gümrük idaresince vize edilmesi, tedarikçi beyanının tedarikçi tarafından düzenlenmesi, INF 4’ün tedarikçinin yerleşik olduğu (veya ihracatın gerçekleştirildiği) yerdeki gümrük idaresince düzenlenmesi ve fatura beyanının ihracatçı tarafından ticari belge üzerinde yapılması mevzuatla uyumludur.</w:t>
      </w:r>
    </w:p>
    <w:p>
      <w:pPr>
        <w:pStyle w:val="BodyText"/>
      </w:pPr>
      <w:r>
        <w:rPr>
          <w:bCs/>
          <w:b/>
        </w:rPr>
        <w:t xml:space="preserve">Tuzak:</w:t>
      </w:r>
      <w:r>
        <w:t xml:space="preserve"> </w:t>
      </w:r>
      <w:r>
        <w:t xml:space="preserve">Geri gelen eşyaya muafiyeti yeniden ithalat gümrüğü uyguladığı için belgeyi de bu idarenin düzenlediğini düşünen aday yer kaydırmasını fark etmez.</w:t>
      </w:r>
    </w:p>
    <w:p>
      <w:pPr>
        <w:pStyle w:val="BodyText"/>
      </w:pPr>
      <w:r>
        <w:rPr>
          <w:bCs/>
          <w:b/>
        </w:rPr>
        <w:t xml:space="preserve">Dayanak:</w:t>
      </w:r>
      <w:r>
        <w:t xml:space="preserve"> </w:t>
      </w:r>
      <w:r>
        <w:t xml:space="preserve">2006/10895 sayılı Karar md. 3, 4, 61, 63, 70, 74; 2014/7064 sayılı Karar md. 24 (fatura beyanı)</w:t>
      </w:r>
    </w:p>
    <w:bookmarkEnd w:id="101"/>
    <w:bookmarkStart w:id="102" w:name="soru-cevap-b-15"/>
    <w:p>
      <w:pPr>
        <w:pStyle w:val="Heading4"/>
      </w:pPr>
      <w:r>
        <w:t xml:space="preserve">81. soru — Cevap: B</w:t>
      </w:r>
    </w:p>
    <w:p>
      <w:pPr>
        <w:pStyle w:val="FirstParagraph"/>
      </w:pPr>
      <w:r>
        <w:rPr>
          <w:iCs/>
          <w:i/>
        </w:rPr>
        <w:t xml:space="preserve">SAİR · Tercihli ticaret, menşe belgeleri · D3</w:t>
      </w:r>
    </w:p>
    <w:p>
      <w:pPr>
        <w:pStyle w:val="BodyText"/>
      </w:pPr>
      <w:r>
        <w:rPr>
          <w:bCs/>
          <w:b/>
        </w:rPr>
        <w:t xml:space="preserve">Doğru şık:</w:t>
      </w:r>
      <w:r>
        <w:t xml:space="preserve"> </w:t>
      </w:r>
      <w:r>
        <w:t xml:space="preserve">B) Faroe Adaları</w:t>
      </w:r>
    </w:p>
    <w:p>
      <w:pPr>
        <w:pStyle w:val="BodyText"/>
      </w:pPr>
      <w:r>
        <w:t xml:space="preserve">Türkiye’nin yürürlükte STA’sı bulunan ülkeler arasında EFTA ülkeleri, Gürcistan, Güney Kore, Malezya, Singapur, Şili, Morityus ve Birleşik Krallık gibi ülkelerin yanında Faroe Adaları da yer almaktadır. Kanada, Hindistan, Uruguay ve Brezilya ile yürürlükte bir STA bulunmamaktadır.</w:t>
      </w:r>
    </w:p>
    <w:p>
      <w:pPr>
        <w:pStyle w:val="BodyText"/>
      </w:pPr>
      <w:r>
        <w:rPr>
          <w:bCs/>
          <w:b/>
        </w:rPr>
        <w:t xml:space="preserve">Tuzak:</w:t>
      </w:r>
      <w:r>
        <w:t xml:space="preserve"> </w:t>
      </w:r>
      <w:r>
        <w:t xml:space="preserve">‘</w:t>
      </w:r>
      <w:r>
        <w:t xml:space="preserve">Küçük ve uzak bir ada topluluğu ile STA olmaz</w:t>
      </w:r>
      <w:r>
        <w:t xml:space="preserve">’</w:t>
      </w:r>
      <w:r>
        <w:t xml:space="preserve"> </w:t>
      </w:r>
      <w:r>
        <w:t xml:space="preserve">sezgisiyle hareket eden aday Faroe Adalarını eler ve büyük ekonomilerden birini işaretler.</w:t>
      </w:r>
    </w:p>
    <w:p>
      <w:pPr>
        <w:pStyle w:val="BodyText"/>
      </w:pPr>
      <w:r>
        <w:rPr>
          <w:bCs/>
          <w:b/>
        </w:rPr>
        <w:t xml:space="preserve">Dayanak:</w:t>
      </w:r>
      <w:r>
        <w:t xml:space="preserve"> </w:t>
      </w:r>
      <w:r>
        <w:t xml:space="preserve">Türkiye–Faroe Adaları Serbest Ticaret Anlaşması; yürürlükteki STA’lar</w:t>
      </w:r>
    </w:p>
    <w:bookmarkEnd w:id="102"/>
    <w:bookmarkStart w:id="103" w:name="soru-cevap-e-15"/>
    <w:p>
      <w:pPr>
        <w:pStyle w:val="Heading4"/>
      </w:pPr>
      <w:r>
        <w:t xml:space="preserve">82. soru — Cevap: E</w:t>
      </w:r>
    </w:p>
    <w:p>
      <w:pPr>
        <w:pStyle w:val="FirstParagraph"/>
      </w:pPr>
      <w:r>
        <w:rPr>
          <w:iCs/>
          <w:i/>
        </w:rPr>
        <w:t xml:space="preserve">GM · Akaryakıt, kumanya · O2</w:t>
      </w:r>
    </w:p>
    <w:p>
      <w:pPr>
        <w:pStyle w:val="BodyText"/>
      </w:pPr>
      <w:r>
        <w:rPr>
          <w:bCs/>
          <w:b/>
        </w:rPr>
        <w:t xml:space="preserve">Doğru şık:</w:t>
      </w:r>
      <w:r>
        <w:t xml:space="preserve"> </w:t>
      </w:r>
      <w:r>
        <w:t xml:space="preserve">E) Türkiye Gümrük Bölgesi dışına sefer yapan Türk bandıralı gemilerde tutulan yakıt ve kumanya defterinin sayfaları noterce önceden tespit edilerek onanır.</w:t>
      </w:r>
    </w:p>
    <w:p>
      <w:pPr>
        <w:pStyle w:val="BodyText"/>
      </w:pPr>
      <w:r>
        <w:t xml:space="preserve">Gümrük Yönetmeliğinin 479 uncu maddesine göre dış sefer yapan Türk bandıralı gemilerde tutulan yakıt ve kumanya defterinin sayfaları gümrük idaresince önceden tespit edilerek onanır ve kayıtların alt kısmı gümrük idaresince mühürlenip imzalanır; noter onayı öngörülmemiştir. Yakıt, yağ ve kumanyanın vergiden muafiyeti ile serbest dolaşımdaki yakıt ve kumanyanın verilmesinin ihracat hükmünde olması Kanunun 176 ncı maddesinin, Türk bandıralı taşıtların dış sefere çıkacağı limandan itibaren tüketme şartı Yönetmeliğin 476 ncı maddesinin, şüphe veya ihbar yoksa muayene yapılmaması ise 477 nci maddesinin hükmüdür.</w:t>
      </w:r>
    </w:p>
    <w:p>
      <w:pPr>
        <w:pStyle w:val="BodyText"/>
      </w:pPr>
      <w:r>
        <w:rPr>
          <w:bCs/>
          <w:b/>
        </w:rPr>
        <w:t xml:space="preserve">Tuzak:</w:t>
      </w:r>
      <w:r>
        <w:t xml:space="preserve"> </w:t>
      </w:r>
      <w:r>
        <w:t xml:space="preserve">Ticari defterlerin noter tasdikine tabi olduğunu bilen aday, gümrüğe özgü bu defterin de noterce onaylanacağını varsayar.</w:t>
      </w:r>
    </w:p>
    <w:p>
      <w:pPr>
        <w:pStyle w:val="BodyText"/>
      </w:pPr>
      <w:r>
        <w:rPr>
          <w:bCs/>
          <w:b/>
        </w:rPr>
        <w:t xml:space="preserve">Dayanak:</w:t>
      </w:r>
      <w:r>
        <w:t xml:space="preserve"> </w:t>
      </w:r>
      <w:r>
        <w:t xml:space="preserve">4458 sayılı Gümrük Kanunu md. 176; Gümrük Yönetmeliği md. 476/2, 477/3, 479</w:t>
      </w:r>
    </w:p>
    <w:bookmarkEnd w:id="103"/>
    <w:bookmarkStart w:id="104" w:name="soru-cevap-a-16"/>
    <w:p>
      <w:pPr>
        <w:pStyle w:val="Heading4"/>
      </w:pPr>
      <w:r>
        <w:t xml:space="preserve">83. soru — Cevap: A</w:t>
      </w:r>
    </w:p>
    <w:p>
      <w:pPr>
        <w:pStyle w:val="FirstParagraph"/>
      </w:pPr>
      <w:r>
        <w:rPr>
          <w:iCs/>
          <w:i/>
        </w:rPr>
        <w:t xml:space="preserve">GM · GSM, sınır ticareti, serbest bölge · D3</w:t>
      </w:r>
    </w:p>
    <w:p>
      <w:pPr>
        <w:pStyle w:val="BodyText"/>
      </w:pPr>
      <w:r>
        <w:rPr>
          <w:bCs/>
          <w:b/>
        </w:rPr>
        <w:t xml:space="preserve">Doğru şık:</w:t>
      </w:r>
      <w:r>
        <w:t xml:space="preserve"> </w:t>
      </w:r>
      <w:r>
        <w:t xml:space="preserve">A) 100 ml’lik 1 adet parfüm</w:t>
      </w:r>
    </w:p>
    <w:p>
      <w:pPr>
        <w:pStyle w:val="BodyText"/>
      </w:pPr>
      <w:r>
        <w:t xml:space="preserve">Yönetmeliğin 11 inci maddesinin dördüncü fıkrasına göre nakil vasıtası sürücü ve hizmetlileri ülkeye girişlerinde 1 karton sigara, en fazla 1 litrelik 1 adet alkollü içki, en fazla 120 ml’lik 1 adet parfüm ve 1 adet kozmetik ürün ile en fazla 1 kilogram çikolata veya şekerden mamul yiyecek satın alabilirler. 100 ml’lik tek parfüm bu sınırın içindedir; diğer seçeneklerin her biri ilgili kalemin miktar veya adet sınırını aşar.</w:t>
      </w:r>
    </w:p>
    <w:p>
      <w:pPr>
        <w:pStyle w:val="BodyText"/>
      </w:pPr>
      <w:r>
        <w:rPr>
          <w:bCs/>
          <w:b/>
        </w:rPr>
        <w:t xml:space="preserve">Tuzak:</w:t>
      </w:r>
      <w:r>
        <w:t xml:space="preserve"> </w:t>
      </w:r>
      <w:r>
        <w:t xml:space="preserve">Yolcu beraberi eşya listesindeki daha yüksek miktarları sürücü ve hizmetlilere de uygulayan aday sigara veya çikolata seçeneğine kayar.</w:t>
      </w:r>
    </w:p>
    <w:p>
      <w:pPr>
        <w:pStyle w:val="BodyText"/>
      </w:pPr>
      <w:r>
        <w:rPr>
          <w:bCs/>
          <w:b/>
        </w:rPr>
        <w:t xml:space="preserve">Dayanak:</w:t>
      </w:r>
      <w:r>
        <w:t xml:space="preserve"> </w:t>
      </w:r>
      <w:r>
        <w:t xml:space="preserve">Gümrüksüz Satış Mağazaları Yönetmeliği md. 11/4 (14.02.2018 tarihli değişiklik)</w:t>
      </w:r>
    </w:p>
    <w:bookmarkEnd w:id="104"/>
    <w:bookmarkStart w:id="105" w:name="soru-cevap-a-17"/>
    <w:p>
      <w:pPr>
        <w:pStyle w:val="Heading4"/>
      </w:pPr>
      <w:r>
        <w:t xml:space="preserve">84. soru — Cevap: A</w:t>
      </w:r>
    </w:p>
    <w:p>
      <w:pPr>
        <w:pStyle w:val="FirstParagraph"/>
      </w:pPr>
      <w:r>
        <w:rPr>
          <w:iCs/>
          <w:i/>
        </w:rPr>
        <w:t xml:space="preserve">GM · Posta ve hızlı kargo · D1</w:t>
      </w:r>
    </w:p>
    <w:p>
      <w:pPr>
        <w:pStyle w:val="BodyText"/>
      </w:pPr>
      <w:r>
        <w:rPr>
          <w:bCs/>
          <w:b/>
        </w:rPr>
        <w:t xml:space="preserve">Doğru şık:</w:t>
      </w:r>
      <w:r>
        <w:t xml:space="preserve"> </w:t>
      </w:r>
      <w:r>
        <w:t xml:space="preserve">A) 24 saat</w:t>
      </w:r>
    </w:p>
    <w:p>
      <w:pPr>
        <w:pStyle w:val="BodyText"/>
      </w:pPr>
      <w:r>
        <w:t xml:space="preserve">Tebliğin 10 uncu maddesinin altıncı fıkrasına göre bu gönderilerin beyanı, operatörde mevcut bilgi ve belgelere uygun olarak taşıma aracı hareket gümrük idaresini terk edinceye kadar yapılır; taşıma aracı hareket gümrük idaresini terk ettikten sonraki yirmi dört saat içinde beyanda düzeltme yapılabilir. Üç iş günü teslim bilgilerinin gümrük müdürlüğüne iletilme süresi, yedi gün operatörce tahsil edilen vergilerin ödenme süresi, on beş gün başvurunun Bakanlığa gönderilme ve karara bağlanma süresidir; bir ay ise posta yoluyla gönderilecek ticari eşyanın genel antrepoda bekletilebileceği süredir.</w:t>
      </w:r>
    </w:p>
    <w:p>
      <w:pPr>
        <w:pStyle w:val="BodyText"/>
      </w:pPr>
      <w:r>
        <w:rPr>
          <w:bCs/>
          <w:b/>
        </w:rPr>
        <w:t xml:space="preserve">Tuzak:</w:t>
      </w:r>
      <w:r>
        <w:t xml:space="preserve"> </w:t>
      </w:r>
      <w:r>
        <w:t xml:space="preserve">Teslim bilgilerinin bildirimi için öngörülen üç iş günlük süreyi düzeltme süresi sanan aday</w:t>
      </w:r>
      <w:r>
        <w:t xml:space="preserve"> </w:t>
      </w:r>
      <w:r>
        <w:t xml:space="preserve">‘</w:t>
      </w:r>
      <w:r>
        <w:t xml:space="preserve">3 iş günü</w:t>
      </w:r>
      <w:r>
        <w:t xml:space="preserve">’</w:t>
      </w:r>
      <w:r>
        <w:t xml:space="preserve"> </w:t>
      </w:r>
      <w:r>
        <w:t xml:space="preserve">değerini işaretler.</w:t>
      </w:r>
    </w:p>
    <w:p>
      <w:pPr>
        <w:pStyle w:val="BodyText"/>
      </w:pPr>
      <w:r>
        <w:rPr>
          <w:bCs/>
          <w:b/>
        </w:rPr>
        <w:t xml:space="preserve">Dayanak:</w:t>
      </w:r>
      <w:r>
        <w:t xml:space="preserve"> </w:t>
      </w:r>
      <w:r>
        <w:t xml:space="preserve">Posta ve Hızlı Kargo Yoluyla Taşınan Eşyanın Gümrük İşlemlerine İlişkin Tebliğ (Seri No: 1) md. 10/6 (01.03.2025 tarihli Seri No: 3 Tebliğ ile değişik)</w:t>
      </w:r>
    </w:p>
    <w:bookmarkEnd w:id="105"/>
    <w:bookmarkStart w:id="106" w:name="soru-cevap-c-17"/>
    <w:p>
      <w:pPr>
        <w:pStyle w:val="Heading4"/>
      </w:pPr>
      <w:r>
        <w:t xml:space="preserve">85. soru — Cevap: C</w:t>
      </w:r>
    </w:p>
    <w:p>
      <w:pPr>
        <w:pStyle w:val="FirstParagraph"/>
      </w:pPr>
      <w:r>
        <w:rPr>
          <w:iCs/>
          <w:i/>
        </w:rPr>
        <w:t xml:space="preserve">GM · YYS, yerinde gümrükleme · D3</w:t>
      </w:r>
    </w:p>
    <w:p>
      <w:pPr>
        <w:pStyle w:val="BodyText"/>
      </w:pPr>
      <w:r>
        <w:rPr>
          <w:bCs/>
          <w:b/>
        </w:rPr>
        <w:t xml:space="preserve">Doğru şık:</w:t>
      </w:r>
      <w:r>
        <w:t xml:space="preserve"> </w:t>
      </w:r>
      <w:r>
        <w:t xml:space="preserve">C) Gümrük kontrolü altında işleme rejimi</w:t>
      </w:r>
    </w:p>
    <w:p>
      <w:pPr>
        <w:pStyle w:val="BodyText"/>
      </w:pPr>
      <w:r>
        <w:t xml:space="preserve">Tebliğin 26 ncı maddesine göre kısmi teminat uygulaması gümrük antrepo, gümrük kontrolü altında işleme ve geçici ithalat rejimlerine tabi tutulan eşya için öngörülmüştür. Dahilde işleme ve hariçte işleme rejimlerinde bu rejimlere ilişkin kararlarla belirlenmiş teminat hükümleri saklı tutulmuş; transit ve ihracat rejimleri ise kısmi teminat kapsamında sayılmamıştır.</w:t>
      </w:r>
    </w:p>
    <w:p>
      <w:pPr>
        <w:pStyle w:val="BodyText"/>
      </w:pPr>
      <w:r>
        <w:rPr>
          <w:bCs/>
          <w:b/>
        </w:rPr>
        <w:t xml:space="preserve">Tuzak:</w:t>
      </w:r>
      <w:r>
        <w:t xml:space="preserve"> </w:t>
      </w:r>
      <w:r>
        <w:t xml:space="preserve">Ekonomik etkili rejimlerin tamamında aynı teminat kolaylığının geçerli olduğunu düşünen aday dahilde işleme rejimini işaretler.</w:t>
      </w:r>
    </w:p>
    <w:p>
      <w:pPr>
        <w:pStyle w:val="BodyText"/>
      </w:pPr>
      <w:r>
        <w:rPr>
          <w:bCs/>
          <w:b/>
        </w:rPr>
        <w:t xml:space="preserve">Dayanak:</w:t>
      </w:r>
      <w:r>
        <w:t xml:space="preserve"> </w:t>
      </w:r>
      <w:r>
        <w:t xml:space="preserve">Onaylanmış Kişi Statüsüne İlişkin Gümrük Genel Tebliği (Sıra No: 1) md. 26</w:t>
      </w:r>
    </w:p>
    <w:bookmarkEnd w:id="106"/>
    <w:bookmarkStart w:id="107" w:name="soru-cevap-b-16"/>
    <w:p>
      <w:pPr>
        <w:pStyle w:val="Heading4"/>
      </w:pPr>
      <w:r>
        <w:t xml:space="preserve">86. soru — Cevap: B</w:t>
      </w:r>
    </w:p>
    <w:p>
      <w:pPr>
        <w:pStyle w:val="FirstParagraph"/>
      </w:pPr>
      <w:r>
        <w:rPr>
          <w:iCs/>
          <w:i/>
        </w:rPr>
        <w:t xml:space="preserve">GM · YYS, yerinde gümrükleme · O2</w:t>
      </w:r>
    </w:p>
    <w:p>
      <w:pPr>
        <w:pStyle w:val="BodyText"/>
      </w:pPr>
      <w:r>
        <w:rPr>
          <w:bCs/>
          <w:b/>
        </w:rPr>
        <w:t xml:space="preserve">Doğru şık:</w:t>
      </w:r>
      <w:r>
        <w:t xml:space="preserve"> </w:t>
      </w:r>
      <w:r>
        <w:t xml:space="preserve">B) Onaylanmış ihracatçı yetkisi sahibinin Karar hükümlerine aykırı hareket ettiğinin statü belgesinin geçerlilik süresi içinde ilk kez anlaşılması hâlinde yetkisi altı ay süreyle askıya alınır.</w:t>
      </w:r>
    </w:p>
    <w:p>
      <w:pPr>
        <w:pStyle w:val="BodyText"/>
      </w:pPr>
      <w:r>
        <w:t xml:space="preserve">Tebliğin 59 uncu maddesine göre onaylanmış ihracatçı yetkisi sahibinin Karar ve tebliğ hükümlerine aykırı hareket ettiğinin anlaşılması hâlinde ilk iki seferde yazılı olarak uyarılır; yetki ancak üçüncü seferde altı ay süreyle askıya alınır. Elli adet A.TR koşulu, belgelerin tasdik edilmeksizin yetki sahibince vize edilmesi, nüshalardan birinin ihracat beyannamesine eklenmesi ve ihraçtan sonra da belge düzenlenebilmesi tebliğin 54, 56 ve 57 nci maddelerinin aynısıdır.</w:t>
      </w:r>
    </w:p>
    <w:p>
      <w:pPr>
        <w:pStyle w:val="BodyText"/>
      </w:pPr>
      <w:r>
        <w:rPr>
          <w:bCs/>
          <w:b/>
        </w:rPr>
        <w:t xml:space="preserve">Tuzak:</w:t>
      </w:r>
      <w:r>
        <w:t xml:space="preserve"> </w:t>
      </w:r>
      <w:r>
        <w:t xml:space="preserve">Askıya almayı ilk ihlalde uygulanan yaptırım sanan aday, iki yazılı uyarı aşamasını atlar.</w:t>
      </w:r>
    </w:p>
    <w:p>
      <w:pPr>
        <w:pStyle w:val="BodyText"/>
      </w:pPr>
      <w:r>
        <w:rPr>
          <w:bCs/>
          <w:b/>
        </w:rPr>
        <w:t xml:space="preserve">Dayanak:</w:t>
      </w:r>
      <w:r>
        <w:t xml:space="preserve"> </w:t>
      </w:r>
      <w:r>
        <w:t xml:space="preserve">Onaylanmış Kişi Statüsüne İlişkin Gümrük Genel Tebliği (Sıra No: 1) md. 54/2, 56/2, 56/4, 57, 59</w:t>
      </w:r>
    </w:p>
    <w:bookmarkEnd w:id="107"/>
    <w:bookmarkStart w:id="108" w:name="soru-cevap-e-16"/>
    <w:p>
      <w:pPr>
        <w:pStyle w:val="Heading4"/>
      </w:pPr>
      <w:r>
        <w:t xml:space="preserve">87. soru — Cevap: E</w:t>
      </w:r>
    </w:p>
    <w:p>
      <w:pPr>
        <w:pStyle w:val="FirstParagraph"/>
      </w:pPr>
      <w:r>
        <w:rPr>
          <w:iCs/>
          <w:i/>
        </w:rPr>
        <w:t xml:space="preserve">GM · YYS, yerinde gümrükleme · O1</w:t>
      </w:r>
    </w:p>
    <w:p>
      <w:pPr>
        <w:pStyle w:val="BodyText"/>
      </w:pPr>
      <w:r>
        <w:rPr>
          <w:bCs/>
          <w:b/>
        </w:rPr>
        <w:t xml:space="preserve">Doğru şık:</w:t>
      </w:r>
      <w:r>
        <w:t xml:space="preserve"> </w:t>
      </w:r>
      <w:r>
        <w:t xml:space="preserve">E) Akredite uygunluk değerlendirme kuruluşlarınca düzenlenmiş geçerli ISO 9001 ve ISO 27001 sertifikaları</w:t>
      </w:r>
    </w:p>
    <w:p>
      <w:pPr>
        <w:pStyle w:val="BodyText"/>
      </w:pPr>
      <w:r>
        <w:t xml:space="preserve">Tebliğin 6 ncı maddesine göre OK1 tespiti için yetkilendirilmiş gümrük müşavirine ticaret sicil kayıt bilgileri formu, adli sicil belgeleri, sosyal güvenlik ve vergi borcu bulunmadığına ilişkin belgeler, ihracatçı birliği performans ve güvenilirlik formu, yeminli mali müşavir raporu ve işçi sayısına ilişkin yazı gibi belgeler ibraz edilir. ISO 9001 ve ISO 27001 sertifikaları onaylanmış kişi statüsü başvurusunda aranan belgeler arasında yer almaz; bu sertifikalar yetkilendirilmiş yükümlü statüsü ve izinli gönderici yetkisi gibi başka basitleştirmelerde aranır.</w:t>
      </w:r>
    </w:p>
    <w:p>
      <w:pPr>
        <w:pStyle w:val="BodyText"/>
      </w:pPr>
      <w:r>
        <w:rPr>
          <w:bCs/>
          <w:b/>
        </w:rPr>
        <w:t xml:space="preserve">Tuzak:</w:t>
      </w:r>
      <w:r>
        <w:t xml:space="preserve"> </w:t>
      </w:r>
      <w:r>
        <w:t xml:space="preserve">Yetkilendirilmiş yükümlü sertifikası ile onaylanmış kişi statüsü başvurularında aynı belgelerin istendiğini düşünen aday ISO sertifikalarını da OK1 belgeleri arasında sayar.</w:t>
      </w:r>
    </w:p>
    <w:p>
      <w:pPr>
        <w:pStyle w:val="BodyText"/>
      </w:pPr>
      <w:r>
        <w:rPr>
          <w:bCs/>
          <w:b/>
        </w:rPr>
        <w:t xml:space="preserve">Dayanak:</w:t>
      </w:r>
      <w:r>
        <w:t xml:space="preserve"> </w:t>
      </w:r>
      <w:r>
        <w:t xml:space="preserve">Onaylanmış Kişi Statüsüne İlişkin Gümrük Genel Tebliği (Sıra No: 1) md. 6/1</w:t>
      </w:r>
    </w:p>
    <w:bookmarkEnd w:id="108"/>
    <w:bookmarkStart w:id="109" w:name="soru-cevap-d-17"/>
    <w:p>
      <w:pPr>
        <w:pStyle w:val="Heading4"/>
      </w:pPr>
      <w:r>
        <w:t xml:space="preserve">88. soru — Cevap: D</w:t>
      </w:r>
    </w:p>
    <w:p>
      <w:pPr>
        <w:pStyle w:val="FirstParagraph"/>
      </w:pPr>
      <w:r>
        <w:rPr>
          <w:iCs/>
          <w:i/>
        </w:rPr>
        <w:t xml:space="preserve">GM · Gümrük müşavirliği, temsil · O1</w:t>
      </w:r>
    </w:p>
    <w:p>
      <w:pPr>
        <w:pStyle w:val="BodyText"/>
      </w:pPr>
      <w:r>
        <w:rPr>
          <w:bCs/>
          <w:b/>
        </w:rPr>
        <w:t xml:space="preserve">Doğru şık:</w:t>
      </w:r>
      <w:r>
        <w:t xml:space="preserve"> </w:t>
      </w:r>
      <w:r>
        <w:t xml:space="preserve">D) Gümrüksüz satış mağazalarına eşya tesliminde verilen 7200 kodlu beyannamelerin ücreti</w:t>
      </w:r>
    </w:p>
    <w:p>
      <w:pPr>
        <w:pStyle w:val="BodyText"/>
      </w:pPr>
      <w:r>
        <w:t xml:space="preserve">Tebliğin 5 inci maddesine göre tarifede yer almayan hizmetlerin ücreti, İHR-8, İTH-14 ve ANT-3 kodlarında 10 adedi aşan kısım, İHR-6 kodunda 50 faturayı aşan işlemler ve ithalat işlemleri dışındaki hizmetlerde tablodaki kıymet hesaplarına göre tarifenin uygulanması tarafların anlaşmasına bırakılmıştır. Gümrüksüz satış mağazalarına eşya tesliminde 7200 kodlu beyannameler için ise Asgari Ücret Tarifesinin %50 indirimli olarak uygulanacağı doğrudan hükme bağlanmıştır.</w:t>
      </w:r>
    </w:p>
    <w:p>
      <w:pPr>
        <w:pStyle w:val="BodyText"/>
      </w:pPr>
      <w:r>
        <w:rPr>
          <w:bCs/>
          <w:b/>
        </w:rPr>
        <w:t xml:space="preserve">Tuzak:</w:t>
      </w:r>
      <w:r>
        <w:t xml:space="preserve"> </w:t>
      </w:r>
      <w:r>
        <w:t xml:space="preserve">Özel nitelikli her işlemin ücretinin pazarlığa bırakıldığını düşünen aday, gümrüksüz satış mağazası teslimlerini de bu gruba katar.</w:t>
      </w:r>
    </w:p>
    <w:p>
      <w:pPr>
        <w:pStyle w:val="BodyText"/>
      </w:pPr>
      <w:r>
        <w:rPr>
          <w:bCs/>
          <w:b/>
        </w:rPr>
        <w:t xml:space="preserve">Dayanak:</w:t>
      </w:r>
      <w:r>
        <w:t xml:space="preserve"> </w:t>
      </w:r>
      <w:r>
        <w:t xml:space="preserve">Asgari Ücret Tarifesine İlişkin Tebliğ md. 5/1-d, h, i, j, m</w:t>
      </w:r>
    </w:p>
    <w:bookmarkEnd w:id="109"/>
    <w:bookmarkStart w:id="110" w:name="soru-cevap-e-17"/>
    <w:p>
      <w:pPr>
        <w:pStyle w:val="Heading4"/>
      </w:pPr>
      <w:r>
        <w:t xml:space="preserve">89. soru — Cevap: E</w:t>
      </w:r>
    </w:p>
    <w:p>
      <w:pPr>
        <w:pStyle w:val="FirstParagraph"/>
      </w:pPr>
      <w:r>
        <w:rPr>
          <w:iCs/>
          <w:i/>
        </w:rPr>
        <w:t xml:space="preserve">GM · Gümrük müşavirliği, temsil · O2</w:t>
      </w:r>
    </w:p>
    <w:p>
      <w:pPr>
        <w:pStyle w:val="BodyText"/>
      </w:pPr>
      <w:r>
        <w:rPr>
          <w:bCs/>
          <w:b/>
        </w:rPr>
        <w:t xml:space="preserve">Doğru şık:</w:t>
      </w:r>
      <w:r>
        <w:t xml:space="preserve"> </w:t>
      </w:r>
      <w:r>
        <w:t xml:space="preserve">E) Gerçek veya tüzel kişinin sistemdeki kaydının tümüyle iptali, başvuru ve onay işlemine tabi olmaksızın sistem üzerinden kişi veya kaydı yapan temsilci tarafından gerçekleştirilir.</w:t>
      </w:r>
    </w:p>
    <w:p>
      <w:pPr>
        <w:pStyle w:val="BodyText"/>
      </w:pPr>
      <w:r>
        <w:t xml:space="preserve">Tebliğin 3 üncü maddesine göre vekâlet kayıtlarının iptali başvuru ve onay işlemine tabi olmaksızın sistem üzerinden yapılır; buna karşılık gerçek veya tüzel kişinin sistemdeki kaydının tümüyle iptali başvuruya ve gümrük idaresinin onayına tabidir. Bu nedenle tümüyle iptalin de onaysız yapılacağını belirten ifade yanlıştır. Sisteme kayıt zorunluluğu, başvurunun en geç iki iş günü içinde sonuçlandırılması ve genel bilgilerdeki değişikliğin on iş günü içinde güncellenmesi tebliğin 4, 6 ve 7 nci maddelerinin aynısıdır.</w:t>
      </w:r>
    </w:p>
    <w:p>
      <w:pPr>
        <w:pStyle w:val="BodyText"/>
      </w:pPr>
      <w:r>
        <w:rPr>
          <w:bCs/>
          <w:b/>
        </w:rPr>
        <w:t xml:space="preserve">Tuzak:</w:t>
      </w:r>
      <w:r>
        <w:t xml:space="preserve"> </w:t>
      </w:r>
      <w:r>
        <w:t xml:space="preserve">Vekâlet kaydının onaysız iptal edilebildiğini bilen aday, aynı kolaylığın kaydın tümüyle iptaline de uygulandığını varsayar.</w:t>
      </w:r>
    </w:p>
    <w:p>
      <w:pPr>
        <w:pStyle w:val="BodyText"/>
      </w:pPr>
      <w:r>
        <w:rPr>
          <w:bCs/>
          <w:b/>
        </w:rPr>
        <w:t xml:space="preserve">Dayanak:</w:t>
      </w:r>
      <w:r>
        <w:t xml:space="preserve"> </w:t>
      </w:r>
      <w:r>
        <w:t xml:space="preserve">Gümrük Genel Tebliği (Yükümlü Kayıt ve Takip Sistemi) (Seri No: 1) md. 3/5, 3/6, 4/1, 6/1, 7/2, 7/4</w:t>
      </w:r>
    </w:p>
    <w:bookmarkEnd w:id="110"/>
    <w:bookmarkStart w:id="111" w:name="soru-cevap-b-17"/>
    <w:p>
      <w:pPr>
        <w:pStyle w:val="Heading4"/>
      </w:pPr>
      <w:r>
        <w:t xml:space="preserve">90. soru — Cevap: B</w:t>
      </w:r>
    </w:p>
    <w:p>
      <w:pPr>
        <w:pStyle w:val="FirstParagraph"/>
      </w:pPr>
      <w:r>
        <w:rPr>
          <w:iCs/>
          <w:i/>
        </w:rPr>
        <w:t xml:space="preserve">GM · Fikri ve sınai haklar · Ö3</w:t>
      </w:r>
    </w:p>
    <w:p>
      <w:pPr>
        <w:pStyle w:val="BodyText"/>
      </w:pPr>
      <w:r>
        <w:rPr>
          <w:bCs/>
          <w:b/>
        </w:rPr>
        <w:t xml:space="preserve">Doğru şık:</w:t>
      </w:r>
      <w:r>
        <w:t xml:space="preserve"> </w:t>
      </w:r>
      <w:r>
        <w:t xml:space="preserve">B) I ve III</w:t>
      </w:r>
    </w:p>
    <w:p>
      <w:pPr>
        <w:pStyle w:val="BodyText"/>
      </w:pPr>
      <w:r>
        <w:t xml:space="preserve">Gümrük Yönetmeliğine göre işlemleri durdurulan veya alıkonulan eşyanın Türkiye Gümrük Bölgesini terk etmesine, yeniden ihracına, serbest bölgeye konulmasına ve şartlı muafiyet düzenlemesine tabi tutulmasına izin verilmez (I ve III). Buna karşılık eşyanın, mahkemece hak ihlalinin tespitine gerek olmaksızın kolaylaştırılmış imha kapsamında gümrük kontrolü altında imhasına gümrük idaresince izin verilebilir (II); risk ve mali yükümlülükleri hak sahibine ait olmak üzere gümrük gözetimi altında depolanması da yasaklanan işlemler arasında değildir (IV).</w:t>
      </w:r>
    </w:p>
    <w:p>
      <w:pPr>
        <w:pStyle w:val="BodyText"/>
      </w:pPr>
      <w:r>
        <w:rPr>
          <w:bCs/>
          <w:b/>
        </w:rPr>
        <w:t xml:space="preserve">Tuzak:</w:t>
      </w:r>
      <w:r>
        <w:t xml:space="preserve"> </w:t>
      </w:r>
      <w:r>
        <w:t xml:space="preserve">Durdurulan eşya üzerinde hiçbir tasarrufa izin verilmeyeceğini düşünen aday imha ve depolamayı da yasak kapsamına alarak geniş kümeleri işaretler.</w:t>
      </w:r>
    </w:p>
    <w:p>
      <w:pPr>
        <w:pStyle w:val="BodyText"/>
      </w:pPr>
      <w:r>
        <w:rPr>
          <w:bCs/>
          <w:b/>
        </w:rPr>
        <w:t xml:space="preserve">Dayanak:</w:t>
      </w:r>
      <w:r>
        <w:t xml:space="preserve"> </w:t>
      </w:r>
      <w:r>
        <w:t xml:space="preserve">Gümrük Yönetmeliği md. 110 (fikri ve sınai hakları ihlal eden eşyaya izin verilmeyen işlemler) ve kolaylaştırılmış imha hükmü</w:t>
      </w:r>
    </w:p>
    <w:bookmarkEnd w:id="111"/>
    <w:bookmarkStart w:id="112" w:name="soru-cevap-b-18"/>
    <w:p>
      <w:pPr>
        <w:pStyle w:val="Heading4"/>
      </w:pPr>
      <w:r>
        <w:t xml:space="preserve">91. soru — Cevap: B</w:t>
      </w:r>
    </w:p>
    <w:p>
      <w:pPr>
        <w:pStyle w:val="FirstParagraph"/>
      </w:pPr>
      <w:r>
        <w:rPr>
          <w:iCs/>
          <w:i/>
        </w:rPr>
        <w:t xml:space="preserve">GM · Cezalar, uzlaşma, itiraz · G1</w:t>
      </w:r>
    </w:p>
    <w:p>
      <w:pPr>
        <w:pStyle w:val="BodyText"/>
      </w:pPr>
      <w:r>
        <w:rPr>
          <w:bCs/>
          <w:b/>
        </w:rPr>
        <w:t xml:space="preserve">Doğru şık:</w:t>
      </w:r>
      <w:r>
        <w:t xml:space="preserve"> </w:t>
      </w:r>
      <w:r>
        <w:t xml:space="preserve">B) Bölge müdürlüğü uzlaşma komisyonları başkan dâhil üç üyeden oluşur ve bu komisyonlara Bölge Müdürü veya belirleyeceği Bölge Müdür Yardımcısı başkanlık eder.</w:t>
      </w:r>
    </w:p>
    <w:p>
      <w:pPr>
        <w:pStyle w:val="BodyText"/>
      </w:pPr>
      <w:r>
        <w:t xml:space="preserve">Yönetmeliğin 7 nci maddesine göre bölge müdürlüğü uzlaşma komisyonları Bölge Müdürünce belirlenen başkan dâhil üç üyeden oluşur ve komisyonlara Bölge Müdürü veya belirleyeceği Bölge Müdür Yardımcısı başkanlık eder. Komisyonlar üyelerin tamamının katılımıyla toplanır ancak oy çokluğuyla karar alır; uzlaşma davetiyesi en az beş gün önceden tebliğ edilir; toplantıya yükümlü dâhil katılacak kişi sayısı üçü geçemez; talebin kayda girişten itibaren azami 45 gün içinde sonuçlandırılması esastır.</w:t>
      </w:r>
    </w:p>
    <w:p>
      <w:pPr>
        <w:pStyle w:val="BodyText"/>
      </w:pPr>
      <w:r>
        <w:rPr>
          <w:bCs/>
          <w:b/>
        </w:rPr>
        <w:t xml:space="preserve">Tuzak:</w:t>
      </w:r>
      <w:r>
        <w:t xml:space="preserve"> </w:t>
      </w:r>
      <w:r>
        <w:t xml:space="preserve">Komisyonun tam katılımla toplanması kuralından kararların da oy birliğiyle alınacağı sonucunu çıkaran aday oy birliği öngören ifadeyi doğru sanır.</w:t>
      </w:r>
    </w:p>
    <w:p>
      <w:pPr>
        <w:pStyle w:val="BodyText"/>
      </w:pPr>
      <w:r>
        <w:rPr>
          <w:bCs/>
          <w:b/>
        </w:rPr>
        <w:t xml:space="preserve">Dayanak:</w:t>
      </w:r>
      <w:r>
        <w:t xml:space="preserve"> </w:t>
      </w:r>
      <w:r>
        <w:t xml:space="preserve">Gümrük Uzlaşma Yönetmeliği md. 7/2, 7/4, 15/3, 16/1, 18/1</w:t>
      </w:r>
    </w:p>
    <w:bookmarkEnd w:id="112"/>
    <w:bookmarkStart w:id="113" w:name="soru-cevap-d-18"/>
    <w:p>
      <w:pPr>
        <w:pStyle w:val="Heading4"/>
      </w:pPr>
      <w:r>
        <w:t xml:space="preserve">92. soru — Cevap: D</w:t>
      </w:r>
    </w:p>
    <w:p>
      <w:pPr>
        <w:pStyle w:val="FirstParagraph"/>
      </w:pPr>
      <w:r>
        <w:rPr>
          <w:iCs/>
          <w:i/>
        </w:rPr>
        <w:t xml:space="preserve">GM · Cezalar, uzlaşma, itiraz · O2</w:t>
      </w:r>
    </w:p>
    <w:p>
      <w:pPr>
        <w:pStyle w:val="BodyText"/>
      </w:pPr>
      <w:r>
        <w:rPr>
          <w:bCs/>
          <w:b/>
        </w:rPr>
        <w:t xml:space="preserve">Doğru şık:</w:t>
      </w:r>
      <w:r>
        <w:t xml:space="preserve"> </w:t>
      </w:r>
      <w:r>
        <w:t xml:space="preserve">D) İthalat veya ihracat vergilerinden muaf eşyayı belirlenen gümrük kapıları dışındaki yerlerden izinsiz olarak ithal edenlerden eşyanın FOB değerinin onda biri oranında para cezası alınır.</w:t>
      </w:r>
    </w:p>
    <w:p>
      <w:pPr>
        <w:pStyle w:val="BodyText"/>
      </w:pPr>
      <w:r>
        <w:t xml:space="preserve">Kanunun 239 uncu maddesine göre vergilerden muaf eşyanın gümrük kapıları dışından izinsiz ithali veya ihracında, eşyanın ithalata konu olması hâlinde CIF değerinin, ihracata konu olması hâlinde FOB değerinin onda biri oranında ceza alınır; ithalatta FOB değeri esas alınmaz. Özel kullanıma mahsus taşıtlarda vergilerin dörtte biri (238/1-b), dökme eşyada %3’ü aşmayan tolerans (237/4), fazla çıkan kaplarda mülkiyetin kamuya geçirilmesi ve CIF kıymeti kadar ceza (237/3) ile altmış günlük süre sonunda vergiler tutarında ek ceza (238/2) maddelerin aynısıdır.</w:t>
      </w:r>
    </w:p>
    <w:p>
      <w:pPr>
        <w:pStyle w:val="BodyText"/>
      </w:pPr>
      <w:r>
        <w:rPr>
          <w:bCs/>
          <w:b/>
        </w:rPr>
        <w:t xml:space="preserve">Tuzak:</w:t>
      </w:r>
      <w:r>
        <w:t xml:space="preserve"> </w:t>
      </w:r>
      <w:r>
        <w:t xml:space="preserve">İhracatta kullanılan FOB esasını ithalata da taşıyan aday yanlış ifadeyi fark etmez.</w:t>
      </w:r>
    </w:p>
    <w:p>
      <w:pPr>
        <w:pStyle w:val="BodyText"/>
      </w:pPr>
      <w:r>
        <w:rPr>
          <w:bCs/>
          <w:b/>
        </w:rPr>
        <w:t xml:space="preserve">Dayanak:</w:t>
      </w:r>
      <w:r>
        <w:t xml:space="preserve"> </w:t>
      </w:r>
      <w:r>
        <w:t xml:space="preserve">4458 sayılı GK md. 237/3, 237/4, 238/1-b, 238/1-d, 238/2, 239/1</w:t>
      </w:r>
    </w:p>
    <w:bookmarkEnd w:id="113"/>
    <w:bookmarkStart w:id="114" w:name="soru-cevap-c-18"/>
    <w:p>
      <w:pPr>
        <w:pStyle w:val="Heading4"/>
      </w:pPr>
      <w:r>
        <w:t xml:space="preserve">93. soru — Cevap: C</w:t>
      </w:r>
    </w:p>
    <w:p>
      <w:pPr>
        <w:pStyle w:val="FirstParagraph"/>
      </w:pPr>
      <w:r>
        <w:rPr>
          <w:iCs/>
          <w:i/>
        </w:rPr>
        <w:t xml:space="preserve">SAİR · Kambiyo · D2</w:t>
      </w:r>
    </w:p>
    <w:p>
      <w:pPr>
        <w:pStyle w:val="BodyText"/>
      </w:pPr>
      <w:r>
        <w:rPr>
          <w:bCs/>
          <w:b/>
        </w:rPr>
        <w:t xml:space="preserve">Doğru şık:</w:t>
      </w:r>
      <w:r>
        <w:t xml:space="preserve"> </w:t>
      </w:r>
      <w:r>
        <w:t xml:space="preserve">C) Nakit Açıklama Tutanağı</w:t>
      </w:r>
    </w:p>
    <w:p>
      <w:pPr>
        <w:pStyle w:val="BodyText"/>
      </w:pPr>
      <w:r>
        <w:t xml:space="preserve">Genelgeye göre yolcunun resen beyan ettiği nakit için</w:t>
      </w:r>
      <w:r>
        <w:t xml:space="preserve"> </w:t>
      </w:r>
      <w:r>
        <w:t xml:space="preserve">‘</w:t>
      </w:r>
      <w:r>
        <w:t xml:space="preserve">Nakit Beyan Formu</w:t>
      </w:r>
      <w:r>
        <w:t xml:space="preserve">’</w:t>
      </w:r>
      <w:r>
        <w:t xml:space="preserve">, gümrük idaresinin açıklama istediği nakit için ise</w:t>
      </w:r>
      <w:r>
        <w:t xml:space="preserve"> </w:t>
      </w:r>
      <w:r>
        <w:t xml:space="preserve">‘</w:t>
      </w:r>
      <w:r>
        <w:t xml:space="preserve">Nakit Açıklama Tutanağı</w:t>
      </w:r>
      <w:r>
        <w:t xml:space="preserve">’</w:t>
      </w:r>
      <w:r>
        <w:t xml:space="preserve"> </w:t>
      </w:r>
      <w:r>
        <w:t xml:space="preserve">düzenlenir; ikisine ayrı seri tescil numarası verilir. Sözlü beyan formu yolcu beraberi eşyanın beyanında, kaçak eşya teslim tutanağı kaçak eşyanın ambara tesliminde, arama, rızaen teslim ve muhafaza altına alma tutanağı ise 5607 kapsamında rızaen teslimde kullanılır.</w:t>
      </w:r>
    </w:p>
    <w:p>
      <w:pPr>
        <w:pStyle w:val="BodyText"/>
      </w:pPr>
      <w:r>
        <w:rPr>
          <w:bCs/>
          <w:b/>
        </w:rPr>
        <w:t xml:space="preserve">Tuzak:</w:t>
      </w:r>
      <w:r>
        <w:t xml:space="preserve"> </w:t>
      </w:r>
      <w:r>
        <w:t xml:space="preserve">Her nakit işleminde</w:t>
      </w:r>
      <w:r>
        <w:t xml:space="preserve"> </w:t>
      </w:r>
      <w:r>
        <w:t xml:space="preserve">‘</w:t>
      </w:r>
      <w:r>
        <w:t xml:space="preserve">Nakit Beyan Formu</w:t>
      </w:r>
      <w:r>
        <w:t xml:space="preserve">’</w:t>
      </w:r>
      <w:r>
        <w:t xml:space="preserve"> </w:t>
      </w:r>
      <w:r>
        <w:t xml:space="preserve">düzenlendiğini sanan aday, resen beyan ile idarenin açıklama istemesi arasındaki belge ayrımını kaçırır.</w:t>
      </w:r>
    </w:p>
    <w:p>
      <w:pPr>
        <w:pStyle w:val="BodyText"/>
      </w:pPr>
      <w:r>
        <w:rPr>
          <w:bCs/>
          <w:b/>
        </w:rPr>
        <w:t xml:space="preserve">Dayanak:</w:t>
      </w:r>
      <w:r>
        <w:t xml:space="preserve"> </w:t>
      </w:r>
      <w:r>
        <w:t xml:space="preserve">Nakit Kontrolleri Genelgesi (2024/1) md. 2.3 ve 2.7</w:t>
      </w:r>
    </w:p>
    <w:bookmarkEnd w:id="114"/>
    <w:bookmarkStart w:id="115" w:name="soru-cevap-a-18"/>
    <w:p>
      <w:pPr>
        <w:pStyle w:val="Heading4"/>
      </w:pPr>
      <w:r>
        <w:t xml:space="preserve">94. soru — Cevap: A</w:t>
      </w:r>
    </w:p>
    <w:p>
      <w:pPr>
        <w:pStyle w:val="FirstParagraph"/>
      </w:pPr>
      <w:r>
        <w:rPr>
          <w:iCs/>
          <w:i/>
        </w:rPr>
        <w:t xml:space="preserve">SAİR · Kambiyo · O1</w:t>
      </w:r>
    </w:p>
    <w:p>
      <w:pPr>
        <w:pStyle w:val="BodyText"/>
      </w:pPr>
      <w:r>
        <w:rPr>
          <w:bCs/>
          <w:b/>
        </w:rPr>
        <w:t xml:space="preserve">Doğru şık:</w:t>
      </w:r>
      <w:r>
        <w:t xml:space="preserve"> </w:t>
      </w:r>
      <w:r>
        <w:t xml:space="preserve">A) Taşıt satış sözleşmesi</w:t>
      </w:r>
    </w:p>
    <w:p>
      <w:pPr>
        <w:pStyle w:val="BodyText"/>
      </w:pPr>
      <w:r>
        <w:t xml:space="preserve">Tebliğe göre Türkiye’de yerleşik kişiler kendi aralarındaki menkul satış sözleşmelerinde bedeli döviz cinsinden kararlaştırabilir; ancak bu imkân taşıt satış sözleşmelerini kapsamaz (06.03.2025 tarihli değişiklik). Gümrüksüz satış mağazalarının ve belgeli konaklama tesislerinin kiralanmasına ilişkin gayrimenkul kiralama sözleşmeleri, döviz cinsinden maliyet içeren eser sözleşmeleri ile yurt dışında üretilen donanım ve yazılımlara ilişkin lisans sözleşmelerinde ise döviz cinsinden kararlaştırma mümkündür.</w:t>
      </w:r>
    </w:p>
    <w:p>
      <w:pPr>
        <w:pStyle w:val="BodyText"/>
      </w:pPr>
      <w:r>
        <w:rPr>
          <w:bCs/>
          <w:b/>
        </w:rPr>
        <w:t xml:space="preserve">Tuzak:</w:t>
      </w:r>
      <w:r>
        <w:t xml:space="preserve"> </w:t>
      </w:r>
      <w:r>
        <w:t xml:space="preserve">Gayrimenkul sözleşmelerinin döviz cinsinden yapılamayacağı genel kuralını hatırlayan aday, Tebliğin tanıdığı istisnaları bilmediği için gümrüksüz satış mağazası veya konaklama tesisi kiralamasını seçer.</w:t>
      </w:r>
    </w:p>
    <w:p>
      <w:pPr>
        <w:pStyle w:val="BodyText"/>
      </w:pPr>
      <w:r>
        <w:rPr>
          <w:bCs/>
          <w:b/>
        </w:rPr>
        <w:t xml:space="preserve">Dayanak:</w:t>
      </w:r>
      <w:r>
        <w:t xml:space="preserve"> </w:t>
      </w:r>
      <w:r>
        <w:t xml:space="preserve">Türk Parası Kıymetini Koruma Hakkında 32 Sayılı Karara İlişkin Tebliğ (Tebliğ No: 2008-32/34) md. 8/4, 8/5, 8/8, 8/9, 8/11</w:t>
      </w:r>
    </w:p>
    <w:bookmarkEnd w:id="115"/>
    <w:bookmarkStart w:id="116" w:name="soru-cevap-a-19"/>
    <w:p>
      <w:pPr>
        <w:pStyle w:val="Heading4"/>
      </w:pPr>
      <w:r>
        <w:t xml:space="preserve">95. soru — Cevap: A</w:t>
      </w:r>
    </w:p>
    <w:p>
      <w:pPr>
        <w:pStyle w:val="FirstParagraph"/>
      </w:pPr>
      <w:r>
        <w:rPr>
          <w:iCs/>
          <w:i/>
        </w:rPr>
        <w:t xml:space="preserve">SAİR · Kambiyo · D3</w:t>
      </w:r>
    </w:p>
    <w:p>
      <w:pPr>
        <w:pStyle w:val="BodyText"/>
      </w:pPr>
      <w:r>
        <w:rPr>
          <w:bCs/>
          <w:b/>
        </w:rPr>
        <w:t xml:space="preserve">Doğru şık:</w:t>
      </w:r>
      <w:r>
        <w:t xml:space="preserve"> </w:t>
      </w:r>
      <w:r>
        <w:t xml:space="preserve">A) Türkiye’de yerleşik bir tüzel kişinin sermayesine eklenmek üzere kıymetli madenler aracı kuruluşları aracılığıyla yapılan ithalat</w:t>
      </w:r>
    </w:p>
    <w:p>
      <w:pPr>
        <w:pStyle w:val="BodyText"/>
      </w:pPr>
      <w:r>
        <w:t xml:space="preserve">Tebliğe göre işlenmemiş kıymetli madenlerin bedelsiz ithali yalnızca dahilde işleme rejimi kapsamındaki ithalatta, Türkiye’de yerleşik bir tüzel kişinin sermayesine eklenmek üzere aracı kuruluşlar aracılığıyla yapılan ithalatta ve ihracat bedellerinin yurda getirilme süresi içinde kalınması kaydıyla ihracat bedelinden mahsup edilmek üzere aracı kuruluşlar aracılığıyla yapılan ithalatta mümkündür. Mahsup hâlinde fiili ihracatın kıymetli madenlerin ithalinden önce gerçekleşmiş olması zorunlu olduğundan, henüz gerçekleşmemiş ihracata dayalı ithalat mümkün değildir; hediye, promosyon ve teminat amaçlı bedelsiz ithalat ise sayılan hâller arasında yer almaz.</w:t>
      </w:r>
    </w:p>
    <w:p>
      <w:pPr>
        <w:pStyle w:val="BodyText"/>
      </w:pPr>
      <w:r>
        <w:rPr>
          <w:bCs/>
          <w:b/>
        </w:rPr>
        <w:t xml:space="preserve">Tuzak:</w:t>
      </w:r>
      <w:r>
        <w:t xml:space="preserve"> </w:t>
      </w:r>
      <w:r>
        <w:t xml:space="preserve">İhracat bedelinden mahsup imkânını bilen ancak fiili ihracatın ithalattan önce gerçekleşmesi şartını gözden kaçıran aday henüz gerçekleşmemiş ihracatın bedelinden mahsup ifadesine kayar.</w:t>
      </w:r>
    </w:p>
    <w:p>
      <w:pPr>
        <w:pStyle w:val="BodyText"/>
      </w:pPr>
      <w:r>
        <w:rPr>
          <w:bCs/>
          <w:b/>
        </w:rPr>
        <w:t xml:space="preserve">Dayanak:</w:t>
      </w:r>
      <w:r>
        <w:t xml:space="preserve"> </w:t>
      </w:r>
      <w:r>
        <w:t xml:space="preserve">Türk Parası Kıymetini Koruma Hakkında 32 Sayılı Karara İlişkin Tebliğ (Tebliğ No: 2008-32/34) md. 6/6 ve 6/7</w:t>
      </w:r>
    </w:p>
    <w:bookmarkEnd w:id="116"/>
    <w:bookmarkStart w:id="117" w:name="soru-cevap-c-19"/>
    <w:p>
      <w:pPr>
        <w:pStyle w:val="Heading4"/>
      </w:pPr>
      <w:r>
        <w:t xml:space="preserve">96. soru — Cevap: C</w:t>
      </w:r>
    </w:p>
    <w:p>
      <w:pPr>
        <w:pStyle w:val="FirstParagraph"/>
      </w:pPr>
      <w:r>
        <w:rPr>
          <w:iCs/>
          <w:i/>
        </w:rPr>
        <w:t xml:space="preserve">SAİR · KDV · O1</w:t>
      </w:r>
    </w:p>
    <w:p>
      <w:pPr>
        <w:pStyle w:val="BodyText"/>
      </w:pPr>
      <w:r>
        <w:rPr>
          <w:bCs/>
          <w:b/>
        </w:rPr>
        <w:t xml:space="preserve">Doğru şık:</w:t>
      </w:r>
      <w:r>
        <w:t xml:space="preserve"> </w:t>
      </w:r>
      <w:r>
        <w:t xml:space="preserve">C) Altından mamul ziynet eşyasının ithalinde, eşyanın içerdiği külçe altın bedeli</w:t>
      </w:r>
    </w:p>
    <w:p>
      <w:pPr>
        <w:pStyle w:val="BodyText"/>
      </w:pPr>
      <w:r>
        <w:t xml:space="preserve">KDV Kanununa göre ithalatta matrah; malın gümrük vergisi tarhına esas olan kıymeti, ithalat sırasında ödenen her türlü vergi, resim, harç ve paylar, gümrük beyannamesinin tescil tarihine kadar yapılan diğer giderler ve ödemelerden vergilendirilmeyenler ile mal bedeli üzerinden hesaplanan fiyat farkı, kur farkı gibi ödemelerden oluşur. 24.07.2025 tarihli değişiklikle (I) sayılı listedeki malların ithalinde teminatın hesaplanmasına esas ÖTV tutarı da matraha eklenmiştir. Altından mamul veya altın ihtiva eden ziynet eşyasının ithalinde ise matrah, külçe altın bedeli düşüldükten sonra kalan tutardır (md. 23/e); bu nedenle külçe altın bedeli matrahı oluşturan unsurlar arasında yer almaz.</w:t>
      </w:r>
    </w:p>
    <w:p>
      <w:pPr>
        <w:pStyle w:val="BodyText"/>
      </w:pPr>
      <w:r>
        <w:rPr>
          <w:bCs/>
          <w:b/>
        </w:rPr>
        <w:t xml:space="preserve">Tuzak:</w:t>
      </w:r>
      <w:r>
        <w:t xml:space="preserve"> </w:t>
      </w:r>
      <w:r>
        <w:t xml:space="preserve">Ziynet eşyasında külçe altın bedelinin düşüldüğü özel matrah hükmünü bilmeyen aday malın tüm kıymetini matraha dahil sayar; yeni eklenen ÖTV teminat tutarını veya kur farkını matrah dışında sanan aday ise bu unsurlardan birini işaretler.</w:t>
      </w:r>
    </w:p>
    <w:p>
      <w:pPr>
        <w:pStyle w:val="BodyText"/>
      </w:pPr>
      <w:r>
        <w:rPr>
          <w:bCs/>
          <w:b/>
        </w:rPr>
        <w:t xml:space="preserve">Dayanak:</w:t>
      </w:r>
      <w:r>
        <w:t xml:space="preserve"> </w:t>
      </w:r>
      <w:r>
        <w:t xml:space="preserve">3065 sayılı Katma Değer Vergisi Kanunu md. 21 (ç bendi 24.07.2025 tarihinde eklenmiştir) ve md. 23/e</w:t>
      </w:r>
    </w:p>
    <w:bookmarkEnd w:id="117"/>
    <w:bookmarkStart w:id="118" w:name="soru-cevap-e-18"/>
    <w:p>
      <w:pPr>
        <w:pStyle w:val="Heading4"/>
      </w:pPr>
      <w:r>
        <w:t xml:space="preserve">97. soru — Cevap: E</w:t>
      </w:r>
    </w:p>
    <w:p>
      <w:pPr>
        <w:pStyle w:val="FirstParagraph"/>
      </w:pPr>
      <w:r>
        <w:rPr>
          <w:iCs/>
          <w:i/>
        </w:rPr>
        <w:t xml:space="preserve">SAİR · ÖTV · O1</w:t>
      </w:r>
    </w:p>
    <w:p>
      <w:pPr>
        <w:pStyle w:val="BodyText"/>
      </w:pPr>
      <w:r>
        <w:rPr>
          <w:bCs/>
          <w:b/>
        </w:rPr>
        <w:t xml:space="preserve">Doğru şık:</w:t>
      </w:r>
      <w:r>
        <w:t xml:space="preserve"> </w:t>
      </w:r>
      <w:r>
        <w:t xml:space="preserve">E) Genelkurmay Başkanlığı</w:t>
      </w:r>
    </w:p>
    <w:p>
      <w:pPr>
        <w:pStyle w:val="BodyText"/>
      </w:pPr>
      <w:r>
        <w:t xml:space="preserve">ÖTV Kanunu, söz konusu silahların Milli Savunma Bakanlığı, Adalet Bakanlığı, Jandarma Genel Komutanlığı, Sahil Güvenlik Komutanlığı, Milli İstihbarat Teşkilatı, Savunma Sanayii Müsteşarlığı (Başkanlığı), Emniyet Genel Müdürlüğü ve Gümrükler Muhafaza Genel Müdürlüğüne teslimini veya bunlar tarafından ithalini vergiden istisna etmiştir. Genelkurmay Başkanlığı, Gümrük Kanununun 167 nci maddesinin (3) numaralı bendindeki gümrük vergisi muafiyetinde sayılan kurumlardandır; ÖTV Kanunundaki bu istisnada sayılmamıştır.</w:t>
      </w:r>
    </w:p>
    <w:p>
      <w:pPr>
        <w:pStyle w:val="BodyText"/>
      </w:pPr>
      <w:r>
        <w:rPr>
          <w:bCs/>
          <w:b/>
        </w:rPr>
        <w:t xml:space="preserve">Tuzak:</w:t>
      </w:r>
      <w:r>
        <w:t xml:space="preserve"> </w:t>
      </w:r>
      <w:r>
        <w:t xml:space="preserve">Gümrük Kanunu 167/3’teki savunma ve güvenlik kurumları listesini ÖTV istisnasına taşıyan aday Genelkurmay Başkanlığını da sayılmış sanır.</w:t>
      </w:r>
    </w:p>
    <w:p>
      <w:pPr>
        <w:pStyle w:val="BodyText"/>
      </w:pPr>
      <w:r>
        <w:rPr>
          <w:bCs/>
          <w:b/>
        </w:rPr>
        <w:t xml:space="preserve">Dayanak:</w:t>
      </w:r>
      <w:r>
        <w:t xml:space="preserve"> </w:t>
      </w:r>
      <w:r>
        <w:t xml:space="preserve">4760 sayılı Özel Tüketim Vergisi Kanunu md. 7/4</w:t>
      </w:r>
    </w:p>
    <w:bookmarkEnd w:id="118"/>
    <w:bookmarkStart w:id="119" w:name="soru-cevap-e-19"/>
    <w:p>
      <w:pPr>
        <w:pStyle w:val="Heading4"/>
      </w:pPr>
      <w:r>
        <w:t xml:space="preserve">98. soru — Cevap: E</w:t>
      </w:r>
    </w:p>
    <w:p>
      <w:pPr>
        <w:pStyle w:val="FirstParagraph"/>
      </w:pPr>
      <w:r>
        <w:rPr>
          <w:iCs/>
          <w:i/>
        </w:rPr>
        <w:t xml:space="preserve">SAİR · ÖTV · Ö3</w:t>
      </w:r>
    </w:p>
    <w:p>
      <w:pPr>
        <w:pStyle w:val="BodyText"/>
      </w:pPr>
      <w:r>
        <w:rPr>
          <w:bCs/>
          <w:b/>
        </w:rPr>
        <w:t xml:space="preserve">Doğru şık:</w:t>
      </w:r>
      <w:r>
        <w:t xml:space="preserve"> </w:t>
      </w:r>
      <w:r>
        <w:t xml:space="preserve">E) I, II, III ve IV</w:t>
      </w:r>
    </w:p>
    <w:p>
      <w:pPr>
        <w:pStyle w:val="BodyText"/>
      </w:pPr>
      <w:r>
        <w:t xml:space="preserve">ÖTV Kanununa göre Gümrük Kanununun transit, gümrük antrepo, dahilde işleme ve gümrük kontrolü altında işleme rejimlerine tabi tutulanlar ile serbest bölgeler ve geçici depolama yerleri hükümlerinin uygulandığı mallar vergiden müstesnadır; (IV) sayılı liste Tebliği de dahilde işleme rejimi kapsamında ithali ÖTV’den istisna saymıştır. Bu nedenle dört öncülün tamamı istisna kapsamındadır. KDV Kanununun ithalat istisnasında dahilde işleme ve gümrük kontrolü altında işleme rejimleri sayılmamış olması, ÖTV bakımından sonucu değiştirmez.</w:t>
      </w:r>
    </w:p>
    <w:p>
      <w:pPr>
        <w:pStyle w:val="BodyText"/>
      </w:pPr>
      <w:r>
        <w:rPr>
          <w:bCs/>
          <w:b/>
        </w:rPr>
        <w:t xml:space="preserve">Tuzak:</w:t>
      </w:r>
      <w:r>
        <w:t xml:space="preserve"> </w:t>
      </w:r>
      <w:r>
        <w:t xml:space="preserve">KDV Kanunundaki ithalat istisnası sayımını (transit, antrepo, geçici depolama, serbest bölge) ÖTV’ye taşıyan aday II ve III’ü dışarıda bırakarak ’I ve IV’ü seçer.</w:t>
      </w:r>
    </w:p>
    <w:p>
      <w:pPr>
        <w:pStyle w:val="BodyText"/>
      </w:pPr>
      <w:r>
        <w:rPr>
          <w:bCs/>
          <w:b/>
        </w:rPr>
        <w:t xml:space="preserve">Dayanak:</w:t>
      </w:r>
      <w:r>
        <w:t xml:space="preserve"> </w:t>
      </w:r>
      <w:r>
        <w:t xml:space="preserve">4760 sayılı Özel Tüketim Vergisi Kanunu md. 7/1-(7); ÖTV (IV) Sayılı Liste Uygulama Genel Tebliği II-B-4</w:t>
      </w:r>
    </w:p>
    <w:bookmarkEnd w:id="119"/>
    <w:bookmarkStart w:id="120" w:name="soru-cevap-b-19"/>
    <w:p>
      <w:pPr>
        <w:pStyle w:val="Heading4"/>
      </w:pPr>
      <w:r>
        <w:t xml:space="preserve">99. soru — Cevap: B</w:t>
      </w:r>
    </w:p>
    <w:p>
      <w:pPr>
        <w:pStyle w:val="FirstParagraph"/>
      </w:pPr>
      <w:r>
        <w:rPr>
          <w:iCs/>
          <w:i/>
        </w:rPr>
        <w:t xml:space="preserve">SAİR · Damga vergisi, KKDF · D6</w:t>
      </w:r>
    </w:p>
    <w:p>
      <w:pPr>
        <w:pStyle w:val="BodyText"/>
      </w:pPr>
      <w:r>
        <w:rPr>
          <w:bCs/>
          <w:b/>
        </w:rPr>
        <w:t xml:space="preserve">Doğru şık:</w:t>
      </w:r>
      <w:r>
        <w:t xml:space="preserve"> </w:t>
      </w:r>
      <w:r>
        <w:t xml:space="preserve">B) Tebliğ tarihinden itibaren 60 gün içinde Bakanlığa (İhracat Genel Müdürlüğü)</w:t>
      </w:r>
    </w:p>
    <w:p>
      <w:pPr>
        <w:pStyle w:val="BodyText"/>
      </w:pPr>
      <w:r>
        <w:t xml:space="preserve">Karara göre Vergi Resim Harç İstisnası Belgesi sahibi firmalar, kendilerine tebliğ edilen taahhüt hesabının müeyyideli kapatılması işlemine karşı tebliğ tarihinden itibaren 60 gün içinde Bakanlığa (İhracat Genel Müdürlüğü) yazılı olarak itiraz edebilir; süre 19.12.2025 tarihli ve 10705 sayılı Cumhurbaşkanı Kararı ile 60 güne çıkarılmıştır. Taahhüdü TCMB’nin ilgili şubesi kapatır, ancak itiraz mercii değildir; belge süresi sonundan itibaren üç aylık süre, taahhüt kapatma için gereken bilgi ve belgelerin TCMB şubesine sunulma süresidir. Vergi dairesi itiraz mercii değildir; altı aylık süre ise Kararda belgesiz ihracat kredilerinde taahhüt süresinin uzatılmasına ilişkindir.</w:t>
      </w:r>
    </w:p>
    <w:p>
      <w:pPr>
        <w:pStyle w:val="BodyText"/>
      </w:pPr>
      <w:r>
        <w:rPr>
          <w:bCs/>
          <w:b/>
        </w:rPr>
        <w:t xml:space="preserve">Tuzak:</w:t>
      </w:r>
      <w:r>
        <w:t xml:space="preserve"> </w:t>
      </w:r>
      <w:r>
        <w:t xml:space="preserve">Taahhüt kapatma işlemini yapan TCMB şubesini itiraz mercii sanan ya da belgelerin TCMB’ye sunulmasına ilişkin üç aylık süreyi itiraz süresiyle karıştıran aday TCMB’li şıklardan birine kayar.</w:t>
      </w:r>
    </w:p>
    <w:p>
      <w:pPr>
        <w:pStyle w:val="BodyText"/>
      </w:pPr>
      <w:r>
        <w:rPr>
          <w:bCs/>
          <w:b/>
        </w:rPr>
        <w:t xml:space="preserve">Dayanak:</w:t>
      </w:r>
      <w:r>
        <w:t xml:space="preserve"> </w:t>
      </w:r>
      <w:r>
        <w:t xml:space="preserve">İhracat, Transit Ticaret, İhracat Sayılan Satış ve Teslimler ile Döviz Kazandırıcı Hizmet ve Faaliyetlerde Vergi, Resim ve Harç İstisnası Hakkında Karar (99/13812) md. 10 (19.12.2025 tarihli ve 10705 sayılı CK ile değişik)</w:t>
      </w:r>
    </w:p>
    <w:bookmarkEnd w:id="120"/>
    <w:bookmarkStart w:id="121" w:name="soru-cevap-d-19"/>
    <w:p>
      <w:pPr>
        <w:pStyle w:val="Heading4"/>
      </w:pPr>
      <w:r>
        <w:t xml:space="preserve">100. soru — Cevap: D</w:t>
      </w:r>
    </w:p>
    <w:p>
      <w:pPr>
        <w:pStyle w:val="FirstParagraph"/>
      </w:pPr>
      <w:r>
        <w:rPr>
          <w:iCs/>
          <w:i/>
        </w:rPr>
        <w:t xml:space="preserve">SAİR · Damga vergisi, KKDF · O2</w:t>
      </w:r>
    </w:p>
    <w:p>
      <w:pPr>
        <w:pStyle w:val="BodyText"/>
      </w:pPr>
      <w:r>
        <w:rPr>
          <w:bCs/>
          <w:b/>
        </w:rPr>
        <w:t xml:space="preserve">Doğru şık:</w:t>
      </w:r>
      <w:r>
        <w:t xml:space="preserve"> </w:t>
      </w:r>
      <w:r>
        <w:t xml:space="preserve">D) Mücbir sebep hâlleri nedeniyle ihracat ve taahhüdün gerçekleşmediğine karar verilen kredilere ait fon kesintileri, cezai faiz uygulanmaksızın alınır.</w:t>
      </w:r>
    </w:p>
    <w:p>
      <w:pPr>
        <w:pStyle w:val="BodyText"/>
      </w:pPr>
      <w:r>
        <w:t xml:space="preserve">Karara göre ihracat ve taahhüdün mücbir sebep hâlleri nedeniyle gerçekleşmediğine karar verilen kredilere ait fon kesintileri alınmaz; cezai faizsiz alınacağını belirten ifade yanlıştır. İhracatı teşvik belgesi ve DİİB kapsamındaki ithalatta oranların %0 uygulanması, taahhüdün gerçekleşmemesi hâlinde indirimli kesintinin tama iblağ edilerek cezai faizle gümrük idarelerince tahsili, cezai faizin kanuni faizin iki katı olması ve gümrük idarelerinin de yatırmadan sorumlu tutulması Kararın hükümleridir.</w:t>
      </w:r>
    </w:p>
    <w:p>
      <w:pPr>
        <w:pStyle w:val="BodyText"/>
      </w:pPr>
      <w:r>
        <w:rPr>
          <w:bCs/>
          <w:b/>
        </w:rPr>
        <w:t xml:space="preserve">Tuzak:</w:t>
      </w:r>
      <w:r>
        <w:t xml:space="preserve"> </w:t>
      </w:r>
      <w:r>
        <w:t xml:space="preserve">Maddi hata hâlinde cezai faiz alınmaması kuralını mücbir sebep hâline taşıyan aday, kesintinin hiç alınmadığını gözden kaçırır.</w:t>
      </w:r>
    </w:p>
    <w:p>
      <w:pPr>
        <w:pStyle w:val="BodyText"/>
      </w:pPr>
      <w:r>
        <w:rPr>
          <w:bCs/>
          <w:b/>
        </w:rPr>
        <w:t xml:space="preserve">Dayanak:</w:t>
      </w:r>
      <w:r>
        <w:t xml:space="preserve"> </w:t>
      </w:r>
      <w:r>
        <w:t xml:space="preserve">Kaynak Kullanımını Destekleme Fonu Hakkında Karar (88/12944) md. 3, 5 ve 8</w:t>
      </w:r>
    </w:p>
    <w:bookmarkEnd w:id="121"/>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42">
    <w:nsid w:val="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43">
    <w:nsid w:val="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68">
    <w:nsid w:val="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6115">
    <w:nsid w:val="A996115"/>
    <w:multiLevelType w:val="multilevel"/>
    <w:lvl w:ilvl="0">
      <w:start w:val="15"/>
      <w:numFmt w:val="upperRoman"/>
      <w:lvlText w:val="%1."/>
      <w:lvlJc w:val="left"/>
      <w:pPr>
        <w:ind w:left="720" w:hanging="480"/>
      </w:pPr>
    </w:lvl>
    <w:lvl w:ilvl="1">
      <w:start w:val="15"/>
      <w:numFmt w:val="upperRoman"/>
      <w:lvlText w:val="%2."/>
      <w:lvlJc w:val="left"/>
      <w:pPr>
        <w:ind w:left="1440" w:hanging="480"/>
      </w:pPr>
    </w:lvl>
    <w:lvl w:ilvl="2">
      <w:start w:val="15"/>
      <w:numFmt w:val="upperRoman"/>
      <w:lvlText w:val="%3."/>
      <w:lvlJc w:val="left"/>
      <w:pPr>
        <w:ind w:left="2160" w:hanging="480"/>
      </w:pPr>
    </w:lvl>
    <w:lvl w:ilvl="3">
      <w:start w:val="15"/>
      <w:numFmt w:val="upperRoman"/>
      <w:lvlText w:val="%4."/>
      <w:lvlJc w:val="left"/>
      <w:pPr>
        <w:ind w:left="2880" w:hanging="480"/>
      </w:pPr>
    </w:lvl>
    <w:lvl w:ilvl="4">
      <w:start w:val="15"/>
      <w:numFmt w:val="upperRoman"/>
      <w:lvlText w:val="%5."/>
      <w:lvlJc w:val="left"/>
      <w:pPr>
        <w:ind w:left="3600" w:hanging="480"/>
      </w:pPr>
    </w:lvl>
    <w:lvl w:ilvl="5">
      <w:start w:val="15"/>
      <w:numFmt w:val="upperRoman"/>
      <w:lvlText w:val="%6."/>
      <w:lvlJc w:val="left"/>
      <w:pPr>
        <w:ind w:left="4320" w:hanging="480"/>
      </w:pPr>
    </w:lvl>
    <w:lvl w:ilvl="6">
      <w:start w:val="15"/>
      <w:numFmt w:val="upperRoman"/>
      <w:lvlText w:val="%7."/>
      <w:lvlJc w:val="left"/>
      <w:pPr>
        <w:ind w:left="5040" w:hanging="480"/>
      </w:pPr>
    </w:lvl>
    <w:lvl w:ilvl="7">
      <w:start w:val="15"/>
      <w:numFmt w:val="upperRoman"/>
      <w:lvlText w:val="%8."/>
      <w:lvlJc w:val="left"/>
      <w:pPr>
        <w:ind w:left="5760" w:hanging="480"/>
      </w:pPr>
    </w:lvl>
    <w:lvl w:ilvl="8">
      <w:start w:val="15"/>
      <w:numFmt w:val="upperRoman"/>
      <w:lvlText w:val="%9."/>
      <w:lvlJc w:val="left"/>
      <w:pPr>
        <w:ind w:left="6480" w:hanging="480"/>
      </w:pPr>
    </w:lvl>
  </w:abstractNum>
  <w:abstractNum w:abstractNumId="994195">
    <w:nsid w:val="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num w:numId="1000">
    <w:abstractNumId w:val="990"/>
  </w:num>
  <w:num w:numId="1001">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05">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06">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07">
    <w:abstractNumId w:val="996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B3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2026-10-10T00:33:05Z</dcterms:created>
  <dcterms:modified xsi:type="dcterms:W3CDTF">2026-10-10T00:33:05Z</dcterms:modified>
</cp:coreProperties>
</file>

<file path=docProps/custom.xml><?xml version="1.0" encoding="utf-8"?>
<Properties xmlns="http://schemas.openxmlformats.org/officeDocument/2006/custom-properties" xmlns:vt="http://schemas.openxmlformats.org/officeDocument/2006/docPropsVTypes"/>
</file>