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36</w:t>
      </w:r>
    </w:p>
    <w:p>
      <w:pPr>
        <w:spacing w:after="60"/>
      </w:pPr>
      <w:r>
        <w:rPr>
          <w:color w:val="5B6475"/>
          <w:sz w:val="24"/>
          <w:szCs w:val="24"/>
        </w:rPr>
        <w:t xml:space="preserve">Barut ve patlayıcı maddeler; pirotekni mamulleri; kibritler; piroforik alaşımlar; ateş alıcı maddeler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36 kapsamındaki GTİP'lerde sınıflandırılmış 3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36.03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36.06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36.03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47750"/>
                  <wp:effectExtent t="0" r="0" b="0" l="0"/>
                  <wp:docPr id="1" name="TR060000170010.jpg" descr="BTB resmi" title="TR0600001700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3603.00.10.00.11</w:t>
            </w:r>
            <w:r>
              <w:rPr>
                <w:color w:val="5B6475"/>
                <w:sz w:val="18"/>
                <w:szCs w:val="18"/>
              </w:rPr>
              <w:t xml:space="preserve">   TR060000170010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12.04.2017   ·   Bitiş: 31.12.2017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İNFİLAK FİTİLİ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36.06</w:t>
      </w:r>
      <w:r>
        <w:rPr>
          <w:b w:val="false"/>
          <w:bCs w:val="false"/>
          <w:color w:val="5B6475"/>
          <w:sz w:val="22"/>
          <w:szCs w:val="22"/>
        </w:rPr>
        <w:t xml:space="preserve">   (2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057275" cy="1571625"/>
                  <wp:effectExtent t="0" r="0" b="0" l="0"/>
                  <wp:docPr id="2" name="TR070147.jpg" descr="BTB resmi" title="TR0701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3606.10.00.00.00</w:t>
            </w:r>
            <w:r>
              <w:rPr>
                <w:color w:val="5B6475"/>
                <w:sz w:val="18"/>
                <w:szCs w:val="18"/>
              </w:rPr>
              <w:t xml:space="preserve">   TR070147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28.02.2007   ·   Bitiş: 27.02.2013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Ahşap uygulamaları için akülü gaz patlamalı çivi çakma makinalarında itici gaz olarak kullanılan, %28,34 propan ve %71,45 bütan bileşimine sahip, 80ml.lik alüminyum tüp içerisinde satılan madde.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GTC İzahnamesi 36.06 tarife pozisyonu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3" name="TR340000130279.jpg" descr="BTB resmi" title="TR34000013027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3606.90.10.90.00</w:t>
            </w:r>
            <w:r>
              <w:rPr>
                <w:color w:val="5B6475"/>
                <w:sz w:val="18"/>
                <w:szCs w:val="18"/>
              </w:rPr>
              <w:t xml:space="preserve">   TR340000130279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19.11.2013   ·   Bitiş: 18.11.2019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ATEŞ ALICI VE YÜKSEK TUTUŞTURUCU ÖZELLİĞİ OLAN KAYNAK İŞLERİNDE KULLANILAN EŞYA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KURALLARI (1)VE(6) 36.06 TARİFE POZİSYONU AÇIKLAMA NOTLARI, 10.10.2013 TARİHLİ 340 SAYILI İSTANBUL GÜMRÜK BÖLGE LABORATUAR MÜDÜRLÜĞÜ RAPORU.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36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c27ba3d002cea4ae2e8a8d6113000725bdc9201.jpg"/><Relationship Id="rId10" Type="http://schemas.openxmlformats.org/officeDocument/2006/relationships/image" Target="media/d6a8577c2dd78a1a382eaeb506e9e7a44f056e46.jpg"/><Relationship Id="rId11" Type="http://schemas.openxmlformats.org/officeDocument/2006/relationships/image" Target="media/9e2fc1765b6e2b4dfe6415ca0fdcb50fb894f2f5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36 – Bağlayıcı Tarife Bilgileri</dc:title>
  <dc:creator>Gümrük Koçu - Ufuk Çetintaş</dc:creator>
  <cp:lastModifiedBy>Un-named</cp:lastModifiedBy>
  <cp:revision>1</cp:revision>
  <dcterms:created xsi:type="dcterms:W3CDTF">2026-10-21T15:25:02.006Z</dcterms:created>
  <dcterms:modified xsi:type="dcterms:W3CDTF">2026-10-21T15:25:02.006Z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