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5BD3"/>
          <w:spacing w:val="40"/>
          <w:sz w:val="20"/>
          <w:szCs w:val="20"/>
        </w:rPr>
        <w:t xml:space="preserve">BAĞLAYICI TARİFE BİLGİLERİ</w:t>
      </w:r>
    </w:p>
    <w:p>
      <w:pPr>
        <w:spacing w:after="80"/>
      </w:pPr>
      <w:r>
        <w:rPr>
          <w:b/>
          <w:bCs/>
          <w:color w:val="1F2A44"/>
          <w:sz w:val="52"/>
          <w:szCs w:val="52"/>
        </w:rPr>
        <w:t xml:space="preserve">Fasıl 52</w:t>
      </w:r>
    </w:p>
    <w:p>
      <w:pPr>
        <w:spacing w:after="60"/>
      </w:pPr>
      <w:r>
        <w:rPr>
          <w:color w:val="5B6475"/>
          <w:sz w:val="24"/>
          <w:szCs w:val="24"/>
        </w:rPr>
        <w:t xml:space="preserve">Pamuk</w:t>
      </w:r>
    </w:p>
    <w:p>
      <w:pPr>
        <w:pBdr>
          <w:bottom w:val="single" w:color="2F5BD3" w:sz="12" w:space="8"/>
        </w:pBdr>
        <w:spacing w:after="240"/>
      </w:pPr>
      <w:r>
        <w:rPr>
          <w:b/>
          <w:bCs/>
          <w:color w:val="1F2A44"/>
          <w:sz w:val="22"/>
          <w:szCs w:val="22"/>
        </w:rPr>
        <w:t xml:space="preserve">Gümrük Koçu - Ufuk Çetintaş</w:t>
      </w:r>
      <w:r>
        <w:rPr>
          <w:color w:val="5B6475"/>
          <w:sz w:val="22"/>
          <w:szCs w:val="22"/>
        </w:rPr>
        <w:t xml:space="preserve">   ·   21 Ekim 2026</w:t>
      </w:r>
    </w:p>
    <w:p>
      <w:pPr>
        <w:spacing w:after="160" w:line="288"/>
      </w:pPr>
      <w:r>
        <w:rPr>
          <w:sz w:val="22"/>
          <w:szCs w:val="22"/>
        </w:rPr>
        <w:t xml:space="preserve">Bu dosya, Türkiye'de verilmiş ve Fasıl 52 kapsamındaki GTİP'lerde sınıflandırılmış 1 bağlayıcı tarife bilgisini (BTB) içerir; bunların 0 tanesi yürürlüktedir. Kayıtlar GTİP sırasına göre dizilmiş ve 4 haneli pozisyonlara göre gruplanmıştır. Kaynak: mevzuat.net, Türkçe Bağlayıcı Tarife Bilgileri (21 Ekim 2026 itibarıyla).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200"/>
        <w:gridCol w:w="3238"/>
      </w:tblGrid>
      <w:tr>
        <w:trPr>
          <w:tblHeader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Pozisyon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BTB sayısı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8EEFB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Yürürlükte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52.10</w:t>
            </w:r>
          </w:p>
        </w:tc>
        <w:tc>
          <w:tcPr>
            <w:tcW w:type="dxa" w:w="320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3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pStyle w:val="Heading1"/>
        <w:keepNext/>
        <w:pBdr>
          <w:bottom w:val="single" w:color="C9CED8" w:sz="6" w:space="4"/>
        </w:pBdr>
        <w:spacing w:after="140" w:before="320"/>
      </w:pPr>
      <w:r>
        <w:t xml:space="preserve">Pozisyon 52.10</w:t>
      </w:r>
      <w:r>
        <w:rPr>
          <w:b w:val="false"/>
          <w:bCs w:val="false"/>
          <w:color w:val="5B6475"/>
          <w:sz w:val="22"/>
          <w:szCs w:val="22"/>
        </w:rPr>
        <w:t xml:space="preserve">   (1 BTB)</w:t>
      </w:r>
    </w:p>
    <w:tbl>
      <w:tblPr>
        <w:tblW w:type="dxa" w:w="9638"/>
        <w:tblBorders>
          <w:top w:val="single" w:color="C9CED8" w:sz="4"/>
          <w:left w:val="single" w:color="C9CED8" w:sz="4"/>
          <w:bottom w:val="single" w:color="C9CED8" w:sz="4"/>
          <w:right w:val="single" w:color="C9CED8" w:sz="4"/>
          <w:insideH w:val="none" w:color="FFFFFF" w:sz="0"/>
          <w:insideV w:val="single" w:color="C9CED8" w:sz="4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  <w:jc w:val="center"/>
            </w:pPr>
            <w:r>
              <w:rPr>
                <w:i/>
                <w:iCs/>
                <w:color w:val="5B6475"/>
                <w:sz w:val="18"/>
                <w:szCs w:val="18"/>
              </w:rPr>
              <w:t xml:space="preserve">Resim yok</w:t>
            </w:r>
          </w:p>
        </w:tc>
        <w:tc>
          <w:tcPr>
            <w:tcW w:type="dxa" w:w="6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 w:line="264"/>
            </w:pPr>
            <w:r>
              <w:rPr>
                <w:b/>
                <w:bCs/>
                <w:color w:val="2F5BD3"/>
                <w:sz w:val="24"/>
                <w:szCs w:val="24"/>
              </w:rPr>
              <w:t xml:space="preserve">5210.11.10.92.19</w:t>
            </w:r>
            <w:r>
              <w:rPr>
                <w:color w:val="5B6475"/>
                <w:sz w:val="18"/>
                <w:szCs w:val="18"/>
              </w:rPr>
              <w:t xml:space="preserve">   TR010058</w:t>
            </w:r>
          </w:p>
          <w:p>
            <w:pPr>
              <w:spacing w:after="100"/>
            </w:pPr>
            <w:r>
              <w:rPr>
                <w:b/>
                <w:bCs/>
                <w:color w:val="B91C1C"/>
                <w:sz w:val="18"/>
                <w:szCs w:val="18"/>
              </w:rPr>
              <w:t xml:space="preserve">Yürürlükte değil</w:t>
            </w:r>
            <w:r>
              <w:rPr>
                <w:color w:val="5B6475"/>
                <w:sz w:val="18"/>
                <w:szCs w:val="18"/>
              </w:rPr>
              <w:t xml:space="preserve">   ·   Başlangıç: ?   ·   Bitiş: ?</w:t>
            </w:r>
          </w:p>
          <w:p>
            <w:pPr>
              <w:spacing w:after="100" w:line="264"/>
            </w:pPr>
            <w:r>
              <w:rPr>
                <w:b/>
                <w:bCs/>
                <w:sz w:val="20"/>
                <w:szCs w:val="20"/>
              </w:rPr>
              <w:t xml:space="preserve">Eşya: </w:t>
            </w:r>
            <w:r>
              <w:rPr>
                <w:sz w:val="20"/>
                <w:szCs w:val="20"/>
              </w:rPr>
              <w:t xml:space="preserve">Ağırlığı itibariyle %85’den az pamuk içeren (%55 pamuk %45 polyester) sentetik veya suni Liflerle karıştırılmış olup, metrekare ağırlığı 200 gramı geçmeyen, ağartılmamış, bez ayağı Mensucat.</w:t>
            </w:r>
          </w:p>
          <w:p>
            <w:pPr>
              <w:spacing w:after="60" w:line="264"/>
            </w:pPr>
            <w:r>
              <w:rPr>
                <w:b/>
                <w:bCs/>
                <w:color w:val="5B6475"/>
                <w:sz w:val="18"/>
                <w:szCs w:val="18"/>
              </w:rPr>
              <w:t xml:space="preserve">Gerekçe: </w:t>
            </w:r>
            <w:r>
              <w:rPr>
                <w:color w:val="5B6475"/>
                <w:sz w:val="18"/>
                <w:szCs w:val="18"/>
              </w:rPr>
              <w:t xml:space="preserve">Genel yorum kuralları1 ve 6 Gümrük Tarife İzahnamesi 52.10 tarife pozisyonuna ilişkin açıklama notları.</w:t>
            </w:r>
          </w:p>
        </w:tc>
      </w:tr>
    </w:tbl>
    <w:p>
      <w:pPr>
        <w:spacing w:after="10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5"/>
        <w:sz w:val="18"/>
        <w:szCs w:val="18"/>
      </w:rPr>
      <w:t xml:space="preserve">Sayfa </w:t>
    </w:r>
    <w:r>
      <w:rPr>
        <w:color w:val="5B64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475"/>
        <w:sz w:val="18"/>
        <w:szCs w:val="18"/>
      </w:rPr>
      <w:t xml:space="preserve"> / </w:t>
    </w:r>
    <w:r>
      <w:rPr>
        <w:color w:val="5B64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D8" w:sz="4" w:space="4"/>
      </w:pBdr>
      <w:tabs>
        <w:tab w:val="right" w:pos="9638"/>
      </w:tabs>
    </w:pPr>
    <w:r>
      <w:rPr>
        <w:b/>
        <w:bCs/>
        <w:color w:val="2F5BD3"/>
        <w:sz w:val="18"/>
        <w:szCs w:val="18"/>
      </w:rPr>
      <w:t xml:space="preserve">Gümrük Koçu - Ufuk Çetintaş</w:t>
    </w:r>
    <w:r>
      <w:rPr>
        <w:color w:val="5B6475"/>
        <w:sz w:val="18"/>
        <w:szCs w:val="18"/>
      </w:rPr>
      <w:t xml:space="preserve">	Fasıl 52 – Bağlayıcı Tarife Bilgileri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44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2A44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Fasıl 52 – Bağlayıcı Tarife Bilgileri</dc:title>
  <dc:creator>Gümrük Koçu - Ufuk Çetintaş</dc:creator>
  <cp:lastModifiedBy>Un-named</cp:lastModifiedBy>
  <cp:revision>1</cp:revision>
  <dcterms:created xsi:type="dcterms:W3CDTF">2026-10-21T15:25:12.676Z</dcterms:created>
  <dcterms:modified xsi:type="dcterms:W3CDTF">2026-10-21T15:25:12.676Z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