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5BD3"/>
          <w:spacing w:val="40"/>
          <w:sz w:val="20"/>
          <w:szCs w:val="20"/>
        </w:rPr>
        <w:t xml:space="preserve">BAĞLAYICI TARİFE BİLGİLERİ</w:t>
      </w:r>
    </w:p>
    <w:p>
      <w:pPr>
        <w:spacing w:after="80"/>
      </w:pPr>
      <w:r>
        <w:rPr>
          <w:b/>
          <w:bCs/>
          <w:color w:val="1F2A44"/>
          <w:sz w:val="52"/>
          <w:szCs w:val="52"/>
        </w:rPr>
        <w:t xml:space="preserve">Fasıl 66</w:t>
      </w:r>
    </w:p>
    <w:p>
      <w:pPr>
        <w:spacing w:after="60"/>
      </w:pPr>
      <w:r>
        <w:rPr>
          <w:color w:val="5B6475"/>
          <w:sz w:val="24"/>
          <w:szCs w:val="24"/>
        </w:rPr>
        <w:t xml:space="preserve">Şemsiyeler, güneş şemsiyeleri, bastonlar, iskemle bastonlar, kamçılar, kırbaçlar ve bunların aksamı</w:t>
      </w:r>
    </w:p>
    <w:p>
      <w:pPr>
        <w:pBdr>
          <w:bottom w:val="single" w:color="2F5BD3" w:sz="12" w:space="8"/>
        </w:pBdr>
        <w:spacing w:after="240"/>
      </w:pPr>
      <w:r>
        <w:rPr>
          <w:b/>
          <w:bCs/>
          <w:color w:val="1F2A44"/>
          <w:sz w:val="22"/>
          <w:szCs w:val="22"/>
        </w:rPr>
        <w:t xml:space="preserve">Gümrük Koçu - Ufuk Çetintaş</w:t>
      </w:r>
      <w:r>
        <w:rPr>
          <w:color w:val="5B6475"/>
          <w:sz w:val="22"/>
          <w:szCs w:val="22"/>
        </w:rPr>
        <w:t xml:space="preserve">   ·   21 Ekim 2026</w:t>
      </w:r>
    </w:p>
    <w:p>
      <w:pPr>
        <w:spacing w:after="160" w:line="288"/>
      </w:pPr>
      <w:r>
        <w:rPr>
          <w:sz w:val="22"/>
          <w:szCs w:val="22"/>
        </w:rPr>
        <w:t xml:space="preserve">Bu dosya, Türkiye'de verilmiş ve Fasıl 66 kapsamındaki GTİP'lerde sınıflandırılmış 5 bağlayıcı tarife bilgisini (BTB) içerir; bunların 0 tanesi yürürlüktedir. Kayıtlar GTİP sırasına göre dizilmiş ve 4 haneli pozisyonlara göre gruplanmıştır. Kaynak: mevzuat.net, Türkçe Bağlayıcı Tarife Bilgileri (21 Ekim 2026 itibarıyla).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Pozisyon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BTB sayısı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Yürürlükte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66.01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66.03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66.01</w:t>
      </w:r>
      <w:r>
        <w:rPr>
          <w:b w:val="false"/>
          <w:bCs w:val="false"/>
          <w:color w:val="5B6475"/>
          <w:sz w:val="22"/>
          <w:szCs w:val="22"/>
        </w:rPr>
        <w:t xml:space="preserve">   (2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876300"/>
                  <wp:effectExtent t="0" r="0" b="0" l="0"/>
                  <wp:docPr id="1" name="TR340000180082.jpg" descr="BTB resmi" title="TR34000018008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6601.10.00.00.00</w:t>
            </w:r>
            <w:r>
              <w:rPr>
                <w:color w:val="5B6475"/>
                <w:sz w:val="18"/>
                <w:szCs w:val="18"/>
              </w:rPr>
              <w:t xml:space="preserve">   TR340000180082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05.06.2018   ·   Bitiş: 04.06.2024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LANMODO MARKA ARAÇLAR İÇİN GÜNEŞ VE ISIDAN KORUMAK İÇİN UZAKTAN KUMANDALI, ÇADIR ŞEMSİYESİ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KURALLARI (1) VE (6) 66.01 TARİFE İZAHNAME NOTLARI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181100"/>
                  <wp:effectExtent t="0" r="0" b="0" l="0"/>
                  <wp:docPr id="2" name="TR160000100001.jpg" descr="BTB resmi" title="TR160000100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6601.99.90.00.00</w:t>
            </w:r>
            <w:r>
              <w:rPr>
                <w:color w:val="5B6475"/>
                <w:sz w:val="18"/>
                <w:szCs w:val="18"/>
              </w:rPr>
              <w:t xml:space="preserve">   TR160000100001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12.02.2010   ·   Bitiş: 11.02.2016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GÜNEŞLİK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KURALLARI 1,3,4,5,6 GTİP.6601 VE 6306 TARİFE POZİSYONU AÇIKLAMA NOTLARI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66.03</w:t>
      </w:r>
      <w:r>
        <w:rPr>
          <w:b w:val="false"/>
          <w:bCs w:val="false"/>
          <w:color w:val="5B6475"/>
          <w:sz w:val="22"/>
          <w:szCs w:val="22"/>
        </w:rPr>
        <w:t xml:space="preserve">   (3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285875"/>
                  <wp:effectExtent t="0" r="0" b="0" l="0"/>
                  <wp:docPr id="3" name="TR070488.jpg" descr="BTB resmi" title="TR07048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6603.90.90.10.00</w:t>
            </w:r>
            <w:r>
              <w:rPr>
                <w:color w:val="5B6475"/>
                <w:sz w:val="18"/>
                <w:szCs w:val="18"/>
              </w:rPr>
              <w:t xml:space="preserve">   TR070488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09.07.2007   ·   Bitiş: ?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Ortasında şemsiye sapının gireceği yuvası açılmış ve bu yuvaya uygun boru takılmış, sıkıştırma somunu ve çekme kolu takılı halde, tekerlekli bahçe şemsiyesi altlığı.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ve (6). Gümrük Tarife Cetveli İzahnamesi 66.03 tarife pozisyonu açıklama notları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181100" cy="1571625"/>
                  <wp:effectExtent t="0" r="0" b="0" l="0"/>
                  <wp:docPr id="4" name="TR340000080036.jpg" descr="BTB resmi" title="TR34000008003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6603.90.90.10.00</w:t>
            </w:r>
            <w:r>
              <w:rPr>
                <w:color w:val="5B6475"/>
                <w:sz w:val="18"/>
                <w:szCs w:val="18"/>
              </w:rPr>
              <w:t xml:space="preserve">   TR340000080036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15.08.2008   ·   Bitiş: 14.08.2014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ORTASINDA ŞEMSİYE SAPININ GİRECEĞİ YUVASI AÇILMIŞ VE BU YUVAYA UYGUN BORU TAKILMIŞ SIKIŞTIRMA SOMUNU ÇEKME KOLU VE TEKERLEK TAKILI HALDE GRANİTTEN MAMÜL BAHÇE ŞEMSİYESİ ALTLIĞI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TARİFENİN GENEL YORUM KURALLARI (1) VE (6) 6603 TARİFE POZİSYONU İZAHNAME NOTLARI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181100"/>
                  <wp:effectExtent t="0" r="0" b="0" l="0"/>
                  <wp:docPr id="5" name="TR340000080042.jpg" descr="BTB resmi" title="TR3400000800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6603.90.90.10.00</w:t>
            </w:r>
            <w:r>
              <w:rPr>
                <w:color w:val="5B6475"/>
                <w:sz w:val="18"/>
                <w:szCs w:val="18"/>
              </w:rPr>
              <w:t xml:space="preserve">   TR340000080042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06.08.2008   ·   Bitiş: 05.08.2014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GRANİTTEN MAMÜL ORTASINDA BÜYÜK BAHÇE ŞEMSİYESİNİN SAPININ GİRECEĞİ YUVASI AÇILMIŞ, YUVAYA UYGUN BORUSU TAKILI SIKIŞTIRMA SOMUNLU VE ÇEKME KOLU VE TEKERLEKLİ BAHÇE ŞEMSİYESİ ALTLIĞI.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-GENEL YORUM KURALLARI (1) ve (6). - GÜMRÜK TARİFE CETVELİ İZAHNAMESİ 66.03 TARİFE POZİSYONU AÇIKLAMA NOTLARI.</w:t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5"/>
        <w:sz w:val="18"/>
        <w:szCs w:val="18"/>
      </w:rPr>
      <w:t xml:space="preserve">Sayfa </w:t>
    </w:r>
    <w:r>
      <w:rPr>
        <w:color w:val="5B64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475"/>
        <w:sz w:val="18"/>
        <w:szCs w:val="18"/>
      </w:rPr>
      <w:t xml:space="preserve"> / </w:t>
    </w:r>
    <w:r>
      <w:rPr>
        <w:color w:val="5B64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8" w:sz="4" w:space="4"/>
      </w:pBdr>
      <w:tabs>
        <w:tab w:val="right" w:pos="9638"/>
      </w:tabs>
    </w:pPr>
    <w:r>
      <w:rPr>
        <w:b/>
        <w:bCs/>
        <w:color w:val="2F5BD3"/>
        <w:sz w:val="18"/>
        <w:szCs w:val="18"/>
      </w:rPr>
      <w:t xml:space="preserve">Gümrük Koçu - Ufuk Çetintaş</w:t>
    </w:r>
    <w:r>
      <w:rPr>
        <w:color w:val="5B6475"/>
        <w:sz w:val="18"/>
        <w:szCs w:val="18"/>
      </w:rPr>
      <w:t xml:space="preserve">	Fasıl 66 – Bağlayıcı Tarife Bilgileri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2A4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957f41f860ed86979372f59d8eb1b182d4598c5.jpg"/><Relationship Id="rId10" Type="http://schemas.openxmlformats.org/officeDocument/2006/relationships/image" Target="media/fde449434db7153bc251a91833aafe317b59eec2.jpg"/><Relationship Id="rId11" Type="http://schemas.openxmlformats.org/officeDocument/2006/relationships/image" Target="media/7da29c3ba9bd4dae1c2b0aa517988654b432d208.jpg"/><Relationship Id="rId12" Type="http://schemas.openxmlformats.org/officeDocument/2006/relationships/image" Target="media/82dd157afa5adc2ee5678fe4d6331a987fae6e28.jpg"/><Relationship Id="rId13" Type="http://schemas.openxmlformats.org/officeDocument/2006/relationships/image" Target="media/0f4d9d42ba4db4c752b81b255c0ee4052aa85e7c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Fasıl 66 – Bağlayıcı Tarife Bilgileri</dc:title>
  <dc:creator>Gümrük Koçu - Ufuk Çetintaş</dc:creator>
  <cp:lastModifiedBy>Un-named</cp:lastModifiedBy>
  <cp:revision>1</cp:revision>
  <dcterms:created xsi:type="dcterms:W3CDTF">2026-10-21T15:25:19.110Z</dcterms:created>
  <dcterms:modified xsi:type="dcterms:W3CDTF">2026-10-21T15:25:19.111Z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